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CASE STUDY 1: CLOUD-BASED E-COMMERCE PLATFORM</w:t>
      </w:r>
    </w:p>
    <w:p>
      <w:r>
        <w:rPr>
          <w:b/>
          <w:color w:val="000000"/>
          <w:sz w:val="26"/>
        </w:rPr>
        <w:t>1. Title</w:t>
      </w:r>
    </w:p>
    <w:p>
      <w:r>
        <w:rPr>
          <w:b w:val="0"/>
          <w:color w:val="000000"/>
          <w:sz w:val="22"/>
        </w:rPr>
        <w:t>Cloud-Based E-Commerce Platform</w:t>
      </w:r>
    </w:p>
    <w:p>
      <w:r>
        <w:rPr>
          <w:b/>
          <w:color w:val="000000"/>
          <w:sz w:val="26"/>
        </w:rPr>
        <w:t>2. Problem Statement</w:t>
      </w:r>
    </w:p>
    <w:p>
      <w:r>
        <w:rPr>
          <w:b w:val="0"/>
          <w:color w:val="000000"/>
          <w:sz w:val="22"/>
        </w:rPr>
        <w:t>Retail businesses need an online platform where customers can browse products, place orders, make payments, and track deliveries, while administrators manage inventory, pricing, and order fulfillment. Traffic can spike sharply during sales events, so the platform must scale on demand while keeping product, order, and payment data consistent and secure. A cloud-based architecture provides elastic compute, managed storage, and global content delivery to support a large, geographically distributed customer base.</w:t>
      </w:r>
    </w:p>
    <w:p>
      <w:r>
        <w:rPr>
          <w:b/>
          <w:color w:val="000000"/>
          <w:sz w:val="26"/>
        </w:rPr>
        <w:t>3. Proposed Solution</w:t>
      </w:r>
    </w:p>
    <w:p>
      <w:r>
        <w:rPr>
          <w:b w:val="0"/>
          <w:color w:val="000000"/>
          <w:sz w:val="22"/>
        </w:rPr>
        <w:t>Develop a cloud-based, service-oriented e-commerce platform that separates Catalog, Cart, Order, and Payment functions and uses managed cloud services for storage, database, security, traffic management, asynchronous processing, and monitoring.</w:t>
      </w:r>
    </w:p>
    <w:p>
      <w:pPr>
        <w:pStyle w:val="ListBullet"/>
      </w:pPr>
      <w:r>
        <w:rPr>
          <w:b w:val="0"/>
          <w:color w:val="000000"/>
          <w:sz w:val="22"/>
        </w:rPr>
        <w:t>Deploy frontend and backend services using containers or a managed application service, with a CDN for static assets.</w:t>
      </w:r>
    </w:p>
    <w:p>
      <w:pPr>
        <w:pStyle w:val="ListBullet"/>
      </w:pPr>
      <w:r>
        <w:rPr>
          <w:b w:val="0"/>
          <w:color w:val="000000"/>
          <w:sz w:val="22"/>
        </w:rPr>
        <w:t>Use a managed MySQL or PostgreSQL database for products, orders, customers, and inventory.</w:t>
      </w:r>
    </w:p>
    <w:p>
      <w:pPr>
        <w:pStyle w:val="ListBullet"/>
      </w:pPr>
      <w:r>
        <w:rPr>
          <w:b w:val="0"/>
          <w:color w:val="000000"/>
          <w:sz w:val="22"/>
        </w:rPr>
        <w:t>Store product images, invoices, and media in cloud object storage.</w:t>
      </w:r>
    </w:p>
    <w:p>
      <w:pPr>
        <w:pStyle w:val="ListBullet"/>
      </w:pPr>
      <w:r>
        <w:rPr>
          <w:b w:val="0"/>
          <w:color w:val="000000"/>
          <w:sz w:val="22"/>
        </w:rPr>
        <w:t>Use an API Gateway and/or Load Balancer to distribute traffic across application instances.</w:t>
      </w:r>
    </w:p>
    <w:p>
      <w:pPr>
        <w:pStyle w:val="ListBullet"/>
      </w:pPr>
      <w:r>
        <w:rPr>
          <w:b w:val="0"/>
          <w:color w:val="000000"/>
          <w:sz w:val="22"/>
        </w:rPr>
        <w:t>Use a message queue such as SQS or RabbitMQ to decouple order placement from payment, inventory updates, and notifications.</w:t>
      </w:r>
    </w:p>
    <w:p>
      <w:pPr>
        <w:pStyle w:val="ListBullet"/>
      </w:pPr>
      <w:r>
        <w:rPr>
          <w:b w:val="0"/>
          <w:color w:val="000000"/>
          <w:sz w:val="22"/>
        </w:rPr>
        <w:t>Apply IAM and role-based access for customers, sellers, and administrators.</w:t>
      </w:r>
    </w:p>
    <w:p>
      <w:pPr>
        <w:pStyle w:val="ListBullet"/>
      </w:pPr>
      <w:r>
        <w:rPr>
          <w:b w:val="0"/>
          <w:color w:val="000000"/>
          <w:sz w:val="22"/>
        </w:rPr>
        <w:t>Enable auto-scaling to handle sales-event and promotional traffic spikes.</w:t>
      </w:r>
    </w:p>
    <w:p>
      <w:pPr>
        <w:pStyle w:val="ListBullet"/>
      </w:pPr>
      <w:r>
        <w:rPr>
          <w:b w:val="0"/>
          <w:color w:val="000000"/>
          <w:sz w:val="22"/>
        </w:rPr>
        <w:t>Use monitoring and centralized logging to track health, errors, and resource usage.</w:t>
      </w:r>
    </w:p>
    <w:p>
      <w:r>
        <w:rPr>
          <w:b/>
          <w:color w:val="000000"/>
          <w:sz w:val="26"/>
        </w:rPr>
        <w:t>4. Literature Survey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shd w:fill="D9EAF7"/>
            <w:vAlign w:val="center"/>
          </w:tcPr>
          <w:p>
            <w:pPr>
              <w:jc w:val="center"/>
            </w:pPr>
            <w:r/>
            <w:r>
              <w:rPr>
                <w:b/>
                <w:color w:val="000000"/>
                <w:sz w:val="18"/>
              </w:rPr>
              <w:t>Source / Author(s)</w:t>
            </w:r>
          </w:p>
        </w:tc>
        <w:tc>
          <w:tcPr>
            <w:tcW w:type="dxa" w:w="1728"/>
            <w:shd w:fill="D9EAF7"/>
            <w:vAlign w:val="center"/>
          </w:tcPr>
          <w:p>
            <w:pPr>
              <w:jc w:val="center"/>
            </w:pPr>
            <w:r/>
            <w:r>
              <w:rPr>
                <w:b/>
                <w:color w:val="000000"/>
                <w:sz w:val="18"/>
              </w:rPr>
              <w:t>Focus Area</w:t>
            </w:r>
          </w:p>
        </w:tc>
        <w:tc>
          <w:tcPr>
            <w:tcW w:type="dxa" w:w="4032"/>
            <w:shd w:fill="D9EAF7"/>
            <w:vAlign w:val="center"/>
          </w:tcPr>
          <w:p>
            <w:pPr>
              <w:jc w:val="center"/>
            </w:pPr>
            <w:r/>
            <w:r>
              <w:rPr>
                <w:b/>
                <w:color w:val="000000"/>
                <w:sz w:val="18"/>
              </w:rPr>
              <w:t>Key Findings</w:t>
            </w:r>
          </w:p>
        </w:tc>
        <w:tc>
          <w:tcPr>
            <w:tcW w:type="dxa" w:w="3168"/>
            <w:shd w:fill="D9EAF7"/>
            <w:vAlign w:val="center"/>
          </w:tcPr>
          <w:p>
            <w:pPr>
              <w:jc w:val="center"/>
            </w:pPr>
            <w:r/>
            <w:r>
              <w:rPr>
                <w:b/>
                <w:color w:val="000000"/>
                <w:sz w:val="18"/>
              </w:rPr>
              <w:t>Relevance to Case Study</w:t>
            </w:r>
          </w:p>
        </w:tc>
      </w:tr>
      <w:tr>
        <w:tc>
          <w:tcPr>
            <w:tcW w:type="dxa" w:w="2376"/>
            <w:vAlign w:val="center"/>
          </w:tcPr>
          <w:p>
            <w:r/>
            <w:r>
              <w:rPr>
                <w:b w:val="0"/>
                <w:color w:val="000000"/>
                <w:sz w:val="17"/>
              </w:rPr>
              <w:t>Microservices Architecture for E-commerce Platforms (2025 review)</w:t>
            </w:r>
          </w:p>
        </w:tc>
        <w:tc>
          <w:tcPr>
            <w:tcW w:type="dxa" w:w="1728"/>
            <w:vAlign w:val="center"/>
          </w:tcPr>
          <w:p>
            <w:r/>
            <w:r>
              <w:rPr>
                <w:b w:val="0"/>
                <w:color w:val="000000"/>
                <w:sz w:val="17"/>
              </w:rPr>
              <w:t>Microservices decomposition</w:t>
            </w:r>
          </w:p>
        </w:tc>
        <w:tc>
          <w:tcPr>
            <w:tcW w:type="dxa" w:w="4032"/>
            <w:vAlign w:val="center"/>
          </w:tcPr>
          <w:p>
            <w:r/>
            <w:r>
              <w:rPr>
                <w:b w:val="0"/>
                <w:color w:val="000000"/>
                <w:sz w:val="17"/>
              </w:rPr>
              <w:t>Combining decentralized data management, event-driven communication, and real-time processing outperforms monolithic and hybrid architectures on scalability, latency, and resource utilization.</w:t>
            </w:r>
          </w:p>
        </w:tc>
        <w:tc>
          <w:tcPr>
            <w:tcW w:type="dxa" w:w="3168"/>
            <w:vAlign w:val="center"/>
          </w:tcPr>
          <w:p>
            <w:r/>
            <w:r>
              <w:rPr>
                <w:b w:val="0"/>
                <w:color w:val="000000"/>
                <w:sz w:val="17"/>
              </w:rPr>
              <w:t>Supports the case study's Catalog / Cart / Order / Payment service split and message-queue decoupling.</w:t>
            </w:r>
          </w:p>
        </w:tc>
      </w:tr>
      <w:tr>
        <w:tc>
          <w:tcPr>
            <w:tcW w:type="dxa" w:w="2376"/>
            <w:vAlign w:val="center"/>
          </w:tcPr>
          <w:p>
            <w:r/>
            <w:r>
              <w:rPr>
                <w:b w:val="0"/>
                <w:color w:val="000000"/>
                <w:sz w:val="17"/>
              </w:rPr>
              <w:t>Leveraging Microservices Architecture to Enhance Scalability and Resilience in E-Commerce Platforms (Springer)</w:t>
            </w:r>
          </w:p>
        </w:tc>
        <w:tc>
          <w:tcPr>
            <w:tcW w:type="dxa" w:w="1728"/>
            <w:vAlign w:val="center"/>
          </w:tcPr>
          <w:p>
            <w:r/>
            <w:r>
              <w:rPr>
                <w:b w:val="0"/>
                <w:color w:val="000000"/>
                <w:sz w:val="17"/>
              </w:rPr>
              <w:t>Fault isolation and downtime reduction</w:t>
            </w:r>
          </w:p>
        </w:tc>
        <w:tc>
          <w:tcPr>
            <w:tcW w:type="dxa" w:w="4032"/>
            <w:vAlign w:val="center"/>
          </w:tcPr>
          <w:p>
            <w:r/>
            <w:r>
              <w:rPr>
                <w:b w:val="0"/>
                <w:color w:val="000000"/>
                <w:sz w:val="17"/>
              </w:rPr>
              <w:t>Decomposing checkout, catalog, and order operations into independently deployable services improves fault isolation, resource use, and rapid development versus monolithic/SOA predecessors.</w:t>
            </w:r>
          </w:p>
        </w:tc>
        <w:tc>
          <w:tcPr>
            <w:tcW w:type="dxa" w:w="3168"/>
            <w:vAlign w:val="center"/>
          </w:tcPr>
          <w:p>
            <w:r/>
            <w:r>
              <w:rPr>
                <w:b w:val="0"/>
                <w:color w:val="000000"/>
                <w:sz w:val="17"/>
              </w:rPr>
              <w:t>Validates decoupled Order and Payment services as a resilience strategy.</w:t>
            </w:r>
          </w:p>
        </w:tc>
      </w:tr>
      <w:tr>
        <w:tc>
          <w:tcPr>
            <w:tcW w:type="dxa" w:w="2376"/>
            <w:vAlign w:val="center"/>
          </w:tcPr>
          <w:p>
            <w:r/>
            <w:r>
              <w:rPr>
                <w:b w:val="0"/>
                <w:color w:val="000000"/>
                <w:sz w:val="17"/>
              </w:rPr>
              <w:t>Building a Scalable E-Commerce Architecture with Microservices (fabric Inc.)</w:t>
            </w:r>
          </w:p>
        </w:tc>
        <w:tc>
          <w:tcPr>
            <w:tcW w:type="dxa" w:w="1728"/>
            <w:vAlign w:val="center"/>
          </w:tcPr>
          <w:p>
            <w:r/>
            <w:r>
              <w:rPr>
                <w:b w:val="0"/>
                <w:color w:val="000000"/>
                <w:sz w:val="17"/>
              </w:rPr>
              <w:t>Migration strategy</w:t>
            </w:r>
          </w:p>
        </w:tc>
        <w:tc>
          <w:tcPr>
            <w:tcW w:type="dxa" w:w="4032"/>
            <w:vAlign w:val="center"/>
          </w:tcPr>
          <w:p>
            <w:r/>
            <w:r>
              <w:rPr>
                <w:b w:val="0"/>
                <w:color w:val="000000"/>
                <w:sz w:val="17"/>
              </w:rPr>
              <w:t>Legacy all-in-one platforms (Shopify, Salesforce Commerce Cloud) began as monoliths; a strangler-pattern migration enables incremental adoption of composable services without a full replatform.</w:t>
            </w:r>
          </w:p>
        </w:tc>
        <w:tc>
          <w:tcPr>
            <w:tcW w:type="dxa" w:w="3168"/>
            <w:vAlign w:val="center"/>
          </w:tcPr>
          <w:p>
            <w:r/>
            <w:r>
              <w:rPr>
                <w:b w:val="0"/>
                <w:color w:val="000000"/>
                <w:sz w:val="17"/>
              </w:rPr>
              <w:t>Frames the case study's service-oriented design as an industry-standard evolution path.</w:t>
            </w:r>
          </w:p>
        </w:tc>
      </w:tr>
      <w:tr>
        <w:tc>
          <w:tcPr>
            <w:tcW w:type="dxa" w:w="2376"/>
            <w:vAlign w:val="center"/>
          </w:tcPr>
          <w:p>
            <w:r/>
            <w:r>
              <w:rPr>
                <w:b w:val="0"/>
                <w:color w:val="000000"/>
                <w:sz w:val="17"/>
              </w:rPr>
              <w:t>Optimizing Cloud Infrastructure for E-commerce (2024)</w:t>
            </w:r>
          </w:p>
        </w:tc>
        <w:tc>
          <w:tcPr>
            <w:tcW w:type="dxa" w:w="1728"/>
            <w:vAlign w:val="center"/>
          </w:tcPr>
          <w:p>
            <w:r/>
            <w:r>
              <w:rPr>
                <w:b w:val="0"/>
                <w:color w:val="000000"/>
                <w:sz w:val="17"/>
              </w:rPr>
              <w:t>High availability &amp; containerization</w:t>
            </w:r>
          </w:p>
        </w:tc>
        <w:tc>
          <w:tcPr>
            <w:tcW w:type="dxa" w:w="4032"/>
            <w:vAlign w:val="center"/>
          </w:tcPr>
          <w:p>
            <w:r/>
            <w:r>
              <w:rPr>
                <w:b w:val="0"/>
                <w:color w:val="000000"/>
                <w:sz w:val="17"/>
              </w:rPr>
              <w:t>Load balancing, multi-region deployment, automated failover, and containerization jointly sustain high availability; major cloud providers expose managed services implementing these patterns.</w:t>
            </w:r>
          </w:p>
        </w:tc>
        <w:tc>
          <w:tcPr>
            <w:tcW w:type="dxa" w:w="3168"/>
            <w:vAlign w:val="center"/>
          </w:tcPr>
          <w:p>
            <w:r/>
            <w:r>
              <w:rPr>
                <w:b w:val="0"/>
                <w:color w:val="000000"/>
                <w:sz w:val="17"/>
              </w:rPr>
              <w:t>Backs the case study's use of an API Gateway/Load Balancer and auto-scaling for sales-event traffic spikes.</w:t>
            </w:r>
          </w:p>
        </w:tc>
      </w:tr>
      <w:tr>
        <w:tc>
          <w:tcPr>
            <w:tcW w:type="dxa" w:w="2376"/>
            <w:vAlign w:val="center"/>
          </w:tcPr>
          <w:p>
            <w:r/>
            <w:r>
              <w:rPr>
                <w:b w:val="0"/>
                <w:color w:val="000000"/>
                <w:sz w:val="17"/>
              </w:rPr>
              <w:t>Evaluating the Impact of Cloud-Based Microservices Architecture on Application Performance (arXiv)</w:t>
            </w:r>
          </w:p>
        </w:tc>
        <w:tc>
          <w:tcPr>
            <w:tcW w:type="dxa" w:w="1728"/>
            <w:vAlign w:val="center"/>
          </w:tcPr>
          <w:p>
            <w:r/>
            <w:r>
              <w:rPr>
                <w:b w:val="0"/>
                <w:color w:val="000000"/>
                <w:sz w:val="17"/>
              </w:rPr>
              <w:t>Performance, elasticity, fault tolerance</w:t>
            </w:r>
          </w:p>
        </w:tc>
        <w:tc>
          <w:tcPr>
            <w:tcW w:type="dxa" w:w="4032"/>
            <w:vAlign w:val="center"/>
          </w:tcPr>
          <w:p>
            <w:r/>
            <w:r>
              <w:rPr>
                <w:b w:val="0"/>
                <w:color w:val="000000"/>
                <w:sz w:val="17"/>
              </w:rPr>
              <w:t>Surveys response time, throughput, and resource utilization metrics; identifies dynamic scaling and Docker/Kubernetes orchestration as central to elastic, fault-tolerant systems.</w:t>
            </w:r>
          </w:p>
        </w:tc>
        <w:tc>
          <w:tcPr>
            <w:tcW w:type="dxa" w:w="3168"/>
            <w:vAlign w:val="center"/>
          </w:tcPr>
          <w:p>
            <w:r/>
            <w:r>
              <w:rPr>
                <w:b w:val="0"/>
                <w:color w:val="000000"/>
                <w:sz w:val="17"/>
              </w:rPr>
              <w:t>Supports monitoring/logging and auto-scaling elements of the architecture.</w:t>
            </w:r>
          </w:p>
        </w:tc>
      </w:tr>
      <w:tr>
        <w:tc>
          <w:tcPr>
            <w:tcW w:type="dxa" w:w="2376"/>
            <w:vAlign w:val="center"/>
          </w:tcPr>
          <w:p>
            <w:r/>
            <w:r>
              <w:rPr>
                <w:b w:val="0"/>
                <w:color w:val="000000"/>
                <w:sz w:val="17"/>
              </w:rPr>
              <w:t>Hasselbring &amp; Steinacker (2017), IEEE ICSAW</w:t>
            </w:r>
          </w:p>
        </w:tc>
        <w:tc>
          <w:tcPr>
            <w:tcW w:type="dxa" w:w="1728"/>
            <w:vAlign w:val="center"/>
          </w:tcPr>
          <w:p>
            <w:r/>
            <w:r>
              <w:rPr>
                <w:b w:val="0"/>
                <w:color w:val="000000"/>
                <w:sz w:val="17"/>
              </w:rPr>
              <w:t>Foundational microservices framing</w:t>
            </w:r>
          </w:p>
        </w:tc>
        <w:tc>
          <w:tcPr>
            <w:tcW w:type="dxa" w:w="4032"/>
            <w:vAlign w:val="center"/>
          </w:tcPr>
          <w:p>
            <w:r/>
            <w:r>
              <w:rPr>
                <w:b w:val="0"/>
                <w:color w:val="000000"/>
                <w:sz w:val="17"/>
              </w:rPr>
              <w:t>Early formalization of microservice architectures for scalability, agility, and reliability specifically in e-commerce contexts.</w:t>
            </w:r>
          </w:p>
        </w:tc>
        <w:tc>
          <w:tcPr>
            <w:tcW w:type="dxa" w:w="3168"/>
            <w:vAlign w:val="center"/>
          </w:tcPr>
          <w:p>
            <w:r/>
            <w:r>
              <w:rPr>
                <w:b w:val="0"/>
                <w:color w:val="000000"/>
                <w:sz w:val="17"/>
              </w:rPr>
              <w:t>Provides the theoretical baseline the case study's service decomposition builds on.</w:t>
            </w:r>
          </w:p>
        </w:tc>
      </w:tr>
    </w:tbl>
    <w:p>
      <w:r>
        <w:rPr>
          <w:b/>
          <w:color w:val="000000"/>
          <w:sz w:val="26"/>
        </w:rPr>
        <w:t>5. Tools</w:t>
      </w:r>
    </w:p>
    <w:p>
      <w:pPr>
        <w:pStyle w:val="ListBullet"/>
      </w:pPr>
      <w:r>
        <w:rPr>
          <w:b w:val="0"/>
          <w:color w:val="000000"/>
          <w:sz w:val="22"/>
        </w:rPr>
        <w:t>Cloud platform: AWS / Azure / Google Cloud</w:t>
      </w:r>
    </w:p>
    <w:p>
      <w:pPr>
        <w:pStyle w:val="ListBullet"/>
      </w:pPr>
      <w:r>
        <w:rPr>
          <w:b w:val="0"/>
          <w:color w:val="000000"/>
          <w:sz w:val="22"/>
        </w:rPr>
        <w:t>Frontend: HTML, CSS, JavaScript</w:t>
      </w:r>
    </w:p>
    <w:p>
      <w:pPr>
        <w:pStyle w:val="ListBullet"/>
      </w:pPr>
      <w:r>
        <w:rPr>
          <w:b w:val="0"/>
          <w:color w:val="000000"/>
          <w:sz w:val="22"/>
        </w:rPr>
        <w:t>Backend: Spring Boot or another managed application framework</w:t>
      </w:r>
    </w:p>
    <w:p>
      <w:pPr>
        <w:pStyle w:val="ListBullet"/>
      </w:pPr>
      <w:r>
        <w:rPr>
          <w:b w:val="0"/>
          <w:color w:val="000000"/>
          <w:sz w:val="22"/>
        </w:rPr>
        <w:t>Database: MySQL or PostgreSQL</w:t>
      </w:r>
    </w:p>
    <w:p>
      <w:pPr>
        <w:pStyle w:val="ListBullet"/>
      </w:pPr>
      <w:r>
        <w:rPr>
          <w:b w:val="0"/>
          <w:color w:val="000000"/>
          <w:sz w:val="22"/>
        </w:rPr>
        <w:t>Object Storage: Cloud object storage</w:t>
      </w:r>
    </w:p>
    <w:p>
      <w:pPr>
        <w:pStyle w:val="ListBullet"/>
      </w:pPr>
      <w:r>
        <w:rPr>
          <w:b w:val="0"/>
          <w:color w:val="000000"/>
          <w:sz w:val="22"/>
        </w:rPr>
        <w:t>API Gateway / Load Balancer</w:t>
      </w:r>
    </w:p>
    <w:p>
      <w:pPr>
        <w:pStyle w:val="ListBullet"/>
      </w:pPr>
      <w:r>
        <w:rPr>
          <w:b w:val="0"/>
          <w:color w:val="000000"/>
          <w:sz w:val="22"/>
        </w:rPr>
        <w:t>Message Queue: Amazon SQS or RabbitMQ</w:t>
      </w:r>
    </w:p>
    <w:p>
      <w:pPr>
        <w:pStyle w:val="ListBullet"/>
      </w:pPr>
      <w:r>
        <w:rPr>
          <w:b w:val="0"/>
          <w:color w:val="000000"/>
          <w:sz w:val="22"/>
        </w:rPr>
        <w:t>CDN: Cloud Content Delivery Network</w:t>
      </w:r>
    </w:p>
    <w:p>
      <w:pPr>
        <w:pStyle w:val="ListBullet"/>
      </w:pPr>
      <w:r>
        <w:rPr>
          <w:b w:val="0"/>
          <w:color w:val="000000"/>
          <w:sz w:val="22"/>
        </w:rPr>
        <w:t>Security: IAM and Role-Based Access Control (RBAC)</w:t>
      </w:r>
    </w:p>
    <w:p>
      <w:pPr>
        <w:pStyle w:val="ListBullet"/>
      </w:pPr>
      <w:r>
        <w:rPr>
          <w:b w:val="0"/>
          <w:color w:val="000000"/>
          <w:sz w:val="22"/>
        </w:rPr>
        <w:t>Deployment: Docker / Containers</w:t>
      </w:r>
    </w:p>
    <w:p>
      <w:pPr>
        <w:pStyle w:val="ListBullet"/>
      </w:pPr>
      <w:r>
        <w:rPr>
          <w:b w:val="0"/>
          <w:color w:val="000000"/>
          <w:sz w:val="22"/>
        </w:rPr>
        <w:t>Operations: Cloud Monitoring and Centralized Logging</w:t>
      </w:r>
    </w:p>
    <w:p>
      <w:r>
        <w:rPr>
          <w:b/>
          <w:color w:val="000000"/>
          <w:sz w:val="26"/>
        </w:rPr>
        <w:t>6. System Architecture</w:t>
      </w:r>
    </w:p>
    <w:p>
      <w:r>
        <w:rPr>
          <w:b w:val="0"/>
          <w:color w:val="000000"/>
          <w:sz w:val="22"/>
        </w:rPr>
        <w:t>The following boxed flow shows the major data flow and service components.</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Customer / Seller / Administrator</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Web / Mobile Frontend</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CDN + API Gateway / Load Balancer</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Catalog Service  |  Cart Service  |  Order Service  |  Payment Service</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Message Queue → Payment Processing / Inventory Update / Notifications</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Managed MySQL / PostgreSQL Database</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Cloud Object Storage → Product Images / Invoices / Media</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Monitoring + Logging + IAM + Auto-Scaling</w:t>
            </w:r>
          </w:p>
        </w:tc>
      </w:tr>
    </w:tbl>
    <w:p>
      <w:r>
        <w:rPr>
          <w:b/>
          <w:color w:val="000000"/>
          <w:sz w:val="26"/>
        </w:rPr>
        <w:t>References</w:t>
      </w:r>
    </w:p>
    <w:p>
      <w:pPr>
        <w:pStyle w:val="ListNumber"/>
      </w:pPr>
      <w:r>
        <w:rPr>
          <w:b w:val="0"/>
          <w:color w:val="000000"/>
          <w:sz w:val="19"/>
        </w:rPr>
        <w:t>Leveraging microservices architecture to enhance scalability and resilience in e-commerce platforms. Springer Nature Link.</w:t>
      </w:r>
    </w:p>
    <w:p>
      <w:pPr>
        <w:pStyle w:val="ListNumber"/>
      </w:pPr>
      <w:r>
        <w:rPr>
          <w:b w:val="0"/>
          <w:color w:val="000000"/>
          <w:sz w:val="19"/>
        </w:rPr>
        <w:t>Microservices architecture for e-commerce platforms: Enhancing performance, scalability, and predictive accuracy. (2025). ResearchGate.</w:t>
      </w:r>
    </w:p>
    <w:p>
      <w:pPr>
        <w:pStyle w:val="ListNumber"/>
      </w:pPr>
      <w:r>
        <w:rPr>
          <w:b w:val="0"/>
          <w:color w:val="000000"/>
          <w:sz w:val="19"/>
        </w:rPr>
        <w:t>Hasselbring, W., &amp; Steinacker, G. (2017). Microservice architectures for scalability, agility and reliability in e-commerce. Proceedings of the IEEE International Conference on Software Architecture Workshops, 243–246. https://doi.org/10.1109/ICSAW.2017.11</w:t>
      </w:r>
    </w:p>
    <w:p>
      <w:pPr>
        <w:pStyle w:val="ListNumber"/>
      </w:pPr>
      <w:r>
        <w:rPr>
          <w:b w:val="0"/>
          <w:color w:val="000000"/>
          <w:sz w:val="19"/>
        </w:rPr>
        <w:t>Optimizing cloud infrastructure for e-commerce: Balancing security, scalability, and performance. (2024). ResearchGate.</w:t>
      </w:r>
    </w:p>
    <w:p>
      <w:pPr>
        <w:pStyle w:val="ListNumber"/>
      </w:pPr>
      <w:r>
        <w:rPr>
          <w:b w:val="0"/>
          <w:color w:val="000000"/>
          <w:sz w:val="19"/>
        </w:rPr>
        <w:t>Evaluating the impact of cloud-based microservices architecture on application performance. arXiv.</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