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LITERATURE SURVEY – CLOUD-BASED E-COMMERCE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Author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Title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Technology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Inference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Microservices Architecture for E-commerce Platforms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Microservices, decentralized data management, event-driven communication, real-time processing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Shows that combining decentralized data management, event-driven communication and real-time processing improves scalability, latency and resource utilization. Supports the Catalog/Cart/Order/Payment service split and message-queue decoupling.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Leveraging Microservices Architecture to Enhance Scalability and Resilience in E-Commerce Platforms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Microservices, fault isolation, independent deployment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Decomposing checkout, catalog and order operations into independently deployable services improves fault isolation, resource use and development speed. Supports decoupled Order and Payment services.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Fabric Inc.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Building a Scalable E-Commerce Architecture with Microservices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Microservices migration, strangler-pattern migration, composable services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Shows that legacy monolithic platforms can adopt services incrementally through strangler-pattern migration. Frames the proposed service-oriented design as an industry evolution path.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Optimizing Cloud Infrastructure for E-Commerce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High availability, load balancing, multi-region deployment, failover, containerization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Load balancing, multi-region deployment, automated failover and containerization help maintain high availability. Supports API Gateway/Load Balancer and auto-scaling for traffic spikes.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Multiple authors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Evaluating the Impact of Cloud-Based Microservices Architecture on Application Performance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Performance, elasticity, fault tolerance, Docker, Kubernetes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Highlights response time, throughput and resource utilization, with dynamic scaling and Docker/Kubernetes orchestration supporting elastic and fault-tolerant systems.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2017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Hasselbring, W. &amp; Steinacker, G.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Microservice Architectures for Scalability, Agility and Reliability in E-Commerce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Microservices, scalability, agility, reliability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Provides a foundational theoretical basis for microservice architectures in e-commerce and supports the proposed service decomposition.</w:t>
            </w:r>
          </w:p>
        </w:tc>
      </w:tr>
    </w:tbl>
    <w:p>
      <w:r>
        <w:rPr>
          <w:rFonts w:ascii="Times New Roman" w:hAnsi="Times New Roman"/>
          <w:b/>
          <w:sz w:val="18"/>
        </w:rPr>
        <w:t xml:space="preserve">Note: </w:t>
      </w:r>
      <w:r>
        <w:rPr>
          <w:rFonts w:ascii="Times New Roman" w:hAnsi="Times New Roman"/>
          <w:sz w:val="18"/>
        </w:rPr>
        <w:t>The author names, titles, technologies and inferences are based on the uploaded literature-survey document.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