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2"/>
        </w:rPr>
        <w:t>CASE STUDY 2: CLOUD-BASED VIDEO STREAMING PLATFORM</w:t>
      </w:r>
    </w:p>
    <w:p>
      <w:r>
        <w:rPr>
          <w:b/>
          <w:color w:val="000000"/>
          <w:sz w:val="26"/>
        </w:rPr>
        <w:t>1. Title</w:t>
      </w:r>
    </w:p>
    <w:p>
      <w:r>
        <w:rPr>
          <w:b w:val="0"/>
          <w:color w:val="000000"/>
          <w:sz w:val="22"/>
        </w:rPr>
        <w:t>Cloud-Based Video Streaming Platform</w:t>
      </w:r>
    </w:p>
    <w:p>
      <w:r>
        <w:rPr>
          <w:b/>
          <w:color w:val="000000"/>
          <w:sz w:val="26"/>
        </w:rPr>
        <w:t>2. Problem Statement</w:t>
      </w:r>
    </w:p>
    <w:p>
      <w:r>
        <w:rPr>
          <w:b w:val="0"/>
          <w:color w:val="000000"/>
          <w:sz w:val="22"/>
        </w:rPr>
        <w:t>Media organizations need a platform that allows content creators to upload video content and viewers to stream it reliably across devices and network conditions. The system must ingest, transcode, and deliver large media files efficiently, while supporting a growing subscriber base without service degradation. A cloud-based architecture provides scalable transcoding, distributed storage, and content delivery to ensure smooth playback for a global audience.</w:t>
      </w:r>
    </w:p>
    <w:p>
      <w:r>
        <w:rPr>
          <w:b/>
          <w:color w:val="000000"/>
          <w:sz w:val="26"/>
        </w:rPr>
        <w:t>3. Proposed Solution</w:t>
      </w:r>
    </w:p>
    <w:p>
      <w:r>
        <w:rPr>
          <w:b w:val="0"/>
          <w:color w:val="000000"/>
          <w:sz w:val="22"/>
        </w:rPr>
        <w:t>Develop a cloud-based video streaming platform with separate upload, storage, transcoding, metadata, and delivery services. Uploaded videos are stored in cloud object storage, processed asynchronously into adaptive-bitrate renditions, and distributed through a CDN for reliable global playback.</w:t>
      </w:r>
    </w:p>
    <w:p>
      <w:pPr>
        <w:pStyle w:val="ListBullet"/>
      </w:pPr>
      <w:r>
        <w:rPr>
          <w:b w:val="0"/>
          <w:color w:val="000000"/>
          <w:sz w:val="22"/>
        </w:rPr>
        <w:t>Deploy application and API layers using containers or a managed application platform.</w:t>
      </w:r>
    </w:p>
    <w:p>
      <w:pPr>
        <w:pStyle w:val="ListBullet"/>
      </w:pPr>
      <w:r>
        <w:rPr>
          <w:b w:val="0"/>
          <w:color w:val="000000"/>
          <w:sz w:val="22"/>
        </w:rPr>
        <w:t>Use a managed database for user accounts, subscriptions, video metadata, and viewing history.</w:t>
      </w:r>
    </w:p>
    <w:p>
      <w:pPr>
        <w:pStyle w:val="ListBullet"/>
      </w:pPr>
      <w:r>
        <w:rPr>
          <w:b w:val="0"/>
          <w:color w:val="000000"/>
          <w:sz w:val="22"/>
        </w:rPr>
        <w:t>Store raw uploads and transcoded video renditions in cloud object storage.</w:t>
      </w:r>
    </w:p>
    <w:p>
      <w:pPr>
        <w:pStyle w:val="ListBullet"/>
      </w:pPr>
      <w:r>
        <w:rPr>
          <w:b w:val="0"/>
          <w:color w:val="000000"/>
          <w:sz w:val="22"/>
        </w:rPr>
        <w:t>Use an asynchronous transcoding pipeline to generate adaptive-bitrate formats at multiple resolutions.</w:t>
      </w:r>
    </w:p>
    <w:p>
      <w:pPr>
        <w:pStyle w:val="ListBullet"/>
      </w:pPr>
      <w:r>
        <w:rPr>
          <w:b w:val="0"/>
          <w:color w:val="000000"/>
          <w:sz w:val="22"/>
        </w:rPr>
        <w:t>Distribute video through a CDN to reduce latency for viewers in different regions.</w:t>
      </w:r>
    </w:p>
    <w:p>
      <w:pPr>
        <w:pStyle w:val="ListBullet"/>
      </w:pPr>
      <w:r>
        <w:rPr>
          <w:b w:val="0"/>
          <w:color w:val="000000"/>
          <w:sz w:val="22"/>
        </w:rPr>
        <w:t>Use an API Gateway and/or Load Balancer for controlled request routing.</w:t>
      </w:r>
    </w:p>
    <w:p>
      <w:pPr>
        <w:pStyle w:val="ListBullet"/>
      </w:pPr>
      <w:r>
        <w:rPr>
          <w:b w:val="0"/>
          <w:color w:val="000000"/>
          <w:sz w:val="22"/>
        </w:rPr>
        <w:t>Apply authentication and role-based access for viewers, creators, and administrators.</w:t>
      </w:r>
    </w:p>
    <w:p>
      <w:pPr>
        <w:pStyle w:val="ListBullet"/>
      </w:pPr>
      <w:r>
        <w:rPr>
          <w:b w:val="0"/>
          <w:color w:val="000000"/>
          <w:sz w:val="22"/>
        </w:rPr>
        <w:t>Auto-scale transcoding and streaming services according to upload and viewing demand.</w:t>
      </w:r>
    </w:p>
    <w:p>
      <w:pPr>
        <w:pStyle w:val="ListBullet"/>
      </w:pPr>
      <w:r>
        <w:rPr>
          <w:b w:val="0"/>
          <w:color w:val="000000"/>
          <w:sz w:val="22"/>
        </w:rPr>
        <w:t>Use monitoring, centralized logging, and analytics to track playback quality, errors, and usage.</w:t>
      </w:r>
    </w:p>
    <w:p>
      <w:pPr>
        <w:pStyle w:val="ListBullet"/>
      </w:pPr>
      <w:r>
        <w:rPr>
          <w:b w:val="0"/>
          <w:color w:val="000000"/>
          <w:sz w:val="22"/>
        </w:rPr>
        <w:t>Configure backups and redundant storage to protect against data loss.</w:t>
      </w:r>
    </w:p>
    <w:p>
      <w:r>
        <w:rPr>
          <w:b/>
          <w:color w:val="000000"/>
          <w:sz w:val="26"/>
        </w:rPr>
        <w:t>4. Literature Survey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shd w:fill="D9EAF7"/>
            <w:vAlign w:val="center"/>
          </w:tcPr>
          <w:p>
            <w:pPr>
              <w:jc w:val="center"/>
            </w:pPr>
            <w:r/>
            <w:r>
              <w:rPr>
                <w:b/>
                <w:color w:val="000000"/>
                <w:sz w:val="18"/>
              </w:rPr>
              <w:t>Source / Author(s)</w:t>
            </w:r>
          </w:p>
        </w:tc>
        <w:tc>
          <w:tcPr>
            <w:tcW w:type="dxa" w:w="1728"/>
            <w:shd w:fill="D9EAF7"/>
            <w:vAlign w:val="center"/>
          </w:tcPr>
          <w:p>
            <w:pPr>
              <w:jc w:val="center"/>
            </w:pPr>
            <w:r/>
            <w:r>
              <w:rPr>
                <w:b/>
                <w:color w:val="000000"/>
                <w:sz w:val="18"/>
              </w:rPr>
              <w:t>Focus Area</w:t>
            </w:r>
          </w:p>
        </w:tc>
        <w:tc>
          <w:tcPr>
            <w:tcW w:type="dxa" w:w="4032"/>
            <w:shd w:fill="D9EAF7"/>
            <w:vAlign w:val="center"/>
          </w:tcPr>
          <w:p>
            <w:pPr>
              <w:jc w:val="center"/>
            </w:pPr>
            <w:r/>
            <w:r>
              <w:rPr>
                <w:b/>
                <w:color w:val="000000"/>
                <w:sz w:val="18"/>
              </w:rPr>
              <w:t>Key Findings</w:t>
            </w:r>
          </w:p>
        </w:tc>
        <w:tc>
          <w:tcPr>
            <w:tcW w:type="dxa" w:w="3168"/>
            <w:shd w:fill="D9EAF7"/>
            <w:vAlign w:val="center"/>
          </w:tcPr>
          <w:p>
            <w:pPr>
              <w:jc w:val="center"/>
            </w:pPr>
            <w:r/>
            <w:r>
              <w:rPr>
                <w:b/>
                <w:color w:val="000000"/>
                <w:sz w:val="18"/>
              </w:rPr>
              <w:t>Relevance to Case Study</w:t>
            </w:r>
          </w:p>
        </w:tc>
      </w:tr>
      <w:tr>
        <w:tc>
          <w:tcPr>
            <w:tcW w:type="dxa" w:w="2376"/>
            <w:vAlign w:val="center"/>
          </w:tcPr>
          <w:p>
            <w:r/>
            <w:r>
              <w:rPr>
                <w:b w:val="0"/>
                <w:color w:val="000000"/>
                <w:sz w:val="17"/>
              </w:rPr>
              <w:t>Video Transcoding for Adaptive Bitrate Streaming over Edge-Cloud Continuum (2020)</w:t>
            </w:r>
          </w:p>
        </w:tc>
        <w:tc>
          <w:tcPr>
            <w:tcW w:type="dxa" w:w="1728"/>
            <w:vAlign w:val="center"/>
          </w:tcPr>
          <w:p>
            <w:r/>
            <w:r>
              <w:rPr>
                <w:b w:val="0"/>
                <w:color w:val="000000"/>
                <w:sz w:val="17"/>
              </w:rPr>
              <w:t>ABR transcoding pipeline</w:t>
            </w:r>
          </w:p>
        </w:tc>
        <w:tc>
          <w:tcPr>
            <w:tcW w:type="dxa" w:w="4032"/>
            <w:vAlign w:val="center"/>
          </w:tcPr>
          <w:p>
            <w:r/>
            <w:r>
              <w:rPr>
                <w:b w:val="0"/>
                <w:color w:val="000000"/>
                <w:sz w:val="17"/>
              </w:rPr>
              <w:t>Frames transcoding as core to ABR streaming; more representations improve viewing experience but raise transcoding and storage cost — a direct tradeoff service designers must manage.</w:t>
            </w:r>
          </w:p>
        </w:tc>
        <w:tc>
          <w:tcPr>
            <w:tcW w:type="dxa" w:w="3168"/>
            <w:vAlign w:val="center"/>
          </w:tcPr>
          <w:p>
            <w:r/>
            <w:r>
              <w:rPr>
                <w:b w:val="0"/>
                <w:color w:val="000000"/>
                <w:sz w:val="17"/>
              </w:rPr>
              <w:t>Justifies the case study's asynchronous transcoding service producing multiple bitrate renditions.</w:t>
            </w:r>
          </w:p>
        </w:tc>
      </w:tr>
      <w:tr>
        <w:tc>
          <w:tcPr>
            <w:tcW w:type="dxa" w:w="2376"/>
            <w:vAlign w:val="center"/>
          </w:tcPr>
          <w:p>
            <w:r/>
            <w:r>
              <w:rPr>
                <w:b w:val="0"/>
                <w:color w:val="000000"/>
                <w:sz w:val="17"/>
              </w:rPr>
              <w:t>Online Architecture for Predicting Live Video Transcoding Resources (2019, Journal of Cloud Computing)</w:t>
            </w:r>
          </w:p>
        </w:tc>
        <w:tc>
          <w:tcPr>
            <w:tcW w:type="dxa" w:w="1728"/>
            <w:vAlign w:val="center"/>
          </w:tcPr>
          <w:p>
            <w:r/>
            <w:r>
              <w:rPr>
                <w:b w:val="0"/>
                <w:color w:val="000000"/>
                <w:sz w:val="17"/>
              </w:rPr>
              <w:t>Resource provisioning for transcoding</w:t>
            </w:r>
          </w:p>
        </w:tc>
        <w:tc>
          <w:tcPr>
            <w:tcW w:type="dxa" w:w="4032"/>
            <w:vAlign w:val="center"/>
          </w:tcPr>
          <w:p>
            <w:r/>
            <w:r>
              <w:rPr>
                <w:b w:val="0"/>
                <w:color w:val="000000"/>
                <w:sz w:val="17"/>
              </w:rPr>
              <w:t>Validates a Docker/Kubernetes-based architecture for live transcoding; a Random Forest regressor gave the best precision predicting transcoding speed and CPU consumption.</w:t>
            </w:r>
          </w:p>
        </w:tc>
        <w:tc>
          <w:tcPr>
            <w:tcW w:type="dxa" w:w="3168"/>
            <w:vAlign w:val="center"/>
          </w:tcPr>
          <w:p>
            <w:r/>
            <w:r>
              <w:rPr>
                <w:b w:val="0"/>
                <w:color w:val="000000"/>
                <w:sz w:val="17"/>
              </w:rPr>
              <w:t>Supports container-based deployment and auto-scaling of the Transcoding Service under variable load.</w:t>
            </w:r>
          </w:p>
        </w:tc>
      </w:tr>
      <w:tr>
        <w:tc>
          <w:tcPr>
            <w:tcW w:type="dxa" w:w="2376"/>
            <w:vAlign w:val="center"/>
          </w:tcPr>
          <w:p>
            <w:r/>
            <w:r>
              <w:rPr>
                <w:b w:val="0"/>
                <w:color w:val="000000"/>
                <w:sz w:val="17"/>
              </w:rPr>
              <w:t>Video Streaming Services Using Cloud Computing (2025, ResearchGate)</w:t>
            </w:r>
          </w:p>
        </w:tc>
        <w:tc>
          <w:tcPr>
            <w:tcW w:type="dxa" w:w="1728"/>
            <w:vAlign w:val="center"/>
          </w:tcPr>
          <w:p>
            <w:r/>
            <w:r>
              <w:rPr>
                <w:b w:val="0"/>
                <w:color w:val="000000"/>
                <w:sz w:val="17"/>
              </w:rPr>
              <w:t>End-to-end cloud architecture</w:t>
            </w:r>
          </w:p>
        </w:tc>
        <w:tc>
          <w:tcPr>
            <w:tcW w:type="dxa" w:w="4032"/>
            <w:vAlign w:val="center"/>
          </w:tcPr>
          <w:p>
            <w:r/>
            <w:r>
              <w:rPr>
                <w:b w:val="0"/>
                <w:color w:val="000000"/>
                <w:sz w:val="17"/>
              </w:rPr>
              <w:t>Describes ingestion servers, object storage (S3/Blob Storage), managed transcoding (MediaConvert/Azure Media Services), and CDN edge caching (CloudFront/Akamai) as the standard component set.</w:t>
            </w:r>
          </w:p>
        </w:tc>
        <w:tc>
          <w:tcPr>
            <w:tcW w:type="dxa" w:w="3168"/>
            <w:vAlign w:val="center"/>
          </w:tcPr>
          <w:p>
            <w:r/>
            <w:r>
              <w:rPr>
                <w:b w:val="0"/>
                <w:color w:val="000000"/>
                <w:sz w:val="17"/>
              </w:rPr>
              <w:t>Maps directly onto the case study's Media Object Storage, Upload/Transcoding Services, and CDN layer.</w:t>
            </w:r>
          </w:p>
        </w:tc>
      </w:tr>
      <w:tr>
        <w:tc>
          <w:tcPr>
            <w:tcW w:type="dxa" w:w="2376"/>
            <w:vAlign w:val="center"/>
          </w:tcPr>
          <w:p>
            <w:r/>
            <w:r>
              <w:rPr>
                <w:b w:val="0"/>
                <w:color w:val="000000"/>
                <w:sz w:val="17"/>
              </w:rPr>
              <w:t>Cloud-Based Digital Content Recorder Apparatus and Methods (patent literature)</w:t>
            </w:r>
          </w:p>
        </w:tc>
        <w:tc>
          <w:tcPr>
            <w:tcW w:type="dxa" w:w="1728"/>
            <w:vAlign w:val="center"/>
          </w:tcPr>
          <w:p>
            <w:r/>
            <w:r>
              <w:rPr>
                <w:b w:val="0"/>
                <w:color w:val="000000"/>
                <w:sz w:val="17"/>
              </w:rPr>
              <w:t>Adaptive bitrate delivery mechanics</w:t>
            </w:r>
          </w:p>
        </w:tc>
        <w:tc>
          <w:tcPr>
            <w:tcW w:type="dxa" w:w="4032"/>
            <w:vAlign w:val="center"/>
          </w:tcPr>
          <w:p>
            <w:r/>
            <w:r>
              <w:rPr>
                <w:b w:val="0"/>
                <w:color w:val="000000"/>
                <w:sz w:val="17"/>
              </w:rPr>
              <w:t>ABR selects among multiple pre-encoded bitrates based on current network conditions; minimizing transcoding passes preserves quality and reduces degradation.</w:t>
            </w:r>
          </w:p>
        </w:tc>
        <w:tc>
          <w:tcPr>
            <w:tcW w:type="dxa" w:w="3168"/>
            <w:vAlign w:val="center"/>
          </w:tcPr>
          <w:p>
            <w:r/>
            <w:r>
              <w:rPr>
                <w:b w:val="0"/>
                <w:color w:val="000000"/>
                <w:sz w:val="17"/>
              </w:rPr>
              <w:t>Informs the rationale for pre-generating multiple renditions rather than transcoding on-the-fly.</w:t>
            </w:r>
          </w:p>
        </w:tc>
      </w:tr>
      <w:tr>
        <w:tc>
          <w:tcPr>
            <w:tcW w:type="dxa" w:w="2376"/>
            <w:vAlign w:val="center"/>
          </w:tcPr>
          <w:p>
            <w:r/>
            <w:r>
              <w:rPr>
                <w:b w:val="0"/>
                <w:color w:val="000000"/>
                <w:sz w:val="17"/>
              </w:rPr>
              <w:t>Architecture and Method for High-Performance On-Demand Video Transcoding (patent literature)</w:t>
            </w:r>
          </w:p>
        </w:tc>
        <w:tc>
          <w:tcPr>
            <w:tcW w:type="dxa" w:w="1728"/>
            <w:vAlign w:val="center"/>
          </w:tcPr>
          <w:p>
            <w:r/>
            <w:r>
              <w:rPr>
                <w:b w:val="0"/>
                <w:color w:val="000000"/>
                <w:sz w:val="17"/>
              </w:rPr>
              <w:t>Cost-aware scheduling</w:t>
            </w:r>
          </w:p>
        </w:tc>
        <w:tc>
          <w:tcPr>
            <w:tcW w:type="dxa" w:w="4032"/>
            <w:vAlign w:val="center"/>
          </w:tcPr>
          <w:p>
            <w:r/>
            <w:r>
              <w:rPr>
                <w:b w:val="0"/>
                <w:color w:val="000000"/>
                <w:sz w:val="17"/>
              </w:rPr>
              <w:t>A QoS-aware scheduling method combined with cost-aware dynamic provisioning reduced cloud resource costs by up to 70% versus static allocation under moderate demand.</w:t>
            </w:r>
          </w:p>
        </w:tc>
        <w:tc>
          <w:tcPr>
            <w:tcW w:type="dxa" w:w="3168"/>
            <w:vAlign w:val="center"/>
          </w:tcPr>
          <w:p>
            <w:r/>
            <w:r>
              <w:rPr>
                <w:b w:val="0"/>
                <w:color w:val="000000"/>
                <w:sz w:val="17"/>
              </w:rPr>
              <w:t>Supports auto-scaling design choices for the Transcoding Service to control operating cost.</w:t>
            </w:r>
          </w:p>
        </w:tc>
      </w:tr>
      <w:tr>
        <w:tc>
          <w:tcPr>
            <w:tcW w:type="dxa" w:w="2376"/>
            <w:vAlign w:val="center"/>
          </w:tcPr>
          <w:p>
            <w:r/>
            <w:r>
              <w:rPr>
                <w:b w:val="0"/>
                <w:color w:val="000000"/>
                <w:sz w:val="17"/>
              </w:rPr>
              <w:t>Network-Assisted Delivery of Adaptive Video Streaming Services through CDN, SDN, and MEC (arXiv)</w:t>
            </w:r>
          </w:p>
        </w:tc>
        <w:tc>
          <w:tcPr>
            <w:tcW w:type="dxa" w:w="1728"/>
            <w:vAlign w:val="center"/>
          </w:tcPr>
          <w:p>
            <w:r/>
            <w:r>
              <w:rPr>
                <w:b w:val="0"/>
                <w:color w:val="000000"/>
                <w:sz w:val="17"/>
              </w:rPr>
              <w:t>Edge-enabled CDN delivery</w:t>
            </w:r>
          </w:p>
        </w:tc>
        <w:tc>
          <w:tcPr>
            <w:tcW w:type="dxa" w:w="4032"/>
            <w:vAlign w:val="center"/>
          </w:tcPr>
          <w:p>
            <w:r/>
            <w:r>
              <w:rPr>
                <w:b w:val="0"/>
                <w:color w:val="000000"/>
                <w:sz w:val="17"/>
              </w:rPr>
              <w:t>Explores extending edge servers with transcoding capability within CDN/SDN-assisted frameworks to optimize QoE for both VoD and live streaming.</w:t>
            </w:r>
          </w:p>
        </w:tc>
        <w:tc>
          <w:tcPr>
            <w:tcW w:type="dxa" w:w="3168"/>
            <w:vAlign w:val="center"/>
          </w:tcPr>
          <w:p>
            <w:r/>
            <w:r>
              <w:rPr>
                <w:b w:val="0"/>
                <w:color w:val="000000"/>
                <w:sz w:val="17"/>
              </w:rPr>
              <w:t>Extends the case study's CDN layer toward edge-aware delivery for future scalability.</w:t>
            </w:r>
          </w:p>
        </w:tc>
      </w:tr>
    </w:tbl>
    <w:p>
      <w:r>
        <w:rPr>
          <w:b/>
          <w:color w:val="000000"/>
          <w:sz w:val="26"/>
        </w:rPr>
        <w:t>5. Tools</w:t>
      </w:r>
    </w:p>
    <w:p>
      <w:pPr>
        <w:pStyle w:val="ListBullet"/>
      </w:pPr>
      <w:r>
        <w:rPr>
          <w:b w:val="0"/>
          <w:color w:val="000000"/>
          <w:sz w:val="22"/>
        </w:rPr>
        <w:t>Cloud platform: AWS / Azure / Google Cloud</w:t>
      </w:r>
    </w:p>
    <w:p>
      <w:pPr>
        <w:pStyle w:val="ListBullet"/>
      </w:pPr>
      <w:r>
        <w:rPr>
          <w:b w:val="0"/>
          <w:color w:val="000000"/>
          <w:sz w:val="22"/>
        </w:rPr>
        <w:t>Frontend: HTML, CSS, JavaScript</w:t>
      </w:r>
    </w:p>
    <w:p>
      <w:pPr>
        <w:pStyle w:val="ListBullet"/>
      </w:pPr>
      <w:r>
        <w:rPr>
          <w:b w:val="0"/>
          <w:color w:val="000000"/>
          <w:sz w:val="22"/>
        </w:rPr>
        <w:t>Backend/API: Spring Boot or another cloud application framework</w:t>
      </w:r>
    </w:p>
    <w:p>
      <w:pPr>
        <w:pStyle w:val="ListBullet"/>
      </w:pPr>
      <w:r>
        <w:rPr>
          <w:b w:val="0"/>
          <w:color w:val="000000"/>
          <w:sz w:val="22"/>
        </w:rPr>
        <w:t>Database: Managed cloud database</w:t>
      </w:r>
    </w:p>
    <w:p>
      <w:pPr>
        <w:pStyle w:val="ListBullet"/>
      </w:pPr>
      <w:r>
        <w:rPr>
          <w:b w:val="0"/>
          <w:color w:val="000000"/>
          <w:sz w:val="22"/>
        </w:rPr>
        <w:t>Object Storage: Amazon S3 / Azure Blob Storage / equivalent</w:t>
      </w:r>
    </w:p>
    <w:p>
      <w:pPr>
        <w:pStyle w:val="ListBullet"/>
      </w:pPr>
      <w:r>
        <w:rPr>
          <w:b w:val="0"/>
          <w:color w:val="000000"/>
          <w:sz w:val="22"/>
        </w:rPr>
        <w:t>Transcoding: Managed cloud transcoding or FFmpeg-based service</w:t>
      </w:r>
    </w:p>
    <w:p>
      <w:pPr>
        <w:pStyle w:val="ListBullet"/>
      </w:pPr>
      <w:r>
        <w:rPr>
          <w:b w:val="0"/>
          <w:color w:val="000000"/>
          <w:sz w:val="22"/>
        </w:rPr>
        <w:t>Containers: Docker / Kubernetes</w:t>
      </w:r>
    </w:p>
    <w:p>
      <w:pPr>
        <w:pStyle w:val="ListBullet"/>
      </w:pPr>
      <w:r>
        <w:rPr>
          <w:b w:val="0"/>
          <w:color w:val="000000"/>
          <w:sz w:val="22"/>
        </w:rPr>
        <w:t>CDN: CloudFront / Azure CDN / equivalent</w:t>
      </w:r>
    </w:p>
    <w:p>
      <w:pPr>
        <w:pStyle w:val="ListBullet"/>
      </w:pPr>
      <w:r>
        <w:rPr>
          <w:b w:val="0"/>
          <w:color w:val="000000"/>
          <w:sz w:val="22"/>
        </w:rPr>
        <w:t>API Gateway / Load Balancer</w:t>
      </w:r>
    </w:p>
    <w:p>
      <w:pPr>
        <w:pStyle w:val="ListBullet"/>
      </w:pPr>
      <w:r>
        <w:rPr>
          <w:b w:val="0"/>
          <w:color w:val="000000"/>
          <w:sz w:val="22"/>
        </w:rPr>
        <w:t>Security: Authentication, IAM and RBAC</w:t>
      </w:r>
    </w:p>
    <w:p>
      <w:pPr>
        <w:pStyle w:val="ListBullet"/>
      </w:pPr>
      <w:r>
        <w:rPr>
          <w:b w:val="0"/>
          <w:color w:val="000000"/>
          <w:sz w:val="22"/>
        </w:rPr>
        <w:t>Operations: Monitoring, Logging and Analytics</w:t>
      </w:r>
    </w:p>
    <w:p>
      <w:r>
        <w:rPr>
          <w:b/>
          <w:color w:val="000000"/>
          <w:sz w:val="26"/>
        </w:rPr>
        <w:t>6. System Architecture</w:t>
      </w:r>
    </w:p>
    <w:p>
      <w:r>
        <w:rPr>
          <w:b w:val="0"/>
          <w:color w:val="000000"/>
          <w:sz w:val="22"/>
        </w:rPr>
        <w:t>The following boxed flow shows the major upload, processing, and streaming paths.</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Content Creator</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Web / Mobile Upload Interface</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API Gateway / Load Balancer</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Raw Video → Cloud Object Storage</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Asynchronous Transcoding Queue / Pipeline</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Transcoding Service → Multiple Adaptive-Bitrate Renditions</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Media Object Storage → Processed Video Files</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CDN / Edge Servers</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Viewer → Adaptive-Bitrate Streaming</w:t>
            </w:r>
          </w:p>
        </w:tc>
      </w:tr>
    </w:tbl>
    <w:p>
      <w:pPr>
        <w:jc w:val="center"/>
      </w:pPr>
      <w:r>
        <w:rPr>
          <w:b/>
          <w:color w:val="000000"/>
          <w:sz w:val="24"/>
        </w:rPr>
        <w:t>↓</w:t>
      </w:r>
    </w:p>
    <w:tbl>
      <w:tblPr>
        <w:tblW w:type="auto" w:w="0"/>
        <w:jc w:val="center"/>
        <w:tblLook w:firstColumn="1" w:firstRow="1" w:lastColumn="0" w:lastRow="0" w:noHBand="0" w:noVBand="1" w:val="04A0"/>
      </w:tblPr>
      <w:tblGrid>
        <w:gridCol w:w="10224"/>
      </w:tblGrid>
      <w:tr>
        <w:tc>
          <w:tcPr>
            <w:tcW w:type="dxa" w:w="10224"/>
            <w:vAlign w:val="center"/>
            <w:tcBorders>
              <w:top w:val="single" w:sz="12" w:color="000000"/>
              <w:left w:val="single" w:sz="12" w:color="000000"/>
              <w:bottom w:val="single" w:sz="12" w:color="000000"/>
              <w:right w:val="single" w:sz="12" w:color="000000"/>
            </w:tcBorders>
          </w:tcPr>
          <w:p>
            <w:pPr>
              <w:jc w:val="center"/>
            </w:pPr>
            <w:r>
              <w:rPr>
                <w:b/>
                <w:color w:val="000000"/>
                <w:sz w:val="20"/>
              </w:rPr>
              <w:t>Managed Metadata Database + Monitoring / Logging / Analytics</w:t>
            </w:r>
          </w:p>
        </w:tc>
      </w:tr>
    </w:tbl>
    <w:p>
      <w:r>
        <w:rPr>
          <w:b/>
          <w:color w:val="000000"/>
          <w:sz w:val="26"/>
        </w:rPr>
        <w:t>References</w:t>
      </w:r>
    </w:p>
    <w:p>
      <w:pPr>
        <w:pStyle w:val="ListNumber"/>
      </w:pPr>
      <w:r>
        <w:rPr>
          <w:b w:val="0"/>
          <w:color w:val="000000"/>
          <w:sz w:val="19"/>
        </w:rPr>
        <w:t>Chen, K., &amp; Chang, H. (2017). Complexity of cloud-based transcoding platform for scalable and effective video streaming services. Multimedia Tools and Applications, 76, 19557–19574. https://doi.org/10.1007/s11042-016-3247-z</w:t>
      </w:r>
    </w:p>
    <w:p>
      <w:pPr>
        <w:pStyle w:val="ListNumber"/>
      </w:pPr>
      <w:r>
        <w:rPr>
          <w:b w:val="0"/>
          <w:color w:val="000000"/>
          <w:sz w:val="19"/>
        </w:rPr>
        <w:t>Video transcoding for adaptive bitrate streaming over edge-cloud continuum. (2020). ScienceDirect.</w:t>
      </w:r>
    </w:p>
    <w:p>
      <w:pPr>
        <w:pStyle w:val="ListNumber"/>
      </w:pPr>
      <w:r>
        <w:rPr>
          <w:b w:val="0"/>
          <w:color w:val="000000"/>
          <w:sz w:val="19"/>
        </w:rPr>
        <w:t>Online architecture for predicting live video transcoding resources. (2019). Journal of Cloud Computing. https://journalofcloudcomputing.springeropen.com/articles/10.1186/s13677-019-0132-0</w:t>
      </w:r>
    </w:p>
    <w:p>
      <w:pPr>
        <w:pStyle w:val="ListNumber"/>
      </w:pPr>
      <w:r>
        <w:rPr>
          <w:b w:val="0"/>
          <w:color w:val="000000"/>
          <w:sz w:val="19"/>
        </w:rPr>
        <w:t>Video streaming services using cloud computing. (2025). ResearchGate.</w:t>
      </w:r>
    </w:p>
    <w:p>
      <w:pPr>
        <w:pStyle w:val="ListNumber"/>
      </w:pPr>
      <w:r>
        <w:rPr>
          <w:b w:val="0"/>
          <w:color w:val="000000"/>
          <w:sz w:val="19"/>
        </w:rPr>
        <w:t>Network-assisted delivery of adaptive video streaming services through CDN, SDN, and MEC. arXiv. https://arxiv.org/pdf/2403.16951</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