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2EA3F" w14:textId="42B4D110" w:rsidR="00DF7914" w:rsidRPr="00E12724" w:rsidRDefault="004334A0" w:rsidP="004334A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12724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</w:t>
      </w:r>
    </w:p>
    <w:p w14:paraId="6CEEFA75" w14:textId="338B1D20" w:rsidR="00E12724" w:rsidRPr="00E12724" w:rsidRDefault="00E12724" w:rsidP="00E12724">
      <w:pPr>
        <w:rPr>
          <w:rFonts w:ascii="Times New Roman" w:hAnsi="Times New Roman" w:cs="Times New Roman"/>
          <w:sz w:val="24"/>
          <w:szCs w:val="24"/>
        </w:rPr>
      </w:pPr>
      <w:r w:rsidRPr="00E12724">
        <w:rPr>
          <w:rFonts w:ascii="Times New Roman" w:hAnsi="Times New Roman" w:cs="Times New Roman"/>
          <w:sz w:val="24"/>
          <w:szCs w:val="24"/>
        </w:rPr>
        <w:t>[1] G. R. Ferris, M. R. Buckley, and G. M. Allen, “Promotion systems in organizations.” Human Resource Planning, vol. 15, no. 3, 1992.</w:t>
      </w:r>
    </w:p>
    <w:p w14:paraId="5E41B15E" w14:textId="1F35C5B9" w:rsidR="004334A0" w:rsidRDefault="004334A0" w:rsidP="004334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4334A0">
        <w:rPr>
          <w:rFonts w:ascii="Times New Roman" w:hAnsi="Times New Roman" w:cs="Times New Roman"/>
          <w:sz w:val="24"/>
          <w:szCs w:val="24"/>
        </w:rPr>
        <w:t xml:space="preserve">2] P. Khatri, S. Gupta, K. Gulati, and S. Chauhan, “Talent management in </w:t>
      </w:r>
      <w:proofErr w:type="spellStart"/>
      <w:r w:rsidRPr="004334A0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4334A0">
        <w:rPr>
          <w:rFonts w:ascii="Times New Roman" w:hAnsi="Times New Roman" w:cs="Times New Roman"/>
          <w:sz w:val="24"/>
          <w:szCs w:val="24"/>
        </w:rPr>
        <w:t xml:space="preserve">,” Journal of management and strategy, vol. 1, no. 1, p. 39, 2010. </w:t>
      </w:r>
    </w:p>
    <w:p w14:paraId="2B070E0E" w14:textId="77777777" w:rsidR="004334A0" w:rsidRDefault="004334A0" w:rsidP="004334A0">
      <w:pPr>
        <w:jc w:val="both"/>
        <w:rPr>
          <w:rFonts w:ascii="Times New Roman" w:hAnsi="Times New Roman" w:cs="Times New Roman"/>
          <w:sz w:val="24"/>
          <w:szCs w:val="24"/>
        </w:rPr>
      </w:pPr>
      <w:r w:rsidRPr="004334A0">
        <w:rPr>
          <w:rFonts w:ascii="Times New Roman" w:hAnsi="Times New Roman" w:cs="Times New Roman"/>
          <w:sz w:val="24"/>
          <w:szCs w:val="24"/>
        </w:rPr>
        <w:t xml:space="preserve">[3] J. </w:t>
      </w:r>
      <w:proofErr w:type="spellStart"/>
      <w:r w:rsidRPr="004334A0">
        <w:rPr>
          <w:rFonts w:ascii="Times New Roman" w:hAnsi="Times New Roman" w:cs="Times New Roman"/>
          <w:sz w:val="24"/>
          <w:szCs w:val="24"/>
        </w:rPr>
        <w:t>Schwarzwald</w:t>
      </w:r>
      <w:proofErr w:type="spellEnd"/>
      <w:r w:rsidRPr="004334A0">
        <w:rPr>
          <w:rFonts w:ascii="Times New Roman" w:hAnsi="Times New Roman" w:cs="Times New Roman"/>
          <w:sz w:val="24"/>
          <w:szCs w:val="24"/>
        </w:rPr>
        <w:t xml:space="preserve">, M. Koslowsky, and B. Shalit, “A field study of employees attitudes and behaviors after promotion decisions.” Journal of applied psychology, vol. 77, no. 4, p. 511, 1992. </w:t>
      </w:r>
    </w:p>
    <w:p w14:paraId="035A8BB9" w14:textId="43AEFC04" w:rsidR="004334A0" w:rsidRDefault="004334A0" w:rsidP="004334A0">
      <w:pPr>
        <w:jc w:val="both"/>
        <w:rPr>
          <w:rFonts w:ascii="Times New Roman" w:hAnsi="Times New Roman" w:cs="Times New Roman"/>
          <w:sz w:val="24"/>
          <w:szCs w:val="24"/>
        </w:rPr>
      </w:pPr>
      <w:r w:rsidRPr="004334A0">
        <w:rPr>
          <w:rFonts w:ascii="Times New Roman" w:hAnsi="Times New Roman" w:cs="Times New Roman"/>
          <w:sz w:val="24"/>
          <w:szCs w:val="24"/>
        </w:rPr>
        <w:t xml:space="preserve">[4] N. Suleman, </w:t>
      </w:r>
      <w:proofErr w:type="spellStart"/>
      <w:r w:rsidRPr="004334A0">
        <w:rPr>
          <w:rFonts w:ascii="Times New Roman" w:hAnsi="Times New Roman" w:cs="Times New Roman"/>
          <w:sz w:val="24"/>
          <w:szCs w:val="24"/>
        </w:rPr>
        <w:t>Mahyudi</w:t>
      </w:r>
      <w:proofErr w:type="spellEnd"/>
      <w:r w:rsidRPr="004334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34A0">
        <w:rPr>
          <w:rFonts w:ascii="Times New Roman" w:hAnsi="Times New Roman" w:cs="Times New Roman"/>
          <w:sz w:val="24"/>
          <w:szCs w:val="24"/>
        </w:rPr>
        <w:t>Ansir</w:t>
      </w:r>
      <w:proofErr w:type="spellEnd"/>
      <w:r w:rsidRPr="004334A0">
        <w:rPr>
          <w:rFonts w:ascii="Times New Roman" w:hAnsi="Times New Roman" w:cs="Times New Roman"/>
          <w:sz w:val="24"/>
          <w:szCs w:val="24"/>
        </w:rPr>
        <w:t xml:space="preserve">, and M. Masri, “Factors influencing po </w:t>
      </w:r>
      <w:proofErr w:type="spellStart"/>
      <w:r w:rsidRPr="004334A0">
        <w:rPr>
          <w:rFonts w:ascii="Times New Roman" w:hAnsi="Times New Roman" w:cs="Times New Roman"/>
          <w:sz w:val="24"/>
          <w:szCs w:val="24"/>
        </w:rPr>
        <w:t>sition</w:t>
      </w:r>
      <w:proofErr w:type="spellEnd"/>
      <w:r w:rsidRPr="004334A0">
        <w:rPr>
          <w:rFonts w:ascii="Times New Roman" w:hAnsi="Times New Roman" w:cs="Times New Roman"/>
          <w:sz w:val="24"/>
          <w:szCs w:val="24"/>
        </w:rPr>
        <w:t xml:space="preserve"> promotion of civil servants in north </w:t>
      </w:r>
      <w:proofErr w:type="spellStart"/>
      <w:r w:rsidRPr="004334A0">
        <w:rPr>
          <w:rFonts w:ascii="Times New Roman" w:hAnsi="Times New Roman" w:cs="Times New Roman"/>
          <w:sz w:val="24"/>
          <w:szCs w:val="24"/>
        </w:rPr>
        <w:t>buton</w:t>
      </w:r>
      <w:proofErr w:type="spellEnd"/>
      <w:r w:rsidRPr="004334A0">
        <w:rPr>
          <w:rFonts w:ascii="Times New Roman" w:hAnsi="Times New Roman" w:cs="Times New Roman"/>
          <w:sz w:val="24"/>
          <w:szCs w:val="24"/>
        </w:rPr>
        <w:t xml:space="preserve"> district government,” vol. Volume 21, pp. PP 19–33, 04 2019. </w:t>
      </w:r>
    </w:p>
    <w:p w14:paraId="14F1DA39" w14:textId="77777777" w:rsidR="004334A0" w:rsidRDefault="004334A0" w:rsidP="004334A0">
      <w:pPr>
        <w:jc w:val="both"/>
        <w:rPr>
          <w:rFonts w:ascii="Times New Roman" w:hAnsi="Times New Roman" w:cs="Times New Roman"/>
          <w:sz w:val="24"/>
          <w:szCs w:val="24"/>
        </w:rPr>
      </w:pPr>
      <w:r w:rsidRPr="004334A0">
        <w:rPr>
          <w:rFonts w:ascii="Times New Roman" w:hAnsi="Times New Roman" w:cs="Times New Roman"/>
          <w:sz w:val="24"/>
          <w:szCs w:val="24"/>
        </w:rPr>
        <w:t xml:space="preserve">[5] P. Cunningham, M. Cord, and S. J. Delany, “Supervised learning, in machine learning techniques for multimedia,” 2008. </w:t>
      </w:r>
    </w:p>
    <w:p w14:paraId="4267A39F" w14:textId="77777777" w:rsidR="004334A0" w:rsidRDefault="004334A0" w:rsidP="004334A0">
      <w:pPr>
        <w:jc w:val="both"/>
        <w:rPr>
          <w:rFonts w:ascii="Times New Roman" w:hAnsi="Times New Roman" w:cs="Times New Roman"/>
          <w:sz w:val="24"/>
          <w:szCs w:val="24"/>
        </w:rPr>
      </w:pPr>
      <w:r w:rsidRPr="004334A0">
        <w:rPr>
          <w:rFonts w:ascii="Times New Roman" w:hAnsi="Times New Roman" w:cs="Times New Roman"/>
          <w:sz w:val="24"/>
          <w:szCs w:val="24"/>
        </w:rPr>
        <w:t xml:space="preserve">[6] G. Randhawa, Human resource management. Atlantic Publishers &amp; </w:t>
      </w:r>
      <w:proofErr w:type="spellStart"/>
      <w:r w:rsidRPr="004334A0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4334A0">
        <w:rPr>
          <w:rFonts w:ascii="Times New Roman" w:hAnsi="Times New Roman" w:cs="Times New Roman"/>
          <w:sz w:val="24"/>
          <w:szCs w:val="24"/>
        </w:rPr>
        <w:t>, 2007.</w:t>
      </w:r>
    </w:p>
    <w:p w14:paraId="2BDDC500" w14:textId="77777777" w:rsidR="004334A0" w:rsidRDefault="004334A0" w:rsidP="004334A0">
      <w:pPr>
        <w:jc w:val="both"/>
        <w:rPr>
          <w:rFonts w:ascii="Times New Roman" w:hAnsi="Times New Roman" w:cs="Times New Roman"/>
          <w:sz w:val="24"/>
          <w:szCs w:val="24"/>
        </w:rPr>
      </w:pPr>
      <w:r w:rsidRPr="004334A0">
        <w:rPr>
          <w:rFonts w:ascii="Times New Roman" w:hAnsi="Times New Roman" w:cs="Times New Roman"/>
          <w:sz w:val="24"/>
          <w:szCs w:val="24"/>
        </w:rPr>
        <w:t xml:space="preserve"> [7] P. Hamet and J. Tremblay, “Artificial intelligence in medicine,” Metabolism, vol. 69, pp. S36–S40, 2017. </w:t>
      </w:r>
    </w:p>
    <w:p w14:paraId="4CDFE246" w14:textId="77777777" w:rsidR="00E12724" w:rsidRDefault="004334A0" w:rsidP="004334A0">
      <w:pPr>
        <w:jc w:val="both"/>
        <w:rPr>
          <w:rFonts w:ascii="Times New Roman" w:hAnsi="Times New Roman" w:cs="Times New Roman"/>
          <w:sz w:val="24"/>
          <w:szCs w:val="24"/>
        </w:rPr>
      </w:pPr>
      <w:r w:rsidRPr="004334A0">
        <w:rPr>
          <w:rFonts w:ascii="Times New Roman" w:hAnsi="Times New Roman" w:cs="Times New Roman"/>
          <w:sz w:val="24"/>
          <w:szCs w:val="24"/>
        </w:rPr>
        <w:t xml:space="preserve">[8] S. S. </w:t>
      </w:r>
      <w:proofErr w:type="spellStart"/>
      <w:r w:rsidRPr="004334A0">
        <w:rPr>
          <w:rFonts w:ascii="Times New Roman" w:hAnsi="Times New Roman" w:cs="Times New Roman"/>
          <w:sz w:val="24"/>
          <w:szCs w:val="24"/>
        </w:rPr>
        <w:t>Alduayj</w:t>
      </w:r>
      <w:proofErr w:type="spellEnd"/>
      <w:r w:rsidRPr="004334A0">
        <w:rPr>
          <w:rFonts w:ascii="Times New Roman" w:hAnsi="Times New Roman" w:cs="Times New Roman"/>
          <w:sz w:val="24"/>
          <w:szCs w:val="24"/>
        </w:rPr>
        <w:t xml:space="preserve"> and K. Rajpoot, “Predicting employee attrition using machine learning,” in 2018 international conference on innovations in information technology (</w:t>
      </w:r>
      <w:proofErr w:type="spellStart"/>
      <w:r w:rsidRPr="004334A0">
        <w:rPr>
          <w:rFonts w:ascii="Times New Roman" w:hAnsi="Times New Roman" w:cs="Times New Roman"/>
          <w:sz w:val="24"/>
          <w:szCs w:val="24"/>
        </w:rPr>
        <w:t>iit</w:t>
      </w:r>
      <w:proofErr w:type="spellEnd"/>
      <w:r w:rsidRPr="004334A0">
        <w:rPr>
          <w:rFonts w:ascii="Times New Roman" w:hAnsi="Times New Roman" w:cs="Times New Roman"/>
          <w:sz w:val="24"/>
          <w:szCs w:val="24"/>
        </w:rPr>
        <w:t xml:space="preserve">). IEEE, 2018, pp. 93–98. </w:t>
      </w:r>
    </w:p>
    <w:p w14:paraId="2BFBE2CD" w14:textId="77777777" w:rsidR="00E12724" w:rsidRDefault="004334A0" w:rsidP="004334A0">
      <w:pPr>
        <w:jc w:val="both"/>
        <w:rPr>
          <w:rFonts w:ascii="Times New Roman" w:hAnsi="Times New Roman" w:cs="Times New Roman"/>
          <w:sz w:val="24"/>
          <w:szCs w:val="24"/>
        </w:rPr>
      </w:pPr>
      <w:r w:rsidRPr="004334A0">
        <w:rPr>
          <w:rFonts w:ascii="Times New Roman" w:hAnsi="Times New Roman" w:cs="Times New Roman"/>
          <w:sz w:val="24"/>
          <w:szCs w:val="24"/>
        </w:rPr>
        <w:t xml:space="preserve">[9] P. K. Jain, M. Jain, and R. Pamula, “Explaining and predicting employ </w:t>
      </w:r>
      <w:proofErr w:type="spellStart"/>
      <w:r w:rsidRPr="004334A0">
        <w:rPr>
          <w:rFonts w:ascii="Times New Roman" w:hAnsi="Times New Roman" w:cs="Times New Roman"/>
          <w:sz w:val="24"/>
          <w:szCs w:val="24"/>
        </w:rPr>
        <w:t>ees</w:t>
      </w:r>
      <w:proofErr w:type="spellEnd"/>
      <w:r w:rsidRPr="004334A0">
        <w:rPr>
          <w:rFonts w:ascii="Times New Roman" w:hAnsi="Times New Roman" w:cs="Times New Roman"/>
          <w:sz w:val="24"/>
          <w:szCs w:val="24"/>
        </w:rPr>
        <w:t xml:space="preserve"> attrition: a machine learning approach,” SN Applied Sciences, vol. 2, no. 4, pp. 1–11, 2020. </w:t>
      </w:r>
    </w:p>
    <w:p w14:paraId="0D48B579" w14:textId="77777777" w:rsidR="00E12724" w:rsidRDefault="004334A0" w:rsidP="004334A0">
      <w:pPr>
        <w:jc w:val="both"/>
        <w:rPr>
          <w:rFonts w:ascii="Times New Roman" w:hAnsi="Times New Roman" w:cs="Times New Roman"/>
          <w:sz w:val="24"/>
          <w:szCs w:val="24"/>
        </w:rPr>
      </w:pPr>
      <w:r w:rsidRPr="004334A0">
        <w:rPr>
          <w:rFonts w:ascii="Times New Roman" w:hAnsi="Times New Roman" w:cs="Times New Roman"/>
          <w:sz w:val="24"/>
          <w:szCs w:val="24"/>
        </w:rPr>
        <w:t>[10] B. L., “Artificial intelligence and human resource,” 01 2022.</w:t>
      </w:r>
    </w:p>
    <w:p w14:paraId="2F1BF834" w14:textId="77777777" w:rsidR="00E12724" w:rsidRDefault="004334A0" w:rsidP="004334A0">
      <w:pPr>
        <w:jc w:val="both"/>
        <w:rPr>
          <w:rFonts w:ascii="Times New Roman" w:hAnsi="Times New Roman" w:cs="Times New Roman"/>
          <w:sz w:val="24"/>
          <w:szCs w:val="24"/>
        </w:rPr>
      </w:pPr>
      <w:r w:rsidRPr="004334A0">
        <w:rPr>
          <w:rFonts w:ascii="Times New Roman" w:hAnsi="Times New Roman" w:cs="Times New Roman"/>
          <w:sz w:val="24"/>
          <w:szCs w:val="24"/>
        </w:rPr>
        <w:t xml:space="preserve"> [11] Y. Long, J. Liu, M. Fang, T. Wang, and W. Jiang, “Prediction of employee promotion based on personal basic features and post features,” in Proceedings of the International Conference on Data Processing and Applications, 2018, pp. 5–10. </w:t>
      </w:r>
    </w:p>
    <w:p w14:paraId="2DE2DA09" w14:textId="77777777" w:rsidR="00E12724" w:rsidRDefault="004334A0" w:rsidP="004334A0">
      <w:pPr>
        <w:jc w:val="both"/>
        <w:rPr>
          <w:rFonts w:ascii="Times New Roman" w:hAnsi="Times New Roman" w:cs="Times New Roman"/>
          <w:sz w:val="24"/>
          <w:szCs w:val="24"/>
        </w:rPr>
      </w:pPr>
      <w:r w:rsidRPr="004334A0">
        <w:rPr>
          <w:rFonts w:ascii="Times New Roman" w:hAnsi="Times New Roman" w:cs="Times New Roman"/>
          <w:sz w:val="24"/>
          <w:szCs w:val="24"/>
        </w:rPr>
        <w:t xml:space="preserve">[12] J. Liu, T. Wang, J. Li, J. Huang, F. Yao, and R. He, “A data driven analysis of employee promotion: the role of the position of organization,” in 2019 IEEE International Conference on Systems, Man and Cybernetics (SMC). IEEE, 2019, pp. 4056–4062. </w:t>
      </w:r>
    </w:p>
    <w:p w14:paraId="33143242" w14:textId="77777777" w:rsidR="00E12724" w:rsidRDefault="004334A0" w:rsidP="004334A0">
      <w:pPr>
        <w:jc w:val="both"/>
        <w:rPr>
          <w:rFonts w:ascii="Times New Roman" w:hAnsi="Times New Roman" w:cs="Times New Roman"/>
          <w:sz w:val="24"/>
          <w:szCs w:val="24"/>
        </w:rPr>
      </w:pPr>
      <w:r w:rsidRPr="004334A0">
        <w:rPr>
          <w:rFonts w:ascii="Times New Roman" w:hAnsi="Times New Roman" w:cs="Times New Roman"/>
          <w:sz w:val="24"/>
          <w:szCs w:val="24"/>
        </w:rPr>
        <w:t>[13] A. Tang, T. Lu, Z. Lynch, O. Schaer, and S. Adams, “Enhancing promotion decisions using classification and network-based methods,” in 2020 Systems and Information Engineering Design Symposium (SIEDS). IEEE, 2020, pp. 1–6.</w:t>
      </w:r>
    </w:p>
    <w:p w14:paraId="235C18F2" w14:textId="77777777" w:rsidR="00E12724" w:rsidRDefault="004334A0" w:rsidP="004334A0">
      <w:pPr>
        <w:jc w:val="both"/>
        <w:rPr>
          <w:rFonts w:ascii="Times New Roman" w:hAnsi="Times New Roman" w:cs="Times New Roman"/>
          <w:sz w:val="24"/>
          <w:szCs w:val="24"/>
        </w:rPr>
      </w:pPr>
      <w:r w:rsidRPr="004334A0">
        <w:rPr>
          <w:rFonts w:ascii="Times New Roman" w:hAnsi="Times New Roman" w:cs="Times New Roman"/>
          <w:sz w:val="24"/>
          <w:szCs w:val="24"/>
        </w:rPr>
        <w:t xml:space="preserve"> [14] J. Yuan, Q.-M. Zhang, J. Gao, L. Zhang, X.-S. Wan, X.-J. Yu, and T. Zhou, “Promotion and resignation in employee networks,” </w:t>
      </w:r>
      <w:proofErr w:type="spellStart"/>
      <w:r w:rsidRPr="004334A0">
        <w:rPr>
          <w:rFonts w:ascii="Times New Roman" w:hAnsi="Times New Roman" w:cs="Times New Roman"/>
          <w:sz w:val="24"/>
          <w:szCs w:val="24"/>
        </w:rPr>
        <w:t>Physica</w:t>
      </w:r>
      <w:proofErr w:type="spellEnd"/>
      <w:r w:rsidRPr="004334A0">
        <w:rPr>
          <w:rFonts w:ascii="Times New Roman" w:hAnsi="Times New Roman" w:cs="Times New Roman"/>
          <w:sz w:val="24"/>
          <w:szCs w:val="24"/>
        </w:rPr>
        <w:t xml:space="preserve"> A: Statistical Mechanics and its Applications, vol. 444, pp. 442–447, 2016.</w:t>
      </w:r>
    </w:p>
    <w:p w14:paraId="476F4999" w14:textId="28D8E1D3" w:rsidR="004334A0" w:rsidRPr="004334A0" w:rsidRDefault="004334A0" w:rsidP="004334A0">
      <w:pPr>
        <w:jc w:val="both"/>
        <w:rPr>
          <w:rFonts w:ascii="Times New Roman" w:hAnsi="Times New Roman" w:cs="Times New Roman"/>
          <w:sz w:val="24"/>
          <w:szCs w:val="24"/>
        </w:rPr>
      </w:pPr>
      <w:r w:rsidRPr="004334A0">
        <w:rPr>
          <w:rFonts w:ascii="Times New Roman" w:hAnsi="Times New Roman" w:cs="Times New Roman"/>
          <w:sz w:val="24"/>
          <w:szCs w:val="24"/>
        </w:rPr>
        <w:t xml:space="preserve"> [15] M. G. T. Li, M. Lazo, A. K. Balan, and J. de Goma, “Employee performance prediction using different supervised classifiers.”</w:t>
      </w:r>
    </w:p>
    <w:sectPr w:rsidR="004334A0" w:rsidRPr="00433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6E"/>
    <w:rsid w:val="004334A0"/>
    <w:rsid w:val="0081556E"/>
    <w:rsid w:val="00C60701"/>
    <w:rsid w:val="00CC1D03"/>
    <w:rsid w:val="00DF7914"/>
    <w:rsid w:val="00E1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496C"/>
  <w15:chartTrackingRefBased/>
  <w15:docId w15:val="{DA8F4EF7-DEFD-4F30-A654-A11204E8E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2024-10-18T10:29:00Z</dcterms:created>
  <dcterms:modified xsi:type="dcterms:W3CDTF">2024-10-18T10:58:00Z</dcterms:modified>
</cp:coreProperties>
</file>