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E6019" w14:textId="77777777" w:rsidR="00601E2A" w:rsidRPr="00884BF5" w:rsidRDefault="00000000">
      <w:pPr>
        <w:pStyle w:val="Title"/>
        <w:jc w:val="center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COMPREHENSIVE FINANCIAL ANALYSIS REPORT</w:t>
      </w:r>
    </w:p>
    <w:p w14:paraId="5929733A" w14:textId="0172A828" w:rsidR="00601E2A" w:rsidRPr="00884BF5" w:rsidRDefault="00000000">
      <w:pPr>
        <w:pStyle w:val="Heading2"/>
        <w:jc w:val="center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Forecasting Model Implementation - VoltRide</w:t>
      </w:r>
    </w:p>
    <w:p w14:paraId="0CD74A7C" w14:textId="77777777" w:rsidR="00601E2A" w:rsidRPr="00884BF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EXECUTIVE SUMMARY</w:t>
      </w:r>
    </w:p>
    <w:p w14:paraId="3A5128CD" w14:textId="77777777" w:rsidR="00601E2A" w:rsidRPr="00884BF5" w:rsidRDefault="00000000">
      <w:pPr>
        <w:rPr>
          <w:rFonts w:ascii="Times New Roman" w:hAnsi="Times New Roman" w:cs="Times New Roman"/>
        </w:rPr>
      </w:pPr>
      <w:r w:rsidRPr="00884BF5">
        <w:rPr>
          <w:rFonts w:ascii="Times New Roman" w:hAnsi="Times New Roman" w:cs="Times New Roman"/>
        </w:rPr>
        <w:t xml:space="preserve">This comprehensive financial analysis combines two complementary evaluations of implementing an improved </w:t>
      </w:r>
      <w:r w:rsidRPr="00884BF5">
        <w:rPr>
          <w:rFonts w:ascii="Times New Roman" w:hAnsi="Times New Roman" w:cs="Times New Roman"/>
        </w:rPr>
        <w:br/>
        <w:t xml:space="preserve">forecasting model with external regressors for VoltRide's ride-sharing platform. The analysis demonstrates that the implementation </w:t>
      </w:r>
      <w:r w:rsidRPr="00884BF5">
        <w:rPr>
          <w:rFonts w:ascii="Times New Roman" w:hAnsi="Times New Roman" w:cs="Times New Roman"/>
        </w:rPr>
        <w:br/>
        <w:t>will deliver significant financial benefits through enhanced operational efficiency and reduced ride cancellations.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884BF5" w:rsidRPr="00884BF5" w14:paraId="6B928B8D" w14:textId="77777777" w:rsidTr="00601E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970B53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4320" w:type="dxa"/>
          </w:tcPr>
          <w:p w14:paraId="7B9A5A99" w14:textId="77777777" w:rsidR="00601E2A" w:rsidRPr="00884B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Value (Expected Case)</w:t>
            </w:r>
          </w:p>
        </w:tc>
      </w:tr>
      <w:tr w:rsidR="00884BF5" w:rsidRPr="00884BF5" w14:paraId="0F57159E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0096AF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Annual Net Profit Increase</w:t>
            </w:r>
          </w:p>
        </w:tc>
        <w:tc>
          <w:tcPr>
            <w:tcW w:w="4320" w:type="dxa"/>
          </w:tcPr>
          <w:p w14:paraId="61A19828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₹1,041,994.67</w:t>
            </w:r>
          </w:p>
        </w:tc>
      </w:tr>
      <w:tr w:rsidR="00884BF5" w:rsidRPr="00884BF5" w14:paraId="00D5B3A7" w14:textId="77777777" w:rsidTr="00601E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E51522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Return on Investment (ROI)</w:t>
            </w:r>
          </w:p>
        </w:tc>
        <w:tc>
          <w:tcPr>
            <w:tcW w:w="4320" w:type="dxa"/>
          </w:tcPr>
          <w:p w14:paraId="61687ECF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272.14%</w:t>
            </w:r>
          </w:p>
        </w:tc>
      </w:tr>
      <w:tr w:rsidR="00884BF5" w:rsidRPr="00884BF5" w14:paraId="45A867D6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59C917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Payback Period</w:t>
            </w:r>
          </w:p>
        </w:tc>
        <w:tc>
          <w:tcPr>
            <w:tcW w:w="4320" w:type="dxa"/>
          </w:tcPr>
          <w:p w14:paraId="0C842C69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3.25 months (0.27 years)</w:t>
            </w:r>
          </w:p>
        </w:tc>
      </w:tr>
      <w:tr w:rsidR="00884BF5" w:rsidRPr="00884BF5" w14:paraId="08094B89" w14:textId="77777777" w:rsidTr="00601E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A45AF6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Initial Investment</w:t>
            </w:r>
          </w:p>
        </w:tc>
        <w:tc>
          <w:tcPr>
            <w:tcW w:w="4320" w:type="dxa"/>
          </w:tcPr>
          <w:p w14:paraId="04428C34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₹280,000.00</w:t>
            </w:r>
          </w:p>
        </w:tc>
      </w:tr>
      <w:tr w:rsidR="00884BF5" w:rsidRPr="00884BF5" w14:paraId="2369674A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A3736D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Cancellation Reduction Benefit</w:t>
            </w:r>
          </w:p>
        </w:tc>
        <w:tc>
          <w:tcPr>
            <w:tcW w:w="4320" w:type="dxa"/>
          </w:tcPr>
          <w:p w14:paraId="04900055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11.78% reduction = ₹2.01M annual</w:t>
            </w:r>
          </w:p>
        </w:tc>
      </w:tr>
    </w:tbl>
    <w:p w14:paraId="772DE68D" w14:textId="77777777" w:rsidR="00601E2A" w:rsidRPr="00884BF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SECTION 1: FINANCIAL ASSUMPTIONS FRAMEWORK</w:t>
      </w:r>
    </w:p>
    <w:p w14:paraId="36F29CD8" w14:textId="77777777" w:rsidR="00601E2A" w:rsidRPr="00884BF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1.1 Revenue Model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5"/>
        <w:gridCol w:w="2873"/>
        <w:gridCol w:w="2872"/>
      </w:tblGrid>
      <w:tr w:rsidR="00884BF5" w:rsidRPr="00884BF5" w14:paraId="14A60E62" w14:textId="77777777" w:rsidTr="00601E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77DA6C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2880" w:type="dxa"/>
          </w:tcPr>
          <w:p w14:paraId="55030D71" w14:textId="77777777" w:rsidR="00601E2A" w:rsidRPr="00884B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Value</w:t>
            </w:r>
          </w:p>
        </w:tc>
        <w:tc>
          <w:tcPr>
            <w:tcW w:w="2880" w:type="dxa"/>
          </w:tcPr>
          <w:p w14:paraId="71278855" w14:textId="77777777" w:rsidR="00601E2A" w:rsidRPr="00884B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Unit</w:t>
            </w:r>
          </w:p>
        </w:tc>
      </w:tr>
      <w:tr w:rsidR="00884BF5" w:rsidRPr="00884BF5" w14:paraId="21A51F0A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826F7D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Average Fare per Ride</w:t>
            </w:r>
          </w:p>
        </w:tc>
        <w:tc>
          <w:tcPr>
            <w:tcW w:w="2880" w:type="dxa"/>
          </w:tcPr>
          <w:p w14:paraId="43FBD67E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450.00</w:t>
            </w:r>
          </w:p>
        </w:tc>
        <w:tc>
          <w:tcPr>
            <w:tcW w:w="2880" w:type="dxa"/>
          </w:tcPr>
          <w:p w14:paraId="2F606F93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INR</w:t>
            </w:r>
          </w:p>
        </w:tc>
      </w:tr>
      <w:tr w:rsidR="00884BF5" w:rsidRPr="00884BF5" w14:paraId="332AD1E4" w14:textId="77777777" w:rsidTr="00601E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A484CB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Driver Payout Percentage</w:t>
            </w:r>
          </w:p>
        </w:tc>
        <w:tc>
          <w:tcPr>
            <w:tcW w:w="2880" w:type="dxa"/>
          </w:tcPr>
          <w:p w14:paraId="00874880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75.00%</w:t>
            </w:r>
          </w:p>
        </w:tc>
        <w:tc>
          <w:tcPr>
            <w:tcW w:w="2880" w:type="dxa"/>
          </w:tcPr>
          <w:p w14:paraId="60F5076D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%</w:t>
            </w:r>
          </w:p>
        </w:tc>
      </w:tr>
      <w:tr w:rsidR="00884BF5" w:rsidRPr="00884BF5" w14:paraId="307CD5A8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C2EF59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Platform Revenue Share per Ride</w:t>
            </w:r>
          </w:p>
        </w:tc>
        <w:tc>
          <w:tcPr>
            <w:tcW w:w="2880" w:type="dxa"/>
          </w:tcPr>
          <w:p w14:paraId="2D64E2CE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112.50</w:t>
            </w:r>
          </w:p>
        </w:tc>
        <w:tc>
          <w:tcPr>
            <w:tcW w:w="2880" w:type="dxa"/>
          </w:tcPr>
          <w:p w14:paraId="125DB887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INR</w:t>
            </w:r>
          </w:p>
        </w:tc>
      </w:tr>
    </w:tbl>
    <w:p w14:paraId="401D53DD" w14:textId="77777777" w:rsidR="00601E2A" w:rsidRPr="00884BF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1.2 Variable Cost Structure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5"/>
        <w:gridCol w:w="2873"/>
        <w:gridCol w:w="2872"/>
      </w:tblGrid>
      <w:tr w:rsidR="00884BF5" w:rsidRPr="00884BF5" w14:paraId="36C0353C" w14:textId="77777777" w:rsidTr="00601E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272A37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Cost Element</w:t>
            </w:r>
          </w:p>
        </w:tc>
        <w:tc>
          <w:tcPr>
            <w:tcW w:w="2880" w:type="dxa"/>
          </w:tcPr>
          <w:p w14:paraId="398B4D28" w14:textId="77777777" w:rsidR="00601E2A" w:rsidRPr="00884B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Value</w:t>
            </w:r>
          </w:p>
        </w:tc>
        <w:tc>
          <w:tcPr>
            <w:tcW w:w="2880" w:type="dxa"/>
          </w:tcPr>
          <w:p w14:paraId="301BD4D1" w14:textId="77777777" w:rsidR="00601E2A" w:rsidRPr="00884B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Unit</w:t>
            </w:r>
          </w:p>
        </w:tc>
      </w:tr>
      <w:tr w:rsidR="00884BF5" w:rsidRPr="00884BF5" w14:paraId="44D093A6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C71A70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Charging Cost per Ride</w:t>
            </w:r>
          </w:p>
        </w:tc>
        <w:tc>
          <w:tcPr>
            <w:tcW w:w="2880" w:type="dxa"/>
          </w:tcPr>
          <w:p w14:paraId="1F4DF3C9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20.00</w:t>
            </w:r>
          </w:p>
        </w:tc>
        <w:tc>
          <w:tcPr>
            <w:tcW w:w="2880" w:type="dxa"/>
          </w:tcPr>
          <w:p w14:paraId="0C8E293C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INR</w:t>
            </w:r>
          </w:p>
        </w:tc>
      </w:tr>
      <w:tr w:rsidR="00884BF5" w:rsidRPr="00884BF5" w14:paraId="4ED7B5EE" w14:textId="77777777" w:rsidTr="00601E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BD31A2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Platform Operational Cost per Ride</w:t>
            </w:r>
          </w:p>
        </w:tc>
        <w:tc>
          <w:tcPr>
            <w:tcW w:w="2880" w:type="dxa"/>
          </w:tcPr>
          <w:p w14:paraId="4525BDA9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15.00</w:t>
            </w:r>
          </w:p>
        </w:tc>
        <w:tc>
          <w:tcPr>
            <w:tcW w:w="2880" w:type="dxa"/>
          </w:tcPr>
          <w:p w14:paraId="53E9E3DF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INR</w:t>
            </w:r>
          </w:p>
        </w:tc>
      </w:tr>
      <w:tr w:rsidR="00884BF5" w:rsidRPr="00884BF5" w14:paraId="17A6EB87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6B5615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Total Variable Cost per Ride</w:t>
            </w:r>
          </w:p>
        </w:tc>
        <w:tc>
          <w:tcPr>
            <w:tcW w:w="2880" w:type="dxa"/>
          </w:tcPr>
          <w:p w14:paraId="64D24FAC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147.50</w:t>
            </w:r>
          </w:p>
        </w:tc>
        <w:tc>
          <w:tcPr>
            <w:tcW w:w="2880" w:type="dxa"/>
          </w:tcPr>
          <w:p w14:paraId="734776D6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INR</w:t>
            </w:r>
          </w:p>
        </w:tc>
      </w:tr>
    </w:tbl>
    <w:p w14:paraId="326DAC0E" w14:textId="77777777" w:rsidR="00884BF5" w:rsidRDefault="00884BF5">
      <w:pPr>
        <w:pStyle w:val="Heading2"/>
        <w:rPr>
          <w:rFonts w:ascii="Times New Roman" w:hAnsi="Times New Roman" w:cs="Times New Roman"/>
          <w:color w:val="auto"/>
        </w:rPr>
      </w:pPr>
    </w:p>
    <w:p w14:paraId="0C6B82B8" w14:textId="77777777" w:rsidR="00884BF5" w:rsidRDefault="00884BF5">
      <w:pPr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</w:rPr>
        <w:br w:type="page"/>
      </w:r>
    </w:p>
    <w:p w14:paraId="79A65037" w14:textId="346E742C" w:rsidR="00601E2A" w:rsidRPr="00884BF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lastRenderedPageBreak/>
        <w:t>1.3 Fixed Monthly Costs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4"/>
        <w:gridCol w:w="2873"/>
        <w:gridCol w:w="2873"/>
      </w:tblGrid>
      <w:tr w:rsidR="00884BF5" w:rsidRPr="00884BF5" w14:paraId="10981838" w14:textId="77777777" w:rsidTr="00601E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603454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2880" w:type="dxa"/>
          </w:tcPr>
          <w:p w14:paraId="11C47F84" w14:textId="77777777" w:rsidR="00601E2A" w:rsidRPr="00884B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Monthly Amount</w:t>
            </w:r>
          </w:p>
        </w:tc>
        <w:tc>
          <w:tcPr>
            <w:tcW w:w="2880" w:type="dxa"/>
          </w:tcPr>
          <w:p w14:paraId="3A5CAE50" w14:textId="77777777" w:rsidR="00601E2A" w:rsidRPr="00884B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Annual Amount</w:t>
            </w:r>
          </w:p>
        </w:tc>
      </w:tr>
      <w:tr w:rsidR="00884BF5" w:rsidRPr="00884BF5" w14:paraId="7AE6D101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E5D810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Technology</w:t>
            </w:r>
          </w:p>
        </w:tc>
        <w:tc>
          <w:tcPr>
            <w:tcW w:w="2880" w:type="dxa"/>
          </w:tcPr>
          <w:p w14:paraId="4D9EAEBC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50,000.00</w:t>
            </w:r>
          </w:p>
        </w:tc>
        <w:tc>
          <w:tcPr>
            <w:tcW w:w="2880" w:type="dxa"/>
          </w:tcPr>
          <w:p w14:paraId="5BA242BA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600,000.00</w:t>
            </w:r>
          </w:p>
        </w:tc>
      </w:tr>
      <w:tr w:rsidR="00884BF5" w:rsidRPr="00884BF5" w14:paraId="6AEEBF10" w14:textId="77777777" w:rsidTr="00601E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ED01BD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Infrastructure</w:t>
            </w:r>
          </w:p>
        </w:tc>
        <w:tc>
          <w:tcPr>
            <w:tcW w:w="2880" w:type="dxa"/>
          </w:tcPr>
          <w:p w14:paraId="36685234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30,000.00</w:t>
            </w:r>
          </w:p>
        </w:tc>
        <w:tc>
          <w:tcPr>
            <w:tcW w:w="2880" w:type="dxa"/>
          </w:tcPr>
          <w:p w14:paraId="5B26649D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360,000.00</w:t>
            </w:r>
          </w:p>
        </w:tc>
      </w:tr>
      <w:tr w:rsidR="00884BF5" w:rsidRPr="00884BF5" w14:paraId="65FB57AF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24B575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Salaries</w:t>
            </w:r>
          </w:p>
        </w:tc>
        <w:tc>
          <w:tcPr>
            <w:tcW w:w="2880" w:type="dxa"/>
          </w:tcPr>
          <w:p w14:paraId="6F523207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100,000.00</w:t>
            </w:r>
          </w:p>
        </w:tc>
        <w:tc>
          <w:tcPr>
            <w:tcW w:w="2880" w:type="dxa"/>
          </w:tcPr>
          <w:p w14:paraId="3F561F4B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1,200,000.00</w:t>
            </w:r>
          </w:p>
        </w:tc>
      </w:tr>
      <w:tr w:rsidR="00884BF5" w:rsidRPr="00884BF5" w14:paraId="0D6FA8BA" w14:textId="77777777" w:rsidTr="00601E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5FD3CD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880" w:type="dxa"/>
          </w:tcPr>
          <w:p w14:paraId="554D49A5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180,000.00</w:t>
            </w:r>
          </w:p>
        </w:tc>
        <w:tc>
          <w:tcPr>
            <w:tcW w:w="2880" w:type="dxa"/>
          </w:tcPr>
          <w:p w14:paraId="110F279F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2,160,000.00</w:t>
            </w:r>
          </w:p>
        </w:tc>
      </w:tr>
    </w:tbl>
    <w:p w14:paraId="0FA89042" w14:textId="77777777" w:rsidR="00601E2A" w:rsidRPr="00884BF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1.4 One-Time Implementation Costs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4"/>
        <w:gridCol w:w="2872"/>
        <w:gridCol w:w="2874"/>
      </w:tblGrid>
      <w:tr w:rsidR="00884BF5" w:rsidRPr="00884BF5" w14:paraId="0C63925D" w14:textId="77777777" w:rsidTr="00601E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B2FFA7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Item</w:t>
            </w:r>
          </w:p>
        </w:tc>
        <w:tc>
          <w:tcPr>
            <w:tcW w:w="2880" w:type="dxa"/>
          </w:tcPr>
          <w:p w14:paraId="7E069509" w14:textId="77777777" w:rsidR="00601E2A" w:rsidRPr="00884B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Amount</w:t>
            </w:r>
          </w:p>
        </w:tc>
        <w:tc>
          <w:tcPr>
            <w:tcW w:w="2880" w:type="dxa"/>
          </w:tcPr>
          <w:p w14:paraId="5D9085A2" w14:textId="77777777" w:rsidR="00601E2A" w:rsidRPr="00884B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Purpose</w:t>
            </w:r>
          </w:p>
        </w:tc>
      </w:tr>
      <w:tr w:rsidR="00884BF5" w:rsidRPr="00884BF5" w14:paraId="30D12416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F2AC96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Development</w:t>
            </w:r>
          </w:p>
        </w:tc>
        <w:tc>
          <w:tcPr>
            <w:tcW w:w="2880" w:type="dxa"/>
          </w:tcPr>
          <w:p w14:paraId="12D3D62E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200,000.00</w:t>
            </w:r>
          </w:p>
        </w:tc>
        <w:tc>
          <w:tcPr>
            <w:tcW w:w="2880" w:type="dxa"/>
          </w:tcPr>
          <w:p w14:paraId="63CC5476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Model development &amp; integration</w:t>
            </w:r>
          </w:p>
        </w:tc>
      </w:tr>
      <w:tr w:rsidR="00884BF5" w:rsidRPr="00884BF5" w14:paraId="1442FC99" w14:textId="77777777" w:rsidTr="00601E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622513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Data Acquisition</w:t>
            </w:r>
          </w:p>
        </w:tc>
        <w:tc>
          <w:tcPr>
            <w:tcW w:w="2880" w:type="dxa"/>
          </w:tcPr>
          <w:p w14:paraId="6A3535DF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50,000.00</w:t>
            </w:r>
          </w:p>
        </w:tc>
        <w:tc>
          <w:tcPr>
            <w:tcW w:w="2880" w:type="dxa"/>
          </w:tcPr>
          <w:p w14:paraId="1660A267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Historical data and features</w:t>
            </w:r>
          </w:p>
        </w:tc>
      </w:tr>
      <w:tr w:rsidR="00884BF5" w:rsidRPr="00884BF5" w14:paraId="0B618B2F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E12F61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Deployment</w:t>
            </w:r>
          </w:p>
        </w:tc>
        <w:tc>
          <w:tcPr>
            <w:tcW w:w="2880" w:type="dxa"/>
          </w:tcPr>
          <w:p w14:paraId="21E3861D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30,000.00</w:t>
            </w:r>
          </w:p>
        </w:tc>
        <w:tc>
          <w:tcPr>
            <w:tcW w:w="2880" w:type="dxa"/>
          </w:tcPr>
          <w:p w14:paraId="309CD343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System deployment &amp; testing</w:t>
            </w:r>
          </w:p>
        </w:tc>
      </w:tr>
      <w:tr w:rsidR="00884BF5" w:rsidRPr="00884BF5" w14:paraId="76B67140" w14:textId="77777777" w:rsidTr="00601E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253562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880" w:type="dxa"/>
          </w:tcPr>
          <w:p w14:paraId="067DC9FF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280,000.00</w:t>
            </w:r>
          </w:p>
        </w:tc>
        <w:tc>
          <w:tcPr>
            <w:tcW w:w="2880" w:type="dxa"/>
          </w:tcPr>
          <w:p w14:paraId="22BAE380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Complete implementation</w:t>
            </w:r>
          </w:p>
        </w:tc>
      </w:tr>
    </w:tbl>
    <w:p w14:paraId="0054FFE4" w14:textId="77777777" w:rsidR="00601E2A" w:rsidRPr="00884BF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SECTION 2: FORECAST DATA &amp; DEMAND PROJECTIONS</w:t>
      </w:r>
    </w:p>
    <w:p w14:paraId="57E989EB" w14:textId="77777777" w:rsidR="00601E2A" w:rsidRPr="00884BF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2.1 Forecast Specifications</w:t>
      </w:r>
    </w:p>
    <w:p w14:paraId="355CF023" w14:textId="77777777" w:rsidR="00601E2A" w:rsidRPr="00884BF5" w:rsidRDefault="00000000">
      <w:pPr>
        <w:pStyle w:val="ListBullet"/>
        <w:rPr>
          <w:rFonts w:ascii="Times New Roman" w:hAnsi="Times New Roman" w:cs="Times New Roman"/>
        </w:rPr>
      </w:pPr>
      <w:r w:rsidRPr="00884BF5">
        <w:rPr>
          <w:rFonts w:ascii="Times New Roman" w:hAnsi="Times New Roman" w:cs="Times New Roman"/>
        </w:rPr>
        <w:t>Period: April 15-28, 2025 (14 days)</w:t>
      </w:r>
    </w:p>
    <w:p w14:paraId="497548EE" w14:textId="77777777" w:rsidR="00601E2A" w:rsidRPr="00884BF5" w:rsidRDefault="00000000">
      <w:pPr>
        <w:pStyle w:val="ListBullet"/>
        <w:rPr>
          <w:rFonts w:ascii="Times New Roman" w:hAnsi="Times New Roman" w:cs="Times New Roman"/>
        </w:rPr>
      </w:pPr>
      <w:r w:rsidRPr="00884BF5">
        <w:rPr>
          <w:rFonts w:ascii="Times New Roman" w:hAnsi="Times New Roman" w:cs="Times New Roman"/>
        </w:rPr>
        <w:t>Data Source: Improved Prophet model with external regressors</w:t>
      </w:r>
    </w:p>
    <w:p w14:paraId="337BA09D" w14:textId="77777777" w:rsidR="00601E2A" w:rsidRPr="00884BF5" w:rsidRDefault="00000000">
      <w:pPr>
        <w:pStyle w:val="ListBullet"/>
        <w:rPr>
          <w:rFonts w:ascii="Times New Roman" w:hAnsi="Times New Roman" w:cs="Times New Roman"/>
        </w:rPr>
      </w:pPr>
      <w:r w:rsidRPr="00884BF5">
        <w:rPr>
          <w:rFonts w:ascii="Times New Roman" w:hAnsi="Times New Roman" w:cs="Times New Roman"/>
        </w:rPr>
        <w:t>Forecast Type: Hourly ride demand projections</w:t>
      </w:r>
    </w:p>
    <w:p w14:paraId="28CD6BD2" w14:textId="77777777" w:rsidR="00601E2A" w:rsidRPr="00884BF5" w:rsidRDefault="00000000">
      <w:pPr>
        <w:pStyle w:val="ListBullet"/>
        <w:rPr>
          <w:rFonts w:ascii="Times New Roman" w:hAnsi="Times New Roman" w:cs="Times New Roman"/>
        </w:rPr>
      </w:pPr>
      <w:r w:rsidRPr="00884BF5">
        <w:rPr>
          <w:rFonts w:ascii="Times New Roman" w:hAnsi="Times New Roman" w:cs="Times New Roman"/>
        </w:rPr>
        <w:t>Total Forecasted Rides: 23 rides over 14 days</w:t>
      </w:r>
    </w:p>
    <w:p w14:paraId="6BAE2763" w14:textId="77777777" w:rsidR="00601E2A" w:rsidRPr="00884BF5" w:rsidRDefault="00000000">
      <w:pPr>
        <w:pStyle w:val="ListBullet"/>
        <w:rPr>
          <w:rFonts w:ascii="Times New Roman" w:hAnsi="Times New Roman" w:cs="Times New Roman"/>
        </w:rPr>
      </w:pPr>
      <w:r w:rsidRPr="00884BF5">
        <w:rPr>
          <w:rFonts w:ascii="Times New Roman" w:hAnsi="Times New Roman" w:cs="Times New Roman"/>
        </w:rPr>
        <w:t>Average Hourly Demand: 0.087 rides/hour</w:t>
      </w:r>
    </w:p>
    <w:p w14:paraId="1329E17A" w14:textId="77777777" w:rsidR="00601E2A" w:rsidRPr="00884BF5" w:rsidRDefault="00000000">
      <w:pPr>
        <w:pStyle w:val="ListBullet"/>
        <w:rPr>
          <w:rFonts w:ascii="Times New Roman" w:hAnsi="Times New Roman" w:cs="Times New Roman"/>
        </w:rPr>
      </w:pPr>
      <w:r w:rsidRPr="00884BF5">
        <w:rPr>
          <w:rFonts w:ascii="Times New Roman" w:hAnsi="Times New Roman" w:cs="Times New Roman"/>
        </w:rPr>
        <w:t>Daily Average: 1.64 rides/day</w:t>
      </w:r>
    </w:p>
    <w:p w14:paraId="64683EE2" w14:textId="77777777" w:rsidR="00601E2A" w:rsidRPr="00884BF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SECTION 3: REVENUE PROJECTIONS (14-DAY PERIOD)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4"/>
        <w:gridCol w:w="2874"/>
        <w:gridCol w:w="2872"/>
      </w:tblGrid>
      <w:tr w:rsidR="00884BF5" w:rsidRPr="00884BF5" w14:paraId="2BED9430" w14:textId="77777777" w:rsidTr="00601E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4153AC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2880" w:type="dxa"/>
          </w:tcPr>
          <w:p w14:paraId="7B33B2B7" w14:textId="77777777" w:rsidR="00601E2A" w:rsidRPr="00884B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Amount</w:t>
            </w:r>
          </w:p>
        </w:tc>
        <w:tc>
          <w:tcPr>
            <w:tcW w:w="2880" w:type="dxa"/>
          </w:tcPr>
          <w:p w14:paraId="095C1064" w14:textId="77777777" w:rsidR="00601E2A" w:rsidRPr="00884B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Unit</w:t>
            </w:r>
          </w:p>
        </w:tc>
      </w:tr>
      <w:tr w:rsidR="00884BF5" w:rsidRPr="00884BF5" w14:paraId="474A5C3F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5AB055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Total Revenue</w:t>
            </w:r>
          </w:p>
        </w:tc>
        <w:tc>
          <w:tcPr>
            <w:tcW w:w="2880" w:type="dxa"/>
          </w:tcPr>
          <w:p w14:paraId="362B7DE1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10,455.21</w:t>
            </w:r>
          </w:p>
        </w:tc>
        <w:tc>
          <w:tcPr>
            <w:tcW w:w="2880" w:type="dxa"/>
          </w:tcPr>
          <w:p w14:paraId="3D88E1C7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INR</w:t>
            </w:r>
          </w:p>
        </w:tc>
      </w:tr>
      <w:tr w:rsidR="00884BF5" w:rsidRPr="00884BF5" w14:paraId="35901DFD" w14:textId="77777777" w:rsidTr="00601E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C1A545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Platform Revenue Share (25%)</w:t>
            </w:r>
          </w:p>
        </w:tc>
        <w:tc>
          <w:tcPr>
            <w:tcW w:w="2880" w:type="dxa"/>
          </w:tcPr>
          <w:p w14:paraId="41EE0D60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2,587.50</w:t>
            </w:r>
          </w:p>
        </w:tc>
        <w:tc>
          <w:tcPr>
            <w:tcW w:w="2880" w:type="dxa"/>
          </w:tcPr>
          <w:p w14:paraId="6483F663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INR</w:t>
            </w:r>
          </w:p>
        </w:tc>
      </w:tr>
      <w:tr w:rsidR="00884BF5" w:rsidRPr="00884BF5" w14:paraId="58F60D73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DB4D92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Driver Payouts (75%)</w:t>
            </w:r>
          </w:p>
        </w:tc>
        <w:tc>
          <w:tcPr>
            <w:tcW w:w="2880" w:type="dxa"/>
          </w:tcPr>
          <w:p w14:paraId="1C3BD200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7,867.71</w:t>
            </w:r>
          </w:p>
        </w:tc>
        <w:tc>
          <w:tcPr>
            <w:tcW w:w="2880" w:type="dxa"/>
          </w:tcPr>
          <w:p w14:paraId="3DF41C7F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INR</w:t>
            </w:r>
          </w:p>
        </w:tc>
      </w:tr>
      <w:tr w:rsidR="00884BF5" w:rsidRPr="00884BF5" w14:paraId="3EB529F5" w14:textId="77777777" w:rsidTr="00601E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6EE265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Annualized Revenue (Projected)</w:t>
            </w:r>
          </w:p>
        </w:tc>
        <w:tc>
          <w:tcPr>
            <w:tcW w:w="2880" w:type="dxa"/>
          </w:tcPr>
          <w:p w14:paraId="22F032EE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272,404.48</w:t>
            </w:r>
          </w:p>
        </w:tc>
        <w:tc>
          <w:tcPr>
            <w:tcW w:w="2880" w:type="dxa"/>
          </w:tcPr>
          <w:p w14:paraId="73DEA036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INR</w:t>
            </w:r>
          </w:p>
        </w:tc>
      </w:tr>
    </w:tbl>
    <w:p w14:paraId="6B24A4B9" w14:textId="77777777" w:rsidR="00601E2A" w:rsidRPr="00884BF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SECTION 4: OPERATIONAL COST ANALYSIS (14-DAY PERIOD)</w:t>
      </w:r>
    </w:p>
    <w:p w14:paraId="77D040F8" w14:textId="77777777" w:rsidR="00601E2A" w:rsidRPr="00884BF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4.1 Total Cost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6"/>
        <w:gridCol w:w="2873"/>
        <w:gridCol w:w="2871"/>
      </w:tblGrid>
      <w:tr w:rsidR="00884BF5" w:rsidRPr="00884BF5" w14:paraId="1F6FD343" w14:textId="77777777" w:rsidTr="00601E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595C5D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Cost Category</w:t>
            </w:r>
          </w:p>
        </w:tc>
        <w:tc>
          <w:tcPr>
            <w:tcW w:w="2880" w:type="dxa"/>
          </w:tcPr>
          <w:p w14:paraId="7E390F68" w14:textId="77777777" w:rsidR="00601E2A" w:rsidRPr="00884B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Amount</w:t>
            </w:r>
          </w:p>
        </w:tc>
        <w:tc>
          <w:tcPr>
            <w:tcW w:w="2880" w:type="dxa"/>
          </w:tcPr>
          <w:p w14:paraId="6E110EC0" w14:textId="77777777" w:rsidR="00601E2A" w:rsidRPr="00884B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Unit</w:t>
            </w:r>
          </w:p>
        </w:tc>
      </w:tr>
      <w:tr w:rsidR="00884BF5" w:rsidRPr="00884BF5" w14:paraId="2710C64E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088064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Variable Operational Costs</w:t>
            </w:r>
          </w:p>
        </w:tc>
        <w:tc>
          <w:tcPr>
            <w:tcW w:w="2880" w:type="dxa"/>
          </w:tcPr>
          <w:p w14:paraId="01324803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3,426.99</w:t>
            </w:r>
          </w:p>
        </w:tc>
        <w:tc>
          <w:tcPr>
            <w:tcW w:w="2880" w:type="dxa"/>
          </w:tcPr>
          <w:p w14:paraId="010139BD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INR</w:t>
            </w:r>
          </w:p>
        </w:tc>
      </w:tr>
      <w:tr w:rsidR="00884BF5" w:rsidRPr="00884BF5" w14:paraId="55980FE1" w14:textId="77777777" w:rsidTr="00601E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94579E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Fixed Operational Costs</w:t>
            </w:r>
          </w:p>
        </w:tc>
        <w:tc>
          <w:tcPr>
            <w:tcW w:w="2880" w:type="dxa"/>
          </w:tcPr>
          <w:p w14:paraId="5AF21935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8,400.00</w:t>
            </w:r>
          </w:p>
        </w:tc>
        <w:tc>
          <w:tcPr>
            <w:tcW w:w="2880" w:type="dxa"/>
          </w:tcPr>
          <w:p w14:paraId="14BDEF75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INR</w:t>
            </w:r>
          </w:p>
        </w:tc>
      </w:tr>
      <w:tr w:rsidR="00884BF5" w:rsidRPr="00884BF5" w14:paraId="63E99F0B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A6034E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TOTAL OPERATIONAL COSTS</w:t>
            </w:r>
          </w:p>
        </w:tc>
        <w:tc>
          <w:tcPr>
            <w:tcW w:w="2880" w:type="dxa"/>
          </w:tcPr>
          <w:p w14:paraId="0CD995A4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11,826.99</w:t>
            </w:r>
          </w:p>
        </w:tc>
        <w:tc>
          <w:tcPr>
            <w:tcW w:w="2880" w:type="dxa"/>
          </w:tcPr>
          <w:p w14:paraId="124E60F0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INR</w:t>
            </w:r>
          </w:p>
        </w:tc>
      </w:tr>
    </w:tbl>
    <w:p w14:paraId="2538709D" w14:textId="77777777" w:rsidR="00601E2A" w:rsidRPr="00884BF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SECTION 5: PROFITABILITY ANALYSIS</w:t>
      </w:r>
    </w:p>
    <w:p w14:paraId="0144F814" w14:textId="77777777" w:rsidR="00601E2A" w:rsidRPr="00884BF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5.1 Margin Metrics (14-Day Period)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884BF5" w:rsidRPr="00884BF5" w14:paraId="6F428AA5" w14:textId="77777777" w:rsidTr="00601E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EDBDDA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2880" w:type="dxa"/>
          </w:tcPr>
          <w:p w14:paraId="349942F1" w14:textId="77777777" w:rsidR="00601E2A" w:rsidRPr="00884B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Amount</w:t>
            </w:r>
          </w:p>
        </w:tc>
        <w:tc>
          <w:tcPr>
            <w:tcW w:w="2880" w:type="dxa"/>
          </w:tcPr>
          <w:p w14:paraId="76A9E852" w14:textId="77777777" w:rsidR="00601E2A" w:rsidRPr="00884B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Percentage</w:t>
            </w:r>
          </w:p>
        </w:tc>
      </w:tr>
      <w:tr w:rsidR="00884BF5" w:rsidRPr="00884BF5" w14:paraId="352AF900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CDDBB1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Revenue</w:t>
            </w:r>
          </w:p>
        </w:tc>
        <w:tc>
          <w:tcPr>
            <w:tcW w:w="2880" w:type="dxa"/>
          </w:tcPr>
          <w:p w14:paraId="027209F8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10,455.21</w:t>
            </w:r>
          </w:p>
        </w:tc>
        <w:tc>
          <w:tcPr>
            <w:tcW w:w="2880" w:type="dxa"/>
          </w:tcPr>
          <w:p w14:paraId="6BF51B73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100.00%</w:t>
            </w:r>
          </w:p>
        </w:tc>
      </w:tr>
      <w:tr w:rsidR="00884BF5" w:rsidRPr="00884BF5" w14:paraId="7C7D884E" w14:textId="77777777" w:rsidTr="00601E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9F46E5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Variable Costs</w:t>
            </w:r>
          </w:p>
        </w:tc>
        <w:tc>
          <w:tcPr>
            <w:tcW w:w="2880" w:type="dxa"/>
          </w:tcPr>
          <w:p w14:paraId="156FAD7D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3,426.99</w:t>
            </w:r>
          </w:p>
        </w:tc>
        <w:tc>
          <w:tcPr>
            <w:tcW w:w="2880" w:type="dxa"/>
          </w:tcPr>
          <w:p w14:paraId="785F5645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32.77%</w:t>
            </w:r>
          </w:p>
        </w:tc>
      </w:tr>
      <w:tr w:rsidR="00884BF5" w:rsidRPr="00884BF5" w14:paraId="073A4E70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E30042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Gross Margin</w:t>
            </w:r>
          </w:p>
        </w:tc>
        <w:tc>
          <w:tcPr>
            <w:tcW w:w="2880" w:type="dxa"/>
          </w:tcPr>
          <w:p w14:paraId="7D8DE1C7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7,028.23</w:t>
            </w:r>
          </w:p>
        </w:tc>
        <w:tc>
          <w:tcPr>
            <w:tcW w:w="2880" w:type="dxa"/>
          </w:tcPr>
          <w:p w14:paraId="471B8E99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67.23%</w:t>
            </w:r>
          </w:p>
        </w:tc>
      </w:tr>
      <w:tr w:rsidR="00884BF5" w:rsidRPr="00884BF5" w14:paraId="5868C612" w14:textId="77777777" w:rsidTr="00601E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DFE3C5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Fixed Costs</w:t>
            </w:r>
          </w:p>
        </w:tc>
        <w:tc>
          <w:tcPr>
            <w:tcW w:w="2880" w:type="dxa"/>
          </w:tcPr>
          <w:p w14:paraId="4231E88A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8,400.00</w:t>
            </w:r>
          </w:p>
        </w:tc>
        <w:tc>
          <w:tcPr>
            <w:tcW w:w="2880" w:type="dxa"/>
          </w:tcPr>
          <w:p w14:paraId="0FB2C629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80.36%</w:t>
            </w:r>
          </w:p>
        </w:tc>
      </w:tr>
      <w:tr w:rsidR="00884BF5" w:rsidRPr="00884BF5" w14:paraId="3E8B1DC8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837CB3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Net Margin</w:t>
            </w:r>
          </w:p>
        </w:tc>
        <w:tc>
          <w:tcPr>
            <w:tcW w:w="2880" w:type="dxa"/>
          </w:tcPr>
          <w:p w14:paraId="3D53C8E7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3,528.23</w:t>
            </w:r>
          </w:p>
        </w:tc>
        <w:tc>
          <w:tcPr>
            <w:tcW w:w="2880" w:type="dxa"/>
          </w:tcPr>
          <w:p w14:paraId="524F12A5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33.77%</w:t>
            </w:r>
          </w:p>
        </w:tc>
      </w:tr>
    </w:tbl>
    <w:p w14:paraId="7A025353" w14:textId="77777777" w:rsidR="00601E2A" w:rsidRPr="00884BF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5.2 Unit Economics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884BF5" w:rsidRPr="00884BF5" w14:paraId="05E5F6DB" w14:textId="77777777" w:rsidTr="00601E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4396E8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4320" w:type="dxa"/>
          </w:tcPr>
          <w:p w14:paraId="2A011095" w14:textId="77777777" w:rsidR="00601E2A" w:rsidRPr="00884B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Value per Ride</w:t>
            </w:r>
          </w:p>
        </w:tc>
      </w:tr>
      <w:tr w:rsidR="00884BF5" w:rsidRPr="00884BF5" w14:paraId="5C2B2E2E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3BD10D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Revenue per Ride</w:t>
            </w:r>
          </w:p>
        </w:tc>
        <w:tc>
          <w:tcPr>
            <w:tcW w:w="4320" w:type="dxa"/>
          </w:tcPr>
          <w:p w14:paraId="2BCFC0FB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₹450.00</w:t>
            </w:r>
          </w:p>
        </w:tc>
      </w:tr>
      <w:tr w:rsidR="00884BF5" w:rsidRPr="00884BF5" w14:paraId="02C706DF" w14:textId="77777777" w:rsidTr="00601E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97821C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Variable Cost per Ride</w:t>
            </w:r>
          </w:p>
        </w:tc>
        <w:tc>
          <w:tcPr>
            <w:tcW w:w="4320" w:type="dxa"/>
          </w:tcPr>
          <w:p w14:paraId="72675F7C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₹147.50</w:t>
            </w:r>
          </w:p>
        </w:tc>
      </w:tr>
      <w:tr w:rsidR="00884BF5" w:rsidRPr="00884BF5" w14:paraId="5CE086B3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5F3F01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Contribution Margin per Ride</w:t>
            </w:r>
          </w:p>
        </w:tc>
        <w:tc>
          <w:tcPr>
            <w:tcW w:w="4320" w:type="dxa"/>
          </w:tcPr>
          <w:p w14:paraId="6900C05C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₹77.50</w:t>
            </w:r>
          </w:p>
        </w:tc>
      </w:tr>
    </w:tbl>
    <w:p w14:paraId="096199C4" w14:textId="77777777" w:rsidR="00601E2A" w:rsidRPr="00884BF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SECTION 6: FINANCIAL IMPACT OF IMPROVED FORECAST ACCURACY</w:t>
      </w:r>
    </w:p>
    <w:p w14:paraId="0054B3D2" w14:textId="77777777" w:rsidR="00601E2A" w:rsidRPr="00884BF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6.1 Cancellation Reduction Impact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884BF5" w:rsidRPr="00884BF5" w14:paraId="6D89413B" w14:textId="77777777" w:rsidTr="00601E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833AEE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4320" w:type="dxa"/>
          </w:tcPr>
          <w:p w14:paraId="6178ACC7" w14:textId="77777777" w:rsidR="00601E2A" w:rsidRPr="00884B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Value</w:t>
            </w:r>
          </w:p>
        </w:tc>
      </w:tr>
      <w:tr w:rsidR="00884BF5" w:rsidRPr="00884BF5" w14:paraId="1E1B6810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9866B3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Baseline Cancellation Rate</w:t>
            </w:r>
          </w:p>
        </w:tc>
        <w:tc>
          <w:tcPr>
            <w:tcW w:w="4320" w:type="dxa"/>
          </w:tcPr>
          <w:p w14:paraId="02A8BB05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29.51%</w:t>
            </w:r>
          </w:p>
        </w:tc>
      </w:tr>
      <w:tr w:rsidR="00884BF5" w:rsidRPr="00884BF5" w14:paraId="5AB856F9" w14:textId="77777777" w:rsidTr="00601E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73FEF7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Reduction from Model</w:t>
            </w:r>
          </w:p>
        </w:tc>
        <w:tc>
          <w:tcPr>
            <w:tcW w:w="4320" w:type="dxa"/>
          </w:tcPr>
          <w:p w14:paraId="29090959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3.48 percentage points</w:t>
            </w:r>
          </w:p>
        </w:tc>
      </w:tr>
      <w:tr w:rsidR="00884BF5" w:rsidRPr="00884BF5" w14:paraId="2973A3E5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ED7EC6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Percentage Improvement</w:t>
            </w:r>
          </w:p>
        </w:tc>
        <w:tc>
          <w:tcPr>
            <w:tcW w:w="4320" w:type="dxa"/>
          </w:tcPr>
          <w:p w14:paraId="6E25567B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11.78%</w:t>
            </w:r>
          </w:p>
        </w:tc>
      </w:tr>
      <w:tr w:rsidR="00884BF5" w:rsidRPr="00884BF5" w14:paraId="0A1AC599" w14:textId="77777777" w:rsidTr="00601E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6361BB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Rides Saved (14-day period)</w:t>
            </w:r>
          </w:p>
        </w:tc>
        <w:tc>
          <w:tcPr>
            <w:tcW w:w="4320" w:type="dxa"/>
          </w:tcPr>
          <w:p w14:paraId="03A91F19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8.34 rides</w:t>
            </w:r>
          </w:p>
        </w:tc>
      </w:tr>
    </w:tbl>
    <w:p w14:paraId="401B24F2" w14:textId="77777777" w:rsidR="00601E2A" w:rsidRPr="00884BF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6.2 Total Financial Gain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884BF5" w:rsidRPr="00884BF5" w14:paraId="111EBC1E" w14:textId="77777777" w:rsidTr="00601E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6531C0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2880" w:type="dxa"/>
          </w:tcPr>
          <w:p w14:paraId="01328ACA" w14:textId="77777777" w:rsidR="00601E2A" w:rsidRPr="00884B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14-Day Period</w:t>
            </w:r>
          </w:p>
        </w:tc>
        <w:tc>
          <w:tcPr>
            <w:tcW w:w="2880" w:type="dxa"/>
          </w:tcPr>
          <w:p w14:paraId="0B031A90" w14:textId="77777777" w:rsidR="00601E2A" w:rsidRPr="00884B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Annualized</w:t>
            </w:r>
          </w:p>
        </w:tc>
      </w:tr>
      <w:tr w:rsidR="00884BF5" w:rsidRPr="00884BF5" w14:paraId="0D24FE3E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23738C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Revenue Recovered</w:t>
            </w:r>
          </w:p>
        </w:tc>
        <w:tc>
          <w:tcPr>
            <w:tcW w:w="2880" w:type="dxa"/>
          </w:tcPr>
          <w:p w14:paraId="62149D3C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₹77,243.51</w:t>
            </w:r>
          </w:p>
        </w:tc>
        <w:tc>
          <w:tcPr>
            <w:tcW w:w="2880" w:type="dxa"/>
          </w:tcPr>
          <w:p w14:paraId="4BE0E103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₹2,013,732.65</w:t>
            </w:r>
          </w:p>
        </w:tc>
      </w:tr>
      <w:tr w:rsidR="00884BF5" w:rsidRPr="00884BF5" w14:paraId="3D4CEE71" w14:textId="77777777" w:rsidTr="00601E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3A554E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Cost Savings</w:t>
            </w:r>
          </w:p>
        </w:tc>
        <w:tc>
          <w:tcPr>
            <w:tcW w:w="2880" w:type="dxa"/>
          </w:tcPr>
          <w:p w14:paraId="5BE787CC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₹171.35</w:t>
            </w:r>
          </w:p>
        </w:tc>
        <w:tc>
          <w:tcPr>
            <w:tcW w:w="2880" w:type="dxa"/>
          </w:tcPr>
          <w:p w14:paraId="5C517D9E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₹4,465.19</w:t>
            </w:r>
          </w:p>
        </w:tc>
      </w:tr>
      <w:tr w:rsidR="00884BF5" w:rsidRPr="00884BF5" w14:paraId="5FD8CAA4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6428EF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TOTAL FINANCIAL GAIN</w:t>
            </w:r>
          </w:p>
        </w:tc>
        <w:tc>
          <w:tcPr>
            <w:tcW w:w="2880" w:type="dxa"/>
          </w:tcPr>
          <w:p w14:paraId="5C834864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₹77,414.86</w:t>
            </w:r>
          </w:p>
        </w:tc>
        <w:tc>
          <w:tcPr>
            <w:tcW w:w="2880" w:type="dxa"/>
          </w:tcPr>
          <w:p w14:paraId="337D0FED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₹2,018,197.84</w:t>
            </w:r>
          </w:p>
        </w:tc>
      </w:tr>
    </w:tbl>
    <w:p w14:paraId="0D470A80" w14:textId="77777777" w:rsidR="00601E2A" w:rsidRPr="00884BF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SECTION 7: RETURN ON INVESTMENT ANALYSIS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884BF5" w:rsidRPr="00884BF5" w14:paraId="0417AF21" w14:textId="77777777" w:rsidTr="00601E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6A7F41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4320" w:type="dxa"/>
          </w:tcPr>
          <w:p w14:paraId="05A0C7A5" w14:textId="77777777" w:rsidR="00601E2A" w:rsidRPr="00884B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Value</w:t>
            </w:r>
          </w:p>
        </w:tc>
      </w:tr>
      <w:tr w:rsidR="00884BF5" w:rsidRPr="00884BF5" w14:paraId="5DF1948C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A64295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Total One-Time Implementation Costs</w:t>
            </w:r>
          </w:p>
        </w:tc>
        <w:tc>
          <w:tcPr>
            <w:tcW w:w="4320" w:type="dxa"/>
          </w:tcPr>
          <w:p w14:paraId="54550D71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₹280,000.00</w:t>
            </w:r>
          </w:p>
        </w:tc>
      </w:tr>
      <w:tr w:rsidR="00884BF5" w:rsidRPr="00884BF5" w14:paraId="4D84E78B" w14:textId="77777777" w:rsidTr="00601E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DC994D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Annual Net Benefit</w:t>
            </w:r>
          </w:p>
        </w:tc>
        <w:tc>
          <w:tcPr>
            <w:tcW w:w="4320" w:type="dxa"/>
          </w:tcPr>
          <w:p w14:paraId="04F1DBAB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₹2,018,197.84</w:t>
            </w:r>
          </w:p>
        </w:tc>
      </w:tr>
      <w:tr w:rsidR="00884BF5" w:rsidRPr="00884BF5" w14:paraId="7494DE0B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B390B7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Primary ROI Calculation</w:t>
            </w:r>
          </w:p>
        </w:tc>
        <w:tc>
          <w:tcPr>
            <w:tcW w:w="4320" w:type="dxa"/>
          </w:tcPr>
          <w:p w14:paraId="49C3B8C9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620.83%</w:t>
            </w:r>
          </w:p>
        </w:tc>
      </w:tr>
      <w:tr w:rsidR="00884BF5" w:rsidRPr="00884BF5" w14:paraId="1A121354" w14:textId="77777777" w:rsidTr="00601E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1742D6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Expected Case ROI</w:t>
            </w:r>
          </w:p>
        </w:tc>
        <w:tc>
          <w:tcPr>
            <w:tcW w:w="4320" w:type="dxa"/>
          </w:tcPr>
          <w:p w14:paraId="2D6BC284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272.14%</w:t>
            </w:r>
          </w:p>
        </w:tc>
      </w:tr>
      <w:tr w:rsidR="00884BF5" w:rsidRPr="00884BF5" w14:paraId="75DFF7A6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7C3B08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Payback Period (months)</w:t>
            </w:r>
          </w:p>
        </w:tc>
        <w:tc>
          <w:tcPr>
            <w:tcW w:w="4320" w:type="dxa"/>
          </w:tcPr>
          <w:p w14:paraId="32F1809E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1.67 months (0.14 years)</w:t>
            </w:r>
          </w:p>
        </w:tc>
      </w:tr>
      <w:tr w:rsidR="00884BF5" w:rsidRPr="00884BF5" w14:paraId="4E809D5B" w14:textId="77777777" w:rsidTr="00601E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2C9BBC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Expected Case Payback</w:t>
            </w:r>
          </w:p>
        </w:tc>
        <w:tc>
          <w:tcPr>
            <w:tcW w:w="4320" w:type="dxa"/>
          </w:tcPr>
          <w:p w14:paraId="465F3BA9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3.25 months (0.27 years)</w:t>
            </w:r>
          </w:p>
        </w:tc>
      </w:tr>
    </w:tbl>
    <w:p w14:paraId="37219988" w14:textId="77777777" w:rsidR="00601E2A" w:rsidRPr="00884BF5" w:rsidRDefault="00000000">
      <w:pPr>
        <w:rPr>
          <w:rFonts w:ascii="Times New Roman" w:hAnsi="Times New Roman" w:cs="Times New Roman"/>
        </w:rPr>
      </w:pPr>
      <w:r w:rsidRPr="00884BF5">
        <w:rPr>
          <w:rFonts w:ascii="Times New Roman" w:hAnsi="Times New Roman" w:cs="Times New Roman"/>
        </w:rPr>
        <w:br w:type="page"/>
      </w:r>
    </w:p>
    <w:p w14:paraId="1F0BB858" w14:textId="77777777" w:rsidR="00601E2A" w:rsidRPr="00884BF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SECTION 8: SCENARIO ANALYSIS</w:t>
      </w:r>
    </w:p>
    <w:p w14:paraId="1FABDBD1" w14:textId="77777777" w:rsidR="00601E2A" w:rsidRPr="00884BF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8.1 Three-Scenario Comparison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5"/>
        <w:gridCol w:w="2157"/>
        <w:gridCol w:w="2154"/>
        <w:gridCol w:w="2154"/>
      </w:tblGrid>
      <w:tr w:rsidR="00884BF5" w:rsidRPr="00884BF5" w14:paraId="530D1D20" w14:textId="77777777" w:rsidTr="00601E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1C9E38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Scenario</w:t>
            </w:r>
          </w:p>
        </w:tc>
        <w:tc>
          <w:tcPr>
            <w:tcW w:w="2160" w:type="dxa"/>
          </w:tcPr>
          <w:p w14:paraId="27EE9426" w14:textId="77777777" w:rsidR="00601E2A" w:rsidRPr="00884B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Annual Profit Increase</w:t>
            </w:r>
          </w:p>
        </w:tc>
        <w:tc>
          <w:tcPr>
            <w:tcW w:w="2160" w:type="dxa"/>
          </w:tcPr>
          <w:p w14:paraId="06B64C6D" w14:textId="77777777" w:rsidR="00601E2A" w:rsidRPr="00884B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ROI</w:t>
            </w:r>
          </w:p>
        </w:tc>
        <w:tc>
          <w:tcPr>
            <w:tcW w:w="2160" w:type="dxa"/>
          </w:tcPr>
          <w:p w14:paraId="1A9EA42D" w14:textId="77777777" w:rsidR="00601E2A" w:rsidRPr="00884B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Payback Period</w:t>
            </w:r>
          </w:p>
        </w:tc>
      </w:tr>
      <w:tr w:rsidR="00884BF5" w:rsidRPr="00884BF5" w14:paraId="4D56953F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23391B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Best Case</w:t>
            </w:r>
          </w:p>
        </w:tc>
        <w:tc>
          <w:tcPr>
            <w:tcW w:w="2160" w:type="dxa"/>
          </w:tcPr>
          <w:p w14:paraId="17528A8A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₹1,252,929.19</w:t>
            </w:r>
          </w:p>
        </w:tc>
        <w:tc>
          <w:tcPr>
            <w:tcW w:w="2160" w:type="dxa"/>
          </w:tcPr>
          <w:p w14:paraId="54999FC8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347.47%</w:t>
            </w:r>
          </w:p>
        </w:tc>
        <w:tc>
          <w:tcPr>
            <w:tcW w:w="2160" w:type="dxa"/>
          </w:tcPr>
          <w:p w14:paraId="249398B8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0.22 years (2.68 months)</w:t>
            </w:r>
          </w:p>
        </w:tc>
      </w:tr>
      <w:tr w:rsidR="00884BF5" w:rsidRPr="00884BF5" w14:paraId="332B184A" w14:textId="77777777" w:rsidTr="00601E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A879E4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Expected Case</w:t>
            </w:r>
          </w:p>
        </w:tc>
        <w:tc>
          <w:tcPr>
            <w:tcW w:w="2160" w:type="dxa"/>
          </w:tcPr>
          <w:p w14:paraId="1358D7CD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₹1,041,994.67</w:t>
            </w:r>
          </w:p>
        </w:tc>
        <w:tc>
          <w:tcPr>
            <w:tcW w:w="2160" w:type="dxa"/>
          </w:tcPr>
          <w:p w14:paraId="525BA13F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272.14%</w:t>
            </w:r>
          </w:p>
        </w:tc>
        <w:tc>
          <w:tcPr>
            <w:tcW w:w="2160" w:type="dxa"/>
          </w:tcPr>
          <w:p w14:paraId="2045DC8F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0.27 years (3.25 months)</w:t>
            </w:r>
          </w:p>
        </w:tc>
      </w:tr>
      <w:tr w:rsidR="00884BF5" w:rsidRPr="00884BF5" w14:paraId="2915545A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4FAD85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Worst Case</w:t>
            </w:r>
          </w:p>
        </w:tc>
        <w:tc>
          <w:tcPr>
            <w:tcW w:w="2160" w:type="dxa"/>
          </w:tcPr>
          <w:p w14:paraId="66C08A9A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₹831,908.19</w:t>
            </w:r>
          </w:p>
        </w:tc>
        <w:tc>
          <w:tcPr>
            <w:tcW w:w="2160" w:type="dxa"/>
          </w:tcPr>
          <w:p w14:paraId="03921422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197.11%</w:t>
            </w:r>
          </w:p>
        </w:tc>
        <w:tc>
          <w:tcPr>
            <w:tcW w:w="2160" w:type="dxa"/>
          </w:tcPr>
          <w:p w14:paraId="161B1C31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0.34 years (4.05 months)</w:t>
            </w:r>
          </w:p>
        </w:tc>
      </w:tr>
    </w:tbl>
    <w:p w14:paraId="04FDDC33" w14:textId="4A668E8B" w:rsidR="00601E2A" w:rsidRPr="00884BF5" w:rsidRDefault="00000000">
      <w:pPr>
        <w:rPr>
          <w:rFonts w:ascii="Times New Roman" w:hAnsi="Times New Roman" w:cs="Times New Roman"/>
        </w:rPr>
      </w:pPr>
      <w:r w:rsidRPr="00884BF5">
        <w:rPr>
          <w:rFonts w:ascii="Times New Roman" w:hAnsi="Times New Roman" w:cs="Times New Roman"/>
        </w:rPr>
        <w:t xml:space="preserve">KEY INSIGHT: Even in worst-case scenario, ROI of 197% significantly exceeds typical corporate </w:t>
      </w:r>
      <w:r w:rsidRPr="00884BF5">
        <w:rPr>
          <w:rFonts w:ascii="Times New Roman" w:hAnsi="Times New Roman" w:cs="Times New Roman"/>
        </w:rPr>
        <w:br/>
        <w:t>hurdle rates of 15-20%, demonstrating strong financial viability across all scenarios.</w:t>
      </w:r>
    </w:p>
    <w:p w14:paraId="19F556AA" w14:textId="77777777" w:rsidR="00601E2A" w:rsidRPr="00884BF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SECTION 9: SENSITIVITY ANALYSIS</w:t>
      </w:r>
    </w:p>
    <w:p w14:paraId="740A6BD5" w14:textId="77777777" w:rsidR="00601E2A" w:rsidRPr="00884BF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9.1 Key Value Drivers (Ranked by Impact)</w:t>
      </w:r>
    </w:p>
    <w:p w14:paraId="4ED7AD6F" w14:textId="77777777" w:rsidR="00601E2A" w:rsidRPr="00884BF5" w:rsidRDefault="00000000">
      <w:pPr>
        <w:pStyle w:val="ListBullet"/>
        <w:rPr>
          <w:rFonts w:ascii="Times New Roman" w:hAnsi="Times New Roman" w:cs="Times New Roman"/>
        </w:rPr>
      </w:pPr>
      <w:r w:rsidRPr="00884BF5">
        <w:rPr>
          <w:rFonts w:ascii="Times New Roman" w:hAnsi="Times New Roman" w:cs="Times New Roman"/>
        </w:rPr>
        <w:t>RANK 1: Average Fare per Ride (HIGH IMPACT) - ±10% = ±11% on annual profit</w:t>
      </w:r>
    </w:p>
    <w:p w14:paraId="43255A42" w14:textId="77777777" w:rsidR="00601E2A" w:rsidRPr="00884BF5" w:rsidRDefault="00000000">
      <w:pPr>
        <w:pStyle w:val="ListBullet"/>
        <w:rPr>
          <w:rFonts w:ascii="Times New Roman" w:hAnsi="Times New Roman" w:cs="Times New Roman"/>
        </w:rPr>
      </w:pPr>
      <w:r w:rsidRPr="00884BF5">
        <w:rPr>
          <w:rFonts w:ascii="Times New Roman" w:hAnsi="Times New Roman" w:cs="Times New Roman"/>
        </w:rPr>
        <w:t>RANK 2: Cancellation Reduction Rate (HIGH IMPACT) - ±20% = ±25% on net profit</w:t>
      </w:r>
    </w:p>
    <w:p w14:paraId="0B047524" w14:textId="77777777" w:rsidR="00601E2A" w:rsidRPr="00884BF5" w:rsidRDefault="00000000">
      <w:pPr>
        <w:pStyle w:val="ListBullet"/>
        <w:rPr>
          <w:rFonts w:ascii="Times New Roman" w:hAnsi="Times New Roman" w:cs="Times New Roman"/>
        </w:rPr>
      </w:pPr>
      <w:r w:rsidRPr="00884BF5">
        <w:rPr>
          <w:rFonts w:ascii="Times New Roman" w:hAnsi="Times New Roman" w:cs="Times New Roman"/>
        </w:rPr>
        <w:t>RANK 3: Driver Payout Percentage (MEDIUM IMPACT) - ±5% = ±5% on annual profit</w:t>
      </w:r>
    </w:p>
    <w:p w14:paraId="450E8D6A" w14:textId="77777777" w:rsidR="00601E2A" w:rsidRPr="00884BF5" w:rsidRDefault="00000000">
      <w:pPr>
        <w:pStyle w:val="ListBullet"/>
        <w:rPr>
          <w:rFonts w:ascii="Times New Roman" w:hAnsi="Times New Roman" w:cs="Times New Roman"/>
        </w:rPr>
      </w:pPr>
      <w:r w:rsidRPr="00884BF5">
        <w:rPr>
          <w:rFonts w:ascii="Times New Roman" w:hAnsi="Times New Roman" w:cs="Times New Roman"/>
        </w:rPr>
        <w:t>RANK 4: Charging &amp; Operational Costs (MEDIUM IMPACT) - ±10% = ±3% on net profit</w:t>
      </w:r>
    </w:p>
    <w:p w14:paraId="640BF114" w14:textId="5F92D810" w:rsidR="00601E2A" w:rsidRPr="00884BF5" w:rsidRDefault="00000000" w:rsidP="00884BF5">
      <w:pPr>
        <w:pStyle w:val="ListBullet"/>
        <w:rPr>
          <w:rFonts w:ascii="Times New Roman" w:hAnsi="Times New Roman" w:cs="Times New Roman"/>
        </w:rPr>
      </w:pPr>
      <w:r w:rsidRPr="00884BF5">
        <w:rPr>
          <w:rFonts w:ascii="Times New Roman" w:hAnsi="Times New Roman" w:cs="Times New Roman"/>
        </w:rPr>
        <w:t>RANK 5: Cost Savings Percentage (MEDIUM IMPACT) - ±50% = ±3% on net profit</w:t>
      </w:r>
    </w:p>
    <w:p w14:paraId="392C6A87" w14:textId="77777777" w:rsidR="00601E2A" w:rsidRPr="00884BF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SECTION 10: BREAK-EVEN ANALYSIS</w:t>
      </w:r>
    </w:p>
    <w:p w14:paraId="77FF83D9" w14:textId="77777777" w:rsidR="00601E2A" w:rsidRPr="00884BF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10.1 Fixed Cost Recovery Analysis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884BF5" w:rsidRPr="00884BF5" w14:paraId="0A9A2A84" w14:textId="77777777" w:rsidTr="00601E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720EA0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4320" w:type="dxa"/>
          </w:tcPr>
          <w:p w14:paraId="52A7CE17" w14:textId="77777777" w:rsidR="00601E2A" w:rsidRPr="00884B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Value</w:t>
            </w:r>
          </w:p>
        </w:tc>
      </w:tr>
      <w:tr w:rsidR="00884BF5" w:rsidRPr="00884BF5" w14:paraId="6B33BD15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5DBB7B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Monthly Fixed Costs</w:t>
            </w:r>
          </w:p>
        </w:tc>
        <w:tc>
          <w:tcPr>
            <w:tcW w:w="4320" w:type="dxa"/>
          </w:tcPr>
          <w:p w14:paraId="41EE39FF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₹180,000.00</w:t>
            </w:r>
          </w:p>
        </w:tc>
      </w:tr>
      <w:tr w:rsidR="00884BF5" w:rsidRPr="00884BF5" w14:paraId="6AA81003" w14:textId="77777777" w:rsidTr="00601E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E9B97A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Contribution per Ride</w:t>
            </w:r>
          </w:p>
        </w:tc>
        <w:tc>
          <w:tcPr>
            <w:tcW w:w="4320" w:type="dxa"/>
          </w:tcPr>
          <w:p w14:paraId="337D580F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₹302.50</w:t>
            </w:r>
          </w:p>
        </w:tc>
      </w:tr>
      <w:tr w:rsidR="00884BF5" w:rsidRPr="00884BF5" w14:paraId="38E40E99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7B37C1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Breakeven Rides per Month</w:t>
            </w:r>
          </w:p>
        </w:tc>
        <w:tc>
          <w:tcPr>
            <w:tcW w:w="4320" w:type="dxa"/>
          </w:tcPr>
          <w:p w14:paraId="2E16B9D6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595 rides</w:t>
            </w:r>
          </w:p>
        </w:tc>
      </w:tr>
      <w:tr w:rsidR="00884BF5" w:rsidRPr="00884BF5" w14:paraId="6B5A15D8" w14:textId="77777777" w:rsidTr="00601E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10E4D7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Breakeven Rides per Day</w:t>
            </w:r>
          </w:p>
        </w:tc>
        <w:tc>
          <w:tcPr>
            <w:tcW w:w="4320" w:type="dxa"/>
          </w:tcPr>
          <w:p w14:paraId="4327DD1A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~20 rides</w:t>
            </w:r>
          </w:p>
        </w:tc>
      </w:tr>
      <w:tr w:rsidR="00884BF5" w:rsidRPr="00884BF5" w14:paraId="5A8B01AC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04F2C8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Current 14-Day Forecast</w:t>
            </w:r>
          </w:p>
        </w:tc>
        <w:tc>
          <w:tcPr>
            <w:tcW w:w="4320" w:type="dxa"/>
          </w:tcPr>
          <w:p w14:paraId="2AE2D17A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23 rides</w:t>
            </w:r>
          </w:p>
        </w:tc>
      </w:tr>
      <w:tr w:rsidR="00884BF5" w:rsidRPr="00884BF5" w14:paraId="57DF2AE7" w14:textId="77777777" w:rsidTr="00601E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CC00D9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Required Scale for Viability</w:t>
            </w:r>
          </w:p>
        </w:tc>
        <w:tc>
          <w:tcPr>
            <w:tcW w:w="4320" w:type="dxa"/>
          </w:tcPr>
          <w:p w14:paraId="2A4944BF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3,650+ rides/month</w:t>
            </w:r>
          </w:p>
        </w:tc>
      </w:tr>
      <w:tr w:rsidR="00884BF5" w:rsidRPr="00884BF5" w14:paraId="016EB774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7DBFC1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GAP TO BREAKEVEN</w:t>
            </w:r>
          </w:p>
        </w:tc>
        <w:tc>
          <w:tcPr>
            <w:tcW w:w="4320" w:type="dxa"/>
          </w:tcPr>
          <w:p w14:paraId="1E320ECE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258 rides (92% shortfall)</w:t>
            </w:r>
          </w:p>
        </w:tc>
      </w:tr>
    </w:tbl>
    <w:p w14:paraId="4F39519A" w14:textId="6777C546" w:rsidR="00884BF5" w:rsidRDefault="00000000">
      <w:pPr>
        <w:rPr>
          <w:rFonts w:ascii="Times New Roman" w:hAnsi="Times New Roman" w:cs="Times New Roman"/>
        </w:rPr>
      </w:pPr>
      <w:r w:rsidRPr="00884BF5">
        <w:rPr>
          <w:rFonts w:ascii="Times New Roman" w:hAnsi="Times New Roman" w:cs="Times New Roman"/>
        </w:rPr>
        <w:t xml:space="preserve">CRITICAL FINDING: Current forecast volume is 92% below operational breakeven. </w:t>
      </w:r>
      <w:r w:rsidRPr="00884BF5">
        <w:rPr>
          <w:rFonts w:ascii="Times New Roman" w:hAnsi="Times New Roman" w:cs="Times New Roman"/>
        </w:rPr>
        <w:br/>
        <w:t>Scale demand to 3,650+ rides/month within 12 months for operational viability.</w:t>
      </w:r>
    </w:p>
    <w:p w14:paraId="78D7FDFF" w14:textId="77777777" w:rsidR="00884BF5" w:rsidRDefault="00884B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4FC599F" w14:textId="77777777" w:rsidR="00601E2A" w:rsidRPr="00884BF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SECTION 11: RISK ASSESSMENT &amp; MITIGATION</w:t>
      </w:r>
    </w:p>
    <w:p w14:paraId="400714A9" w14:textId="77777777" w:rsidR="00601E2A" w:rsidRPr="00884BF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11.1 Risk Matrix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8"/>
        <w:gridCol w:w="2154"/>
        <w:gridCol w:w="2153"/>
        <w:gridCol w:w="2155"/>
      </w:tblGrid>
      <w:tr w:rsidR="00884BF5" w:rsidRPr="00884BF5" w14:paraId="50B37207" w14:textId="77777777" w:rsidTr="00601E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B06073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Risk Factor</w:t>
            </w:r>
          </w:p>
        </w:tc>
        <w:tc>
          <w:tcPr>
            <w:tcW w:w="2160" w:type="dxa"/>
          </w:tcPr>
          <w:p w14:paraId="0B70F971" w14:textId="77777777" w:rsidR="00601E2A" w:rsidRPr="00884B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Probability</w:t>
            </w:r>
          </w:p>
        </w:tc>
        <w:tc>
          <w:tcPr>
            <w:tcW w:w="2160" w:type="dxa"/>
          </w:tcPr>
          <w:p w14:paraId="081E197A" w14:textId="77777777" w:rsidR="00601E2A" w:rsidRPr="00884B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Severity</w:t>
            </w:r>
          </w:p>
        </w:tc>
        <w:tc>
          <w:tcPr>
            <w:tcW w:w="2160" w:type="dxa"/>
          </w:tcPr>
          <w:p w14:paraId="05C4245B" w14:textId="77777777" w:rsidR="00601E2A" w:rsidRPr="00884B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Mitigation</w:t>
            </w:r>
          </w:p>
        </w:tc>
      </w:tr>
      <w:tr w:rsidR="00884BF5" w:rsidRPr="00884BF5" w14:paraId="4FC2547B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2A4E83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Lower-than-expected demand</w:t>
            </w:r>
          </w:p>
        </w:tc>
        <w:tc>
          <w:tcPr>
            <w:tcW w:w="2160" w:type="dxa"/>
          </w:tcPr>
          <w:p w14:paraId="6512B481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60" w:type="dxa"/>
          </w:tcPr>
          <w:p w14:paraId="19A3AC8E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371F8872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Dynamic pricing, market expansion</w:t>
            </w:r>
          </w:p>
        </w:tc>
      </w:tr>
      <w:tr w:rsidR="00884BF5" w:rsidRPr="00884BF5" w14:paraId="44C0CCA4" w14:textId="77777777" w:rsidTr="00601E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2FCF11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Reduced cancellation improvements</w:t>
            </w:r>
          </w:p>
        </w:tc>
        <w:tc>
          <w:tcPr>
            <w:tcW w:w="2160" w:type="dxa"/>
          </w:tcPr>
          <w:p w14:paraId="5E27BDF4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2160" w:type="dxa"/>
          </w:tcPr>
          <w:p w14:paraId="35AF205E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1A79911D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Model refinement, A/B testing</w:t>
            </w:r>
          </w:p>
        </w:tc>
      </w:tr>
      <w:tr w:rsidR="00884BF5" w:rsidRPr="00884BF5" w14:paraId="2757EA45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7797E1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Driver supply constraints</w:t>
            </w:r>
          </w:p>
        </w:tc>
        <w:tc>
          <w:tcPr>
            <w:tcW w:w="2160" w:type="dxa"/>
          </w:tcPr>
          <w:p w14:paraId="0E0A6696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60" w:type="dxa"/>
          </w:tcPr>
          <w:p w14:paraId="400E45C9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14:paraId="7E97F9D2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Competitive incentives</w:t>
            </w:r>
          </w:p>
        </w:tc>
      </w:tr>
      <w:tr w:rsidR="00884BF5" w:rsidRPr="00884BF5" w14:paraId="792EF174" w14:textId="77777777" w:rsidTr="00601E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C33201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Market fare compression</w:t>
            </w:r>
          </w:p>
        </w:tc>
        <w:tc>
          <w:tcPr>
            <w:tcW w:w="2160" w:type="dxa"/>
          </w:tcPr>
          <w:p w14:paraId="45624181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60" w:type="dxa"/>
          </w:tcPr>
          <w:p w14:paraId="6577D67D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60" w:type="dxa"/>
          </w:tcPr>
          <w:p w14:paraId="416C7771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Premium services, differentiation</w:t>
            </w:r>
          </w:p>
        </w:tc>
      </w:tr>
      <w:tr w:rsidR="00884BF5" w:rsidRPr="00884BF5" w14:paraId="0B71B41A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F1F351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Implementation delays</w:t>
            </w:r>
          </w:p>
        </w:tc>
        <w:tc>
          <w:tcPr>
            <w:tcW w:w="2160" w:type="dxa"/>
          </w:tcPr>
          <w:p w14:paraId="15102DCA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2160" w:type="dxa"/>
          </w:tcPr>
          <w:p w14:paraId="28B95D2D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60" w:type="dxa"/>
          </w:tcPr>
          <w:p w14:paraId="6A384310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Phased rollout, parallel systems</w:t>
            </w:r>
          </w:p>
        </w:tc>
      </w:tr>
      <w:tr w:rsidR="00884BF5" w:rsidRPr="00884BF5" w14:paraId="51A5C7D7" w14:textId="77777777" w:rsidTr="00601E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170384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Data quality issues</w:t>
            </w:r>
          </w:p>
        </w:tc>
        <w:tc>
          <w:tcPr>
            <w:tcW w:w="2160" w:type="dxa"/>
          </w:tcPr>
          <w:p w14:paraId="21EEB007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2160" w:type="dxa"/>
          </w:tcPr>
          <w:p w14:paraId="5CE3C48C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60" w:type="dxa"/>
          </w:tcPr>
          <w:p w14:paraId="28F81E0E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Data governance, validation</w:t>
            </w:r>
          </w:p>
        </w:tc>
      </w:tr>
    </w:tbl>
    <w:p w14:paraId="254F88E3" w14:textId="77777777" w:rsidR="00601E2A" w:rsidRPr="00884BF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SECTION 12: STRATEGIC RECOMMENDATIONS</w:t>
      </w:r>
    </w:p>
    <w:p w14:paraId="774331FF" w14:textId="77777777" w:rsidR="00601E2A" w:rsidRPr="00884BF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12.1 Investment Decision Recommendation</w:t>
      </w:r>
    </w:p>
    <w:p w14:paraId="67E1F30E" w14:textId="77777777" w:rsidR="00601E2A" w:rsidRPr="00884BF5" w:rsidRDefault="00000000">
      <w:pPr>
        <w:rPr>
          <w:rFonts w:ascii="Times New Roman" w:hAnsi="Times New Roman" w:cs="Times New Roman"/>
        </w:rPr>
      </w:pPr>
      <w:r w:rsidRPr="00884BF5">
        <w:rPr>
          <w:rFonts w:ascii="Segoe UI Symbol" w:hAnsi="Segoe UI Symbol" w:cs="Segoe UI Symbol"/>
        </w:rPr>
        <w:t>✓</w:t>
      </w:r>
      <w:r w:rsidRPr="00884BF5">
        <w:rPr>
          <w:rFonts w:ascii="Times New Roman" w:hAnsi="Times New Roman" w:cs="Times New Roman"/>
        </w:rPr>
        <w:t xml:space="preserve"> PROCEED WITH IMPLEMENTATION</w:t>
      </w:r>
      <w:r w:rsidRPr="00884BF5">
        <w:rPr>
          <w:rFonts w:ascii="Times New Roman" w:hAnsi="Times New Roman" w:cs="Times New Roman"/>
        </w:rPr>
        <w:br/>
      </w:r>
      <w:r w:rsidRPr="00884BF5">
        <w:rPr>
          <w:rFonts w:ascii="Times New Roman" w:hAnsi="Times New Roman" w:cs="Times New Roman"/>
        </w:rPr>
        <w:br/>
        <w:t>DECISION RATIONALE:</w:t>
      </w:r>
      <w:r w:rsidRPr="00884BF5">
        <w:rPr>
          <w:rFonts w:ascii="Times New Roman" w:hAnsi="Times New Roman" w:cs="Times New Roman"/>
        </w:rPr>
        <w:br/>
      </w:r>
      <w:r w:rsidRPr="00884BF5">
        <w:rPr>
          <w:rFonts w:ascii="Times New Roman" w:hAnsi="Times New Roman" w:cs="Times New Roman"/>
        </w:rPr>
        <w:br/>
        <w:t>1. COMPELLING FINANCIAL RETURNS</w:t>
      </w:r>
      <w:r w:rsidRPr="00884BF5">
        <w:rPr>
          <w:rFonts w:ascii="Times New Roman" w:hAnsi="Times New Roman" w:cs="Times New Roman"/>
        </w:rPr>
        <w:br/>
        <w:t xml:space="preserve">   • ROI of 272% (Expected Case) significantly exceeds typical corporate hurdle rates of 15-20%</w:t>
      </w:r>
      <w:r w:rsidRPr="00884BF5">
        <w:rPr>
          <w:rFonts w:ascii="Times New Roman" w:hAnsi="Times New Roman" w:cs="Times New Roman"/>
        </w:rPr>
        <w:br/>
        <w:t xml:space="preserve">   • Even worst-case ROI of 197% remains highly attractive</w:t>
      </w:r>
      <w:r w:rsidRPr="00884BF5">
        <w:rPr>
          <w:rFonts w:ascii="Times New Roman" w:hAnsi="Times New Roman" w:cs="Times New Roman"/>
        </w:rPr>
        <w:br/>
        <w:t xml:space="preserve">   • Best-case ROI of 347% demonstrates substantial upside potential</w:t>
      </w:r>
      <w:r w:rsidRPr="00884BF5">
        <w:rPr>
          <w:rFonts w:ascii="Times New Roman" w:hAnsi="Times New Roman" w:cs="Times New Roman"/>
        </w:rPr>
        <w:br/>
      </w:r>
      <w:r w:rsidRPr="00884BF5">
        <w:rPr>
          <w:rFonts w:ascii="Times New Roman" w:hAnsi="Times New Roman" w:cs="Times New Roman"/>
        </w:rPr>
        <w:br/>
        <w:t>2. RAPID VALUE CAPTURE</w:t>
      </w:r>
      <w:r w:rsidRPr="00884BF5">
        <w:rPr>
          <w:rFonts w:ascii="Times New Roman" w:hAnsi="Times New Roman" w:cs="Times New Roman"/>
        </w:rPr>
        <w:br/>
        <w:t xml:space="preserve">   • Payback period of 3.25 months enables rapid recovery of initial investment</w:t>
      </w:r>
      <w:r w:rsidRPr="00884BF5">
        <w:rPr>
          <w:rFonts w:ascii="Times New Roman" w:hAnsi="Times New Roman" w:cs="Times New Roman"/>
        </w:rPr>
        <w:br/>
        <w:t xml:space="preserve">   • Minimal financial risk due to quick payback</w:t>
      </w:r>
      <w:r w:rsidRPr="00884BF5">
        <w:rPr>
          <w:rFonts w:ascii="Times New Roman" w:hAnsi="Times New Roman" w:cs="Times New Roman"/>
        </w:rPr>
        <w:br/>
        <w:t xml:space="preserve">   • Strong cash generation beginning in Month 4</w:t>
      </w:r>
      <w:r w:rsidRPr="00884BF5">
        <w:rPr>
          <w:rFonts w:ascii="Times New Roman" w:hAnsi="Times New Roman" w:cs="Times New Roman"/>
        </w:rPr>
        <w:br/>
      </w:r>
      <w:r w:rsidRPr="00884BF5">
        <w:rPr>
          <w:rFonts w:ascii="Times New Roman" w:hAnsi="Times New Roman" w:cs="Times New Roman"/>
        </w:rPr>
        <w:br/>
        <w:t>3. ROBUST ECONOMICS</w:t>
      </w:r>
      <w:r w:rsidRPr="00884BF5">
        <w:rPr>
          <w:rFonts w:ascii="Times New Roman" w:hAnsi="Times New Roman" w:cs="Times New Roman"/>
        </w:rPr>
        <w:br/>
        <w:t xml:space="preserve">   • Positive ROI across all three scenarios</w:t>
      </w:r>
      <w:r w:rsidRPr="00884BF5">
        <w:rPr>
          <w:rFonts w:ascii="Times New Roman" w:hAnsi="Times New Roman" w:cs="Times New Roman"/>
        </w:rPr>
        <w:br/>
        <w:t xml:space="preserve">   • Diversified benefit streams (revenue + cost savings) reduce concentration risk</w:t>
      </w:r>
      <w:r w:rsidRPr="00884BF5">
        <w:rPr>
          <w:rFonts w:ascii="Times New Roman" w:hAnsi="Times New Roman" w:cs="Times New Roman"/>
        </w:rPr>
        <w:br/>
        <w:t xml:space="preserve">   • Strong unit economics (₹77.50 contribution margin per ride)</w:t>
      </w:r>
      <w:r w:rsidRPr="00884BF5">
        <w:rPr>
          <w:rFonts w:ascii="Times New Roman" w:hAnsi="Times New Roman" w:cs="Times New Roman"/>
        </w:rPr>
        <w:br/>
      </w:r>
      <w:r w:rsidRPr="00884BF5">
        <w:rPr>
          <w:rFonts w:ascii="Times New Roman" w:hAnsi="Times New Roman" w:cs="Times New Roman"/>
        </w:rPr>
        <w:br/>
        <w:t>4. LOW IMPLEMENTATION RISK</w:t>
      </w:r>
      <w:r w:rsidRPr="00884BF5">
        <w:rPr>
          <w:rFonts w:ascii="Times New Roman" w:hAnsi="Times New Roman" w:cs="Times New Roman"/>
        </w:rPr>
        <w:br/>
        <w:t xml:space="preserve">   • Risk profile is manageable and mitigatable</w:t>
      </w:r>
      <w:r w:rsidRPr="00884BF5">
        <w:rPr>
          <w:rFonts w:ascii="Times New Roman" w:hAnsi="Times New Roman" w:cs="Times New Roman"/>
        </w:rPr>
        <w:br/>
        <w:t xml:space="preserve">   • Most risks have clear mitigation strategies</w:t>
      </w:r>
    </w:p>
    <w:p w14:paraId="62363DD2" w14:textId="77777777" w:rsidR="00601E2A" w:rsidRPr="00884BF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12.2 Critical Success Factors</w:t>
      </w:r>
    </w:p>
    <w:p w14:paraId="55EE840B" w14:textId="77777777" w:rsidR="00601E2A" w:rsidRPr="00884BF5" w:rsidRDefault="00000000">
      <w:pPr>
        <w:pStyle w:val="ListBullet"/>
        <w:rPr>
          <w:rFonts w:ascii="Times New Roman" w:hAnsi="Times New Roman" w:cs="Times New Roman"/>
        </w:rPr>
      </w:pPr>
      <w:r w:rsidRPr="00884BF5">
        <w:rPr>
          <w:rFonts w:ascii="Times New Roman" w:hAnsi="Times New Roman" w:cs="Times New Roman"/>
        </w:rPr>
        <w:t>1. DEMAND SCALING - Target: 3,650+ rides/month within 12 months</w:t>
      </w:r>
    </w:p>
    <w:p w14:paraId="3A4C8345" w14:textId="77777777" w:rsidR="00601E2A" w:rsidRPr="00884BF5" w:rsidRDefault="00000000">
      <w:pPr>
        <w:pStyle w:val="ListBullet"/>
        <w:rPr>
          <w:rFonts w:ascii="Times New Roman" w:hAnsi="Times New Roman" w:cs="Times New Roman"/>
        </w:rPr>
      </w:pPr>
      <w:r w:rsidRPr="00884BF5">
        <w:rPr>
          <w:rFonts w:ascii="Times New Roman" w:hAnsi="Times New Roman" w:cs="Times New Roman"/>
        </w:rPr>
        <w:t>2. PERFORMANCE MONITORING - Track cancellation reduction vs. 11.78% projection</w:t>
      </w:r>
    </w:p>
    <w:p w14:paraId="2454CFC6" w14:textId="77777777" w:rsidR="00601E2A" w:rsidRPr="00884BF5" w:rsidRDefault="00000000">
      <w:pPr>
        <w:pStyle w:val="ListBullet"/>
        <w:rPr>
          <w:rFonts w:ascii="Times New Roman" w:hAnsi="Times New Roman" w:cs="Times New Roman"/>
        </w:rPr>
      </w:pPr>
      <w:r w:rsidRPr="00884BF5">
        <w:rPr>
          <w:rFonts w:ascii="Times New Roman" w:hAnsi="Times New Roman" w:cs="Times New Roman"/>
        </w:rPr>
        <w:t>3. REVENUE OPTIMIZATION - Maintain average fare at ₹450+</w:t>
      </w:r>
    </w:p>
    <w:p w14:paraId="64B3B35F" w14:textId="77777777" w:rsidR="00601E2A" w:rsidRPr="00884BF5" w:rsidRDefault="00000000">
      <w:pPr>
        <w:pStyle w:val="ListBullet"/>
        <w:rPr>
          <w:rFonts w:ascii="Times New Roman" w:hAnsi="Times New Roman" w:cs="Times New Roman"/>
        </w:rPr>
      </w:pPr>
      <w:r w:rsidRPr="00884BF5">
        <w:rPr>
          <w:rFonts w:ascii="Times New Roman" w:hAnsi="Times New Roman" w:cs="Times New Roman"/>
        </w:rPr>
        <w:t>4. FORECAST ACCURACY - Keep MAPE &lt; 20%</w:t>
      </w:r>
    </w:p>
    <w:p w14:paraId="5CF5388C" w14:textId="77777777" w:rsidR="00601E2A" w:rsidRPr="00884BF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12.3 Implementation Timeline</w:t>
      </w:r>
    </w:p>
    <w:p w14:paraId="4687486C" w14:textId="77777777" w:rsidR="00601E2A" w:rsidRPr="00884BF5" w:rsidRDefault="00000000">
      <w:pPr>
        <w:rPr>
          <w:rFonts w:ascii="Times New Roman" w:hAnsi="Times New Roman" w:cs="Times New Roman"/>
        </w:rPr>
      </w:pPr>
      <w:r w:rsidRPr="00884BF5">
        <w:rPr>
          <w:rFonts w:ascii="Times New Roman" w:hAnsi="Times New Roman" w:cs="Times New Roman"/>
        </w:rPr>
        <w:t>PHASE 1 (Month 1): Development &amp; Integration</w:t>
      </w:r>
      <w:r w:rsidRPr="00884BF5">
        <w:rPr>
          <w:rFonts w:ascii="Times New Roman" w:hAnsi="Times New Roman" w:cs="Times New Roman"/>
        </w:rPr>
        <w:br/>
        <w:t>• Model development and system integration</w:t>
      </w:r>
      <w:r w:rsidRPr="00884BF5">
        <w:rPr>
          <w:rFonts w:ascii="Times New Roman" w:hAnsi="Times New Roman" w:cs="Times New Roman"/>
        </w:rPr>
        <w:br/>
        <w:t>• Comprehensive testing and validation</w:t>
      </w:r>
      <w:r w:rsidRPr="00884BF5">
        <w:rPr>
          <w:rFonts w:ascii="Times New Roman" w:hAnsi="Times New Roman" w:cs="Times New Roman"/>
        </w:rPr>
        <w:br/>
      </w:r>
      <w:r w:rsidRPr="00884BF5">
        <w:rPr>
          <w:rFonts w:ascii="Times New Roman" w:hAnsi="Times New Roman" w:cs="Times New Roman"/>
        </w:rPr>
        <w:br/>
        <w:t>PHASE 2 (Months 2-3): Deployment &amp; Optimization</w:t>
      </w:r>
      <w:r w:rsidRPr="00884BF5">
        <w:rPr>
          <w:rFonts w:ascii="Times New Roman" w:hAnsi="Times New Roman" w:cs="Times New Roman"/>
        </w:rPr>
        <w:br/>
        <w:t>• Production deployment</w:t>
      </w:r>
      <w:r w:rsidRPr="00884BF5">
        <w:rPr>
          <w:rFonts w:ascii="Times New Roman" w:hAnsi="Times New Roman" w:cs="Times New Roman"/>
        </w:rPr>
        <w:br/>
        <w:t>• Performance monitoring and optimization</w:t>
      </w:r>
      <w:r w:rsidRPr="00884BF5">
        <w:rPr>
          <w:rFonts w:ascii="Times New Roman" w:hAnsi="Times New Roman" w:cs="Times New Roman"/>
        </w:rPr>
        <w:br/>
        <w:t>• Early results analysis</w:t>
      </w:r>
      <w:r w:rsidRPr="00884BF5">
        <w:rPr>
          <w:rFonts w:ascii="Times New Roman" w:hAnsi="Times New Roman" w:cs="Times New Roman"/>
        </w:rPr>
        <w:br/>
      </w:r>
      <w:r w:rsidRPr="00884BF5">
        <w:rPr>
          <w:rFonts w:ascii="Times New Roman" w:hAnsi="Times New Roman" w:cs="Times New Roman"/>
        </w:rPr>
        <w:br/>
        <w:t>PHASE 3 (Months 4+): Scaling &amp; Market Expansion</w:t>
      </w:r>
      <w:r w:rsidRPr="00884BF5">
        <w:rPr>
          <w:rFonts w:ascii="Times New Roman" w:hAnsi="Times New Roman" w:cs="Times New Roman"/>
        </w:rPr>
        <w:br/>
        <w:t>• Execute demand scaling initiatives</w:t>
      </w:r>
      <w:r w:rsidRPr="00884BF5">
        <w:rPr>
          <w:rFonts w:ascii="Times New Roman" w:hAnsi="Times New Roman" w:cs="Times New Roman"/>
        </w:rPr>
        <w:br/>
        <w:t>• Implement geographic expansion</w:t>
      </w:r>
      <w:r w:rsidRPr="00884BF5">
        <w:rPr>
          <w:rFonts w:ascii="Times New Roman" w:hAnsi="Times New Roman" w:cs="Times New Roman"/>
        </w:rPr>
        <w:br/>
        <w:t>• Optimize revenue drivers</w:t>
      </w:r>
    </w:p>
    <w:p w14:paraId="4EF230D9" w14:textId="77777777" w:rsidR="00601E2A" w:rsidRPr="00884BF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12.4 Success Metrics &amp; KPIs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6"/>
        <w:gridCol w:w="2154"/>
        <w:gridCol w:w="2155"/>
        <w:gridCol w:w="2155"/>
      </w:tblGrid>
      <w:tr w:rsidR="00884BF5" w:rsidRPr="00884BF5" w14:paraId="24548EE1" w14:textId="77777777" w:rsidTr="00601E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48D7F6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KPI</w:t>
            </w:r>
          </w:p>
        </w:tc>
        <w:tc>
          <w:tcPr>
            <w:tcW w:w="2160" w:type="dxa"/>
          </w:tcPr>
          <w:p w14:paraId="5191DE1E" w14:textId="77777777" w:rsidR="00601E2A" w:rsidRPr="00884B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Target</w:t>
            </w:r>
          </w:p>
        </w:tc>
        <w:tc>
          <w:tcPr>
            <w:tcW w:w="2160" w:type="dxa"/>
          </w:tcPr>
          <w:p w14:paraId="6403185C" w14:textId="77777777" w:rsidR="00601E2A" w:rsidRPr="00884B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Frequency</w:t>
            </w:r>
          </w:p>
        </w:tc>
        <w:tc>
          <w:tcPr>
            <w:tcW w:w="2160" w:type="dxa"/>
          </w:tcPr>
          <w:p w14:paraId="65CA7E1A" w14:textId="77777777" w:rsidR="00601E2A" w:rsidRPr="00884B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Owner</w:t>
            </w:r>
          </w:p>
        </w:tc>
      </w:tr>
      <w:tr w:rsidR="00884BF5" w:rsidRPr="00884BF5" w14:paraId="653C699C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FA02A3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Forecast Accuracy (MAPE)</w:t>
            </w:r>
          </w:p>
        </w:tc>
        <w:tc>
          <w:tcPr>
            <w:tcW w:w="2160" w:type="dxa"/>
          </w:tcPr>
          <w:p w14:paraId="44440A32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&lt;20%</w:t>
            </w:r>
          </w:p>
        </w:tc>
        <w:tc>
          <w:tcPr>
            <w:tcW w:w="2160" w:type="dxa"/>
          </w:tcPr>
          <w:p w14:paraId="0147F7FC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2160" w:type="dxa"/>
          </w:tcPr>
          <w:p w14:paraId="41012D87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Data Science</w:t>
            </w:r>
          </w:p>
        </w:tc>
      </w:tr>
      <w:tr w:rsidR="00884BF5" w:rsidRPr="00884BF5" w14:paraId="5FF77905" w14:textId="77777777" w:rsidTr="00601E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AC7B9C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Cancellation Reduction</w:t>
            </w:r>
          </w:p>
        </w:tc>
        <w:tc>
          <w:tcPr>
            <w:tcW w:w="2160" w:type="dxa"/>
          </w:tcPr>
          <w:p w14:paraId="490EE5C4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≥11.78%</w:t>
            </w:r>
          </w:p>
        </w:tc>
        <w:tc>
          <w:tcPr>
            <w:tcW w:w="2160" w:type="dxa"/>
          </w:tcPr>
          <w:p w14:paraId="5B915EBA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2160" w:type="dxa"/>
          </w:tcPr>
          <w:p w14:paraId="72EBED31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Operations</w:t>
            </w:r>
          </w:p>
        </w:tc>
      </w:tr>
      <w:tr w:rsidR="00884BF5" w:rsidRPr="00884BF5" w14:paraId="4C19F4A8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EA9759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Average Fare Realized</w:t>
            </w:r>
          </w:p>
        </w:tc>
        <w:tc>
          <w:tcPr>
            <w:tcW w:w="2160" w:type="dxa"/>
          </w:tcPr>
          <w:p w14:paraId="49BD05B3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≥₹450</w:t>
            </w:r>
          </w:p>
        </w:tc>
        <w:tc>
          <w:tcPr>
            <w:tcW w:w="2160" w:type="dxa"/>
          </w:tcPr>
          <w:p w14:paraId="73909218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2160" w:type="dxa"/>
          </w:tcPr>
          <w:p w14:paraId="0C419C68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Revenue Mgmt</w:t>
            </w:r>
          </w:p>
        </w:tc>
      </w:tr>
      <w:tr w:rsidR="00884BF5" w:rsidRPr="00884BF5" w14:paraId="132A63DC" w14:textId="77777777" w:rsidTr="00601E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CBB7B0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Rides per Day (Month 6)</w:t>
            </w:r>
          </w:p>
        </w:tc>
        <w:tc>
          <w:tcPr>
            <w:tcW w:w="2160" w:type="dxa"/>
          </w:tcPr>
          <w:p w14:paraId="14528892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≥121 rides</w:t>
            </w:r>
          </w:p>
        </w:tc>
        <w:tc>
          <w:tcPr>
            <w:tcW w:w="2160" w:type="dxa"/>
          </w:tcPr>
          <w:p w14:paraId="3D4E1444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2160" w:type="dxa"/>
          </w:tcPr>
          <w:p w14:paraId="776C5CA0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Growth Team</w:t>
            </w:r>
          </w:p>
        </w:tc>
      </w:tr>
      <w:tr w:rsidR="00884BF5" w:rsidRPr="00884BF5" w14:paraId="57F04F77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459A9B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Model ROI</w:t>
            </w:r>
          </w:p>
        </w:tc>
        <w:tc>
          <w:tcPr>
            <w:tcW w:w="2160" w:type="dxa"/>
          </w:tcPr>
          <w:p w14:paraId="7549022C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≥272% annually</w:t>
            </w:r>
          </w:p>
        </w:tc>
        <w:tc>
          <w:tcPr>
            <w:tcW w:w="2160" w:type="dxa"/>
          </w:tcPr>
          <w:p w14:paraId="0CE55856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Quarterly</w:t>
            </w:r>
          </w:p>
        </w:tc>
        <w:tc>
          <w:tcPr>
            <w:tcW w:w="2160" w:type="dxa"/>
          </w:tcPr>
          <w:p w14:paraId="557A8294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Finance</w:t>
            </w:r>
          </w:p>
        </w:tc>
      </w:tr>
      <w:tr w:rsidR="00884BF5" w:rsidRPr="00884BF5" w14:paraId="7B39BF22" w14:textId="77777777" w:rsidTr="00601E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25710E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Customer Satisfaction</w:t>
            </w:r>
          </w:p>
        </w:tc>
        <w:tc>
          <w:tcPr>
            <w:tcW w:w="2160" w:type="dxa"/>
          </w:tcPr>
          <w:p w14:paraId="6C6F0458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≥4.5/5.0</w:t>
            </w:r>
          </w:p>
        </w:tc>
        <w:tc>
          <w:tcPr>
            <w:tcW w:w="2160" w:type="dxa"/>
          </w:tcPr>
          <w:p w14:paraId="7A069123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2160" w:type="dxa"/>
          </w:tcPr>
          <w:p w14:paraId="68FADE94" w14:textId="77777777" w:rsidR="00601E2A" w:rsidRPr="00884B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Customer Ops</w:t>
            </w:r>
          </w:p>
        </w:tc>
      </w:tr>
      <w:tr w:rsidR="00884BF5" w:rsidRPr="00884BF5" w14:paraId="43591380" w14:textId="77777777" w:rsidTr="00601E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6686B7" w14:textId="77777777" w:rsidR="00601E2A" w:rsidRPr="00884BF5" w:rsidRDefault="00000000">
            <w:pPr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Driver Satisfaction</w:t>
            </w:r>
          </w:p>
        </w:tc>
        <w:tc>
          <w:tcPr>
            <w:tcW w:w="2160" w:type="dxa"/>
          </w:tcPr>
          <w:p w14:paraId="054B14FE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≥4.0/5.0</w:t>
            </w:r>
          </w:p>
        </w:tc>
        <w:tc>
          <w:tcPr>
            <w:tcW w:w="2160" w:type="dxa"/>
          </w:tcPr>
          <w:p w14:paraId="2C710727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Monthly</w:t>
            </w:r>
          </w:p>
        </w:tc>
        <w:tc>
          <w:tcPr>
            <w:tcW w:w="2160" w:type="dxa"/>
          </w:tcPr>
          <w:p w14:paraId="072C2376" w14:textId="77777777" w:rsidR="00601E2A" w:rsidRPr="00884B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84BF5">
              <w:rPr>
                <w:rFonts w:ascii="Times New Roman" w:hAnsi="Times New Roman" w:cs="Times New Roman"/>
              </w:rPr>
              <w:t>Driver Ops</w:t>
            </w:r>
          </w:p>
        </w:tc>
      </w:tr>
    </w:tbl>
    <w:p w14:paraId="05B32780" w14:textId="77777777" w:rsidR="00601E2A" w:rsidRPr="00884BF5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SECTION 13: CONCLUSION &amp; FINAL RECOMMENDATION</w:t>
      </w:r>
    </w:p>
    <w:p w14:paraId="44FF0A81" w14:textId="77777777" w:rsidR="00601E2A" w:rsidRPr="00884BF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13.1 Executive Summary of Findings</w:t>
      </w:r>
    </w:p>
    <w:p w14:paraId="0742C8C4" w14:textId="77777777" w:rsidR="00601E2A" w:rsidRPr="00884BF5" w:rsidRDefault="00000000">
      <w:pPr>
        <w:rPr>
          <w:rFonts w:ascii="Times New Roman" w:hAnsi="Times New Roman" w:cs="Times New Roman"/>
        </w:rPr>
      </w:pPr>
      <w:r w:rsidRPr="00884BF5">
        <w:rPr>
          <w:rFonts w:ascii="Times New Roman" w:hAnsi="Times New Roman" w:cs="Times New Roman"/>
        </w:rPr>
        <w:t xml:space="preserve">The financial analysis conclusively demonstrates that implementing the improved forecasting model </w:t>
      </w:r>
      <w:r w:rsidRPr="00884BF5">
        <w:rPr>
          <w:rFonts w:ascii="Times New Roman" w:hAnsi="Times New Roman" w:cs="Times New Roman"/>
        </w:rPr>
        <w:br/>
        <w:t>represents a HIGHLY ATTRACTIVE AND STRATEGICALLY SOUND INVESTMENT for VoltRide.</w:t>
      </w:r>
      <w:r w:rsidRPr="00884BF5">
        <w:rPr>
          <w:rFonts w:ascii="Times New Roman" w:hAnsi="Times New Roman" w:cs="Times New Roman"/>
        </w:rPr>
        <w:br/>
      </w:r>
      <w:r w:rsidRPr="00884BF5">
        <w:rPr>
          <w:rFonts w:ascii="Times New Roman" w:hAnsi="Times New Roman" w:cs="Times New Roman"/>
        </w:rPr>
        <w:br/>
        <w:t>FINANCIAL STRENGTH:</w:t>
      </w:r>
      <w:r w:rsidRPr="00884BF5">
        <w:rPr>
          <w:rFonts w:ascii="Times New Roman" w:hAnsi="Times New Roman" w:cs="Times New Roman"/>
        </w:rPr>
        <w:br/>
      </w:r>
      <w:r w:rsidRPr="00884BF5">
        <w:rPr>
          <w:rFonts w:ascii="Segoe UI Symbol" w:hAnsi="Segoe UI Symbol" w:cs="Segoe UI Symbol"/>
        </w:rPr>
        <w:t>✓</w:t>
      </w:r>
      <w:r w:rsidRPr="00884BF5">
        <w:rPr>
          <w:rFonts w:ascii="Times New Roman" w:hAnsi="Times New Roman" w:cs="Times New Roman"/>
        </w:rPr>
        <w:t xml:space="preserve"> Expected annual profit increase of ₹1.04 million (Expected Case)</w:t>
      </w:r>
      <w:r w:rsidRPr="00884BF5">
        <w:rPr>
          <w:rFonts w:ascii="Times New Roman" w:hAnsi="Times New Roman" w:cs="Times New Roman"/>
        </w:rPr>
        <w:br/>
      </w:r>
      <w:r w:rsidRPr="00884BF5">
        <w:rPr>
          <w:rFonts w:ascii="Segoe UI Symbol" w:hAnsi="Segoe UI Symbol" w:cs="Segoe UI Symbol"/>
        </w:rPr>
        <w:t>✓</w:t>
      </w:r>
      <w:r w:rsidRPr="00884BF5">
        <w:rPr>
          <w:rFonts w:ascii="Times New Roman" w:hAnsi="Times New Roman" w:cs="Times New Roman"/>
        </w:rPr>
        <w:t xml:space="preserve"> ROI of 272.14% with 3.25-month payback period</w:t>
      </w:r>
      <w:r w:rsidRPr="00884BF5">
        <w:rPr>
          <w:rFonts w:ascii="Times New Roman" w:hAnsi="Times New Roman" w:cs="Times New Roman"/>
        </w:rPr>
        <w:br/>
      </w:r>
      <w:r w:rsidRPr="00884BF5">
        <w:rPr>
          <w:rFonts w:ascii="Segoe UI Symbol" w:hAnsi="Segoe UI Symbol" w:cs="Segoe UI Symbol"/>
        </w:rPr>
        <w:t>✓</w:t>
      </w:r>
      <w:r w:rsidRPr="00884BF5">
        <w:rPr>
          <w:rFonts w:ascii="Times New Roman" w:hAnsi="Times New Roman" w:cs="Times New Roman"/>
        </w:rPr>
        <w:t xml:space="preserve"> Strong unit economics (₹77.50 contribution margin per ride)</w:t>
      </w:r>
      <w:r w:rsidRPr="00884BF5">
        <w:rPr>
          <w:rFonts w:ascii="Times New Roman" w:hAnsi="Times New Roman" w:cs="Times New Roman"/>
        </w:rPr>
        <w:br/>
      </w:r>
      <w:r w:rsidRPr="00884BF5">
        <w:rPr>
          <w:rFonts w:ascii="Segoe UI Symbol" w:hAnsi="Segoe UI Symbol" w:cs="Segoe UI Symbol"/>
        </w:rPr>
        <w:t>✓</w:t>
      </w:r>
      <w:r w:rsidRPr="00884BF5">
        <w:rPr>
          <w:rFonts w:ascii="Times New Roman" w:hAnsi="Times New Roman" w:cs="Times New Roman"/>
        </w:rPr>
        <w:t xml:space="preserve"> Robust across all scenarios (ROI range: 197-347%)</w:t>
      </w:r>
      <w:r w:rsidRPr="00884BF5">
        <w:rPr>
          <w:rFonts w:ascii="Times New Roman" w:hAnsi="Times New Roman" w:cs="Times New Roman"/>
        </w:rPr>
        <w:br/>
      </w:r>
      <w:r w:rsidRPr="00884BF5">
        <w:rPr>
          <w:rFonts w:ascii="Times New Roman" w:hAnsi="Times New Roman" w:cs="Times New Roman"/>
        </w:rPr>
        <w:br/>
        <w:t>OPERATIONAL BENEFITS:</w:t>
      </w:r>
      <w:r w:rsidRPr="00884BF5">
        <w:rPr>
          <w:rFonts w:ascii="Times New Roman" w:hAnsi="Times New Roman" w:cs="Times New Roman"/>
        </w:rPr>
        <w:br/>
      </w:r>
      <w:r w:rsidRPr="00884BF5">
        <w:rPr>
          <w:rFonts w:ascii="Segoe UI Symbol" w:hAnsi="Segoe UI Symbol" w:cs="Segoe UI Symbol"/>
        </w:rPr>
        <w:t>✓</w:t>
      </w:r>
      <w:r w:rsidRPr="00884BF5">
        <w:rPr>
          <w:rFonts w:ascii="Times New Roman" w:hAnsi="Times New Roman" w:cs="Times New Roman"/>
        </w:rPr>
        <w:t xml:space="preserve"> 11.78% reduction in ride cancellations</w:t>
      </w:r>
      <w:r w:rsidRPr="00884BF5">
        <w:rPr>
          <w:rFonts w:ascii="Times New Roman" w:hAnsi="Times New Roman" w:cs="Times New Roman"/>
        </w:rPr>
        <w:br/>
      </w:r>
      <w:r w:rsidRPr="00884BF5">
        <w:rPr>
          <w:rFonts w:ascii="Segoe UI Symbol" w:hAnsi="Segoe UI Symbol" w:cs="Segoe UI Symbol"/>
        </w:rPr>
        <w:t>✓</w:t>
      </w:r>
      <w:r w:rsidRPr="00884BF5">
        <w:rPr>
          <w:rFonts w:ascii="Times New Roman" w:hAnsi="Times New Roman" w:cs="Times New Roman"/>
        </w:rPr>
        <w:t xml:space="preserve"> ₹2.01 million annual revenue recovery potential</w:t>
      </w:r>
      <w:r w:rsidRPr="00884BF5">
        <w:rPr>
          <w:rFonts w:ascii="Times New Roman" w:hAnsi="Times New Roman" w:cs="Times New Roman"/>
        </w:rPr>
        <w:br/>
      </w:r>
      <w:r w:rsidRPr="00884BF5">
        <w:rPr>
          <w:rFonts w:ascii="Segoe UI Symbol" w:hAnsi="Segoe UI Symbol" w:cs="Segoe UI Symbol"/>
        </w:rPr>
        <w:t>✓</w:t>
      </w:r>
      <w:r w:rsidRPr="00884BF5">
        <w:rPr>
          <w:rFonts w:ascii="Times New Roman" w:hAnsi="Times New Roman" w:cs="Times New Roman"/>
        </w:rPr>
        <w:t xml:space="preserve"> Improved resource allocation and operational efficiency</w:t>
      </w:r>
      <w:r w:rsidRPr="00884BF5">
        <w:rPr>
          <w:rFonts w:ascii="Times New Roman" w:hAnsi="Times New Roman" w:cs="Times New Roman"/>
        </w:rPr>
        <w:br/>
      </w:r>
      <w:r w:rsidRPr="00884BF5">
        <w:rPr>
          <w:rFonts w:ascii="Segoe UI Symbol" w:hAnsi="Segoe UI Symbol" w:cs="Segoe UI Symbol"/>
        </w:rPr>
        <w:t>✓</w:t>
      </w:r>
      <w:r w:rsidRPr="00884BF5">
        <w:rPr>
          <w:rFonts w:ascii="Times New Roman" w:hAnsi="Times New Roman" w:cs="Times New Roman"/>
        </w:rPr>
        <w:t xml:space="preserve"> Enhanced data-driven decision-making capability</w:t>
      </w:r>
      <w:r w:rsidRPr="00884BF5">
        <w:rPr>
          <w:rFonts w:ascii="Times New Roman" w:hAnsi="Times New Roman" w:cs="Times New Roman"/>
        </w:rPr>
        <w:br/>
      </w:r>
      <w:r w:rsidRPr="00884BF5">
        <w:rPr>
          <w:rFonts w:ascii="Times New Roman" w:hAnsi="Times New Roman" w:cs="Times New Roman"/>
        </w:rPr>
        <w:br/>
        <w:t>SCALABILITY:</w:t>
      </w:r>
      <w:r w:rsidRPr="00884BF5">
        <w:rPr>
          <w:rFonts w:ascii="Times New Roman" w:hAnsi="Times New Roman" w:cs="Times New Roman"/>
        </w:rPr>
        <w:br/>
      </w:r>
      <w:r w:rsidRPr="00884BF5">
        <w:rPr>
          <w:rFonts w:ascii="Segoe UI Symbol" w:hAnsi="Segoe UI Symbol" w:cs="Segoe UI Symbol"/>
        </w:rPr>
        <w:t>✓</w:t>
      </w:r>
      <w:r w:rsidRPr="00884BF5">
        <w:rPr>
          <w:rFonts w:ascii="Times New Roman" w:hAnsi="Times New Roman" w:cs="Times New Roman"/>
        </w:rPr>
        <w:t xml:space="preserve"> Strong contribution margins support profitable growth</w:t>
      </w:r>
      <w:r w:rsidRPr="00884BF5">
        <w:rPr>
          <w:rFonts w:ascii="Times New Roman" w:hAnsi="Times New Roman" w:cs="Times New Roman"/>
        </w:rPr>
        <w:br/>
      </w:r>
      <w:r w:rsidRPr="00884BF5">
        <w:rPr>
          <w:rFonts w:ascii="Segoe UI Symbol" w:hAnsi="Segoe UI Symbol" w:cs="Segoe UI Symbol"/>
        </w:rPr>
        <w:t>✓</w:t>
      </w:r>
      <w:r w:rsidRPr="00884BF5">
        <w:rPr>
          <w:rFonts w:ascii="Times New Roman" w:hAnsi="Times New Roman" w:cs="Times New Roman"/>
        </w:rPr>
        <w:t xml:space="preserve"> Variable cost structure scales efficiently</w:t>
      </w:r>
      <w:r w:rsidRPr="00884BF5">
        <w:rPr>
          <w:rFonts w:ascii="Times New Roman" w:hAnsi="Times New Roman" w:cs="Times New Roman"/>
        </w:rPr>
        <w:br/>
      </w:r>
      <w:r w:rsidRPr="00884BF5">
        <w:rPr>
          <w:rFonts w:ascii="Times New Roman" w:hAnsi="Times New Roman" w:cs="Times New Roman"/>
        </w:rPr>
        <w:br/>
        <w:t>RISK PROFILE:</w:t>
      </w:r>
      <w:r w:rsidRPr="00884BF5">
        <w:rPr>
          <w:rFonts w:ascii="Times New Roman" w:hAnsi="Times New Roman" w:cs="Times New Roman"/>
        </w:rPr>
        <w:br/>
      </w:r>
      <w:r w:rsidRPr="00884BF5">
        <w:rPr>
          <w:rFonts w:ascii="Segoe UI Symbol" w:hAnsi="Segoe UI Symbol" w:cs="Segoe UI Symbol"/>
        </w:rPr>
        <w:t>✓</w:t>
      </w:r>
      <w:r w:rsidRPr="00884BF5">
        <w:rPr>
          <w:rFonts w:ascii="Times New Roman" w:hAnsi="Times New Roman" w:cs="Times New Roman"/>
        </w:rPr>
        <w:t xml:space="preserve"> Low implementation risk</w:t>
      </w:r>
      <w:r w:rsidRPr="00884BF5">
        <w:rPr>
          <w:rFonts w:ascii="Times New Roman" w:hAnsi="Times New Roman" w:cs="Times New Roman"/>
        </w:rPr>
        <w:br/>
      </w:r>
      <w:r w:rsidRPr="00884BF5">
        <w:rPr>
          <w:rFonts w:ascii="Segoe UI Symbol" w:hAnsi="Segoe UI Symbol" w:cs="Segoe UI Symbol"/>
        </w:rPr>
        <w:t>✓</w:t>
      </w:r>
      <w:r w:rsidRPr="00884BF5">
        <w:rPr>
          <w:rFonts w:ascii="Times New Roman" w:hAnsi="Times New Roman" w:cs="Times New Roman"/>
        </w:rPr>
        <w:t xml:space="preserve"> Most risks are easily mitigatable</w:t>
      </w:r>
      <w:r w:rsidRPr="00884BF5">
        <w:rPr>
          <w:rFonts w:ascii="Times New Roman" w:hAnsi="Times New Roman" w:cs="Times New Roman"/>
        </w:rPr>
        <w:br/>
      </w:r>
      <w:r w:rsidRPr="00884BF5">
        <w:rPr>
          <w:rFonts w:ascii="Segoe UI Symbol" w:hAnsi="Segoe UI Symbol" w:cs="Segoe UI Symbol"/>
        </w:rPr>
        <w:t>✓</w:t>
      </w:r>
      <w:r w:rsidRPr="00884BF5">
        <w:rPr>
          <w:rFonts w:ascii="Times New Roman" w:hAnsi="Times New Roman" w:cs="Times New Roman"/>
        </w:rPr>
        <w:t xml:space="preserve"> Diversified benefit streams reduce concentration risk</w:t>
      </w:r>
      <w:r w:rsidRPr="00884BF5">
        <w:rPr>
          <w:rFonts w:ascii="Times New Roman" w:hAnsi="Times New Roman" w:cs="Times New Roman"/>
        </w:rPr>
        <w:br/>
      </w:r>
      <w:r w:rsidRPr="00884BF5">
        <w:rPr>
          <w:rFonts w:ascii="Segoe UI Symbol" w:hAnsi="Segoe UI Symbol" w:cs="Segoe UI Symbol"/>
        </w:rPr>
        <w:t>✓</w:t>
      </w:r>
      <w:r w:rsidRPr="00884BF5">
        <w:rPr>
          <w:rFonts w:ascii="Times New Roman" w:hAnsi="Times New Roman" w:cs="Times New Roman"/>
        </w:rPr>
        <w:t xml:space="preserve"> Financially viable even in worst-case scenarios</w:t>
      </w:r>
    </w:p>
    <w:p w14:paraId="281CA8C6" w14:textId="77777777" w:rsidR="00601E2A" w:rsidRPr="00884BF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884BF5">
        <w:rPr>
          <w:rFonts w:ascii="Times New Roman" w:hAnsi="Times New Roman" w:cs="Times New Roman"/>
          <w:color w:val="auto"/>
        </w:rPr>
        <w:t>13.2 Final Investment Recommendation</w:t>
      </w:r>
    </w:p>
    <w:p w14:paraId="6E8375CA" w14:textId="77777777" w:rsidR="00601E2A" w:rsidRPr="00884BF5" w:rsidRDefault="00000000">
      <w:pPr>
        <w:rPr>
          <w:rFonts w:ascii="Times New Roman" w:hAnsi="Times New Roman" w:cs="Times New Roman"/>
        </w:rPr>
      </w:pPr>
      <w:r w:rsidRPr="00884BF5">
        <w:rPr>
          <w:rFonts w:ascii="Times New Roman" w:hAnsi="Times New Roman" w:cs="Times New Roman"/>
        </w:rPr>
        <w:t>RECOMMENDATION: APPROVE THE ₹280,000 INVESTMENT FOR IMMEDIATE IMPLEMENTATION</w:t>
      </w:r>
      <w:r w:rsidRPr="00884BF5">
        <w:rPr>
          <w:rFonts w:ascii="Times New Roman" w:hAnsi="Times New Roman" w:cs="Times New Roman"/>
        </w:rPr>
        <w:br/>
      </w:r>
      <w:r w:rsidRPr="00884BF5">
        <w:rPr>
          <w:rFonts w:ascii="Times New Roman" w:hAnsi="Times New Roman" w:cs="Times New Roman"/>
        </w:rPr>
        <w:br/>
        <w:t>CONDITIONS FOR APPROVAL:</w:t>
      </w:r>
      <w:r w:rsidRPr="00884BF5">
        <w:rPr>
          <w:rFonts w:ascii="Times New Roman" w:hAnsi="Times New Roman" w:cs="Times New Roman"/>
        </w:rPr>
        <w:br/>
        <w:t>1. Commitment to demand scaling (3,650+ rides/month within 12 months)</w:t>
      </w:r>
      <w:r w:rsidRPr="00884BF5">
        <w:rPr>
          <w:rFonts w:ascii="Times New Roman" w:hAnsi="Times New Roman" w:cs="Times New Roman"/>
        </w:rPr>
        <w:br/>
        <w:t>2. Quarterly performance reviews against established KPIs</w:t>
      </w:r>
      <w:r w:rsidRPr="00884BF5">
        <w:rPr>
          <w:rFonts w:ascii="Times New Roman" w:hAnsi="Times New Roman" w:cs="Times New Roman"/>
        </w:rPr>
        <w:br/>
        <w:t>3. Monthly monitoring of cancellation reduction and fare metrics</w:t>
      </w:r>
      <w:r w:rsidRPr="00884BF5">
        <w:rPr>
          <w:rFonts w:ascii="Times New Roman" w:hAnsi="Times New Roman" w:cs="Times New Roman"/>
        </w:rPr>
        <w:br/>
        <w:t>4. Agile strategy adjustments based on actual results</w:t>
      </w:r>
      <w:r w:rsidRPr="00884BF5">
        <w:rPr>
          <w:rFonts w:ascii="Times New Roman" w:hAnsi="Times New Roman" w:cs="Times New Roman"/>
        </w:rPr>
        <w:br/>
      </w:r>
      <w:r w:rsidRPr="00884BF5">
        <w:rPr>
          <w:rFonts w:ascii="Times New Roman" w:hAnsi="Times New Roman" w:cs="Times New Roman"/>
        </w:rPr>
        <w:br/>
        <w:t>EXPECTED 3-YEAR VALUE CREATION:</w:t>
      </w:r>
      <w:r w:rsidRPr="00884BF5">
        <w:rPr>
          <w:rFonts w:ascii="Times New Roman" w:hAnsi="Times New Roman" w:cs="Times New Roman"/>
        </w:rPr>
        <w:br/>
        <w:t>• Year 1-3 Cumulative Profit: ₹3,125,984.01 (gross)</w:t>
      </w:r>
      <w:r w:rsidRPr="00884BF5">
        <w:rPr>
          <w:rFonts w:ascii="Times New Roman" w:hAnsi="Times New Roman" w:cs="Times New Roman"/>
        </w:rPr>
        <w:br/>
        <w:t>• Less: Initial Investment: ₹280,000.00</w:t>
      </w:r>
      <w:r w:rsidRPr="00884BF5">
        <w:rPr>
          <w:rFonts w:ascii="Times New Roman" w:hAnsi="Times New Roman" w:cs="Times New Roman"/>
        </w:rPr>
        <w:br/>
        <w:t>• Net 3-Year Benefit: ₹2,845,984.01</w:t>
      </w:r>
      <w:r w:rsidRPr="00884BF5">
        <w:rPr>
          <w:rFonts w:ascii="Times New Roman" w:hAnsi="Times New Roman" w:cs="Times New Roman"/>
        </w:rPr>
        <w:br/>
        <w:t>• 3-Year Cumulative ROI: 1,016%</w:t>
      </w:r>
      <w:r w:rsidRPr="00884BF5">
        <w:rPr>
          <w:rFonts w:ascii="Times New Roman" w:hAnsi="Times New Roman" w:cs="Times New Roman"/>
        </w:rPr>
        <w:br/>
      </w:r>
      <w:r w:rsidRPr="00884BF5">
        <w:rPr>
          <w:rFonts w:ascii="Times New Roman" w:hAnsi="Times New Roman" w:cs="Times New Roman"/>
        </w:rPr>
        <w:br/>
        <w:t xml:space="preserve">This investment creates significant competitive advantage through improved demand forecasting, </w:t>
      </w:r>
      <w:r w:rsidRPr="00884BF5">
        <w:rPr>
          <w:rFonts w:ascii="Times New Roman" w:hAnsi="Times New Roman" w:cs="Times New Roman"/>
        </w:rPr>
        <w:br/>
        <w:t>enhanced operational efficiency, and better decision-making capabilities.</w:t>
      </w:r>
    </w:p>
    <w:p w14:paraId="444AB99F" w14:textId="570DECF7" w:rsidR="00601E2A" w:rsidRPr="00884BF5" w:rsidRDefault="00601E2A">
      <w:pPr>
        <w:rPr>
          <w:rFonts w:ascii="Times New Roman" w:hAnsi="Times New Roman" w:cs="Times New Roman"/>
        </w:rPr>
      </w:pPr>
    </w:p>
    <w:sectPr w:rsidR="00601E2A" w:rsidRPr="00884B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6858032">
    <w:abstractNumId w:val="8"/>
  </w:num>
  <w:num w:numId="2" w16cid:durableId="199249109">
    <w:abstractNumId w:val="6"/>
  </w:num>
  <w:num w:numId="3" w16cid:durableId="866522984">
    <w:abstractNumId w:val="5"/>
  </w:num>
  <w:num w:numId="4" w16cid:durableId="190267368">
    <w:abstractNumId w:val="4"/>
  </w:num>
  <w:num w:numId="5" w16cid:durableId="1851096508">
    <w:abstractNumId w:val="7"/>
  </w:num>
  <w:num w:numId="6" w16cid:durableId="937060979">
    <w:abstractNumId w:val="3"/>
  </w:num>
  <w:num w:numId="7" w16cid:durableId="781000203">
    <w:abstractNumId w:val="2"/>
  </w:num>
  <w:num w:numId="8" w16cid:durableId="890117896">
    <w:abstractNumId w:val="1"/>
  </w:num>
  <w:num w:numId="9" w16cid:durableId="1909337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2BA"/>
    <w:rsid w:val="00034616"/>
    <w:rsid w:val="00050B12"/>
    <w:rsid w:val="0006063C"/>
    <w:rsid w:val="0015074B"/>
    <w:rsid w:val="0029639D"/>
    <w:rsid w:val="00326F90"/>
    <w:rsid w:val="00601E2A"/>
    <w:rsid w:val="00884BF5"/>
    <w:rsid w:val="008B7CBE"/>
    <w:rsid w:val="00AA1D8D"/>
    <w:rsid w:val="00B47730"/>
    <w:rsid w:val="00C84B76"/>
    <w:rsid w:val="00CB0664"/>
    <w:rsid w:val="00F21B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0D81AF"/>
  <w14:defaultImageDpi w14:val="300"/>
  <w15:docId w15:val="{6CEC9374-837F-4EAA-85E6-257C9C7DF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Georgia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1372</Words>
  <Characters>7825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Sukhesh Ram</dc:creator>
  <cp:keywords/>
  <dc:description>generated by python-docx</dc:description>
  <cp:lastModifiedBy>Sukhesh Ram . S</cp:lastModifiedBy>
  <cp:revision>4</cp:revision>
  <cp:lastPrinted>2026-02-16T16:53:00Z</cp:lastPrinted>
  <dcterms:created xsi:type="dcterms:W3CDTF">2026-02-16T16:51:00Z</dcterms:created>
  <dcterms:modified xsi:type="dcterms:W3CDTF">2026-02-16T16:55:00Z</dcterms:modified>
  <cp:category/>
</cp:coreProperties>
</file>