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Artifact runs for the IEEE Access submission: effort and impact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From Risk Register to Runtime Predicate — rev. 5.3 (text frozen)  ·  7 September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The short answer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a working Φ and the machine-readable Case A/B inputs already exist in some form, the whole list is two to four working days. If Φ exists only as the Appendix B pseudocode, it is one to two weeks, most of it building the compiler and the inputs — everything else is harness code around them.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Effort per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50"/>
        <w:gridCol w:w="2150"/>
        <w:gridCol w:w="31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If Φ and the inputs exist</w:t>
            </w:r>
          </w:p>
        </w:tc>
        <w:tc>
          <w:tcPr>
            <w:tcW w:type="dxa" w:w="2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If they must be built</w:t>
            </w:r>
          </w:p>
        </w:tc>
        <w:tc>
          <w:tcPr>
            <w:tcW w:type="dxa" w:w="31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it discharges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Case A/B inputs (M, S, O, R, A, K, J, D, Δ) as JSON, signed, hashed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day — transcribing the 16 + 6 register rows, ACS fields and catalog entries the paper already prints, then signing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2–3 days — the same, plus the v1.1 JSON Schema (itself a freeze item)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Constraints 1–14 checked structurally; DC, RCY, NDR, OPR, ODC, PTC and CV all fall out of one compile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31-run TD manifest per case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2–3 hours — a loop: 10 repeats, 10 row shuffles, 5 key shuffles, 3 LC_ALL, 3 TZ; record hash and fingerprint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Same, once Φ exists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\TDruns and its breakdown; TD = 1.000 — or a real bug, better found now than in review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freeze_check.py green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1–2 hours — adjust the three loaders to the file layout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thirteen frozen numbers stop being manuscript arithmetic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Monte Carlo, K = 250,000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hour with montecarlo.py, after the panel’s rating distributions are frozen (panel sign-off is the long pole — days, not hours)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\MCmax; if the panel’s distributions differ from the 0.6/0.2/0.2 model the macro changes and the abstract follows automatically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Adversarial / property suite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1–2 days — each named case (malformed reference, unauthorized tuple, missing producer, stale catalog, timeout, state mismatch, post-retirement use, in-place mutation) is a fixture plus an assertion that Φ halts or the bundle fails validation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2–3 days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§XI-H’s “TD testing includes …” becomes a test log; the thirteen Case B injection scenarios become executable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Case B traceability to the L-DREA predicate family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 day — the P1–P13 → artifact-identifier mapping in MANIFEST.sha256, plus a compiled Case B bundle whose predicate ids resolve to realdatatestcode/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one remaining [15]-linkage author action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Cross-environment run (optional)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2–3 hours across three machines with td_crossenv.py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Flips \crossenvtrue; the strongest cheap upgrade to the determinism claim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Critical path: </w:t>
      </w:r>
      <w:r>
        <w:rPr>
          <w:rFonts w:ascii="Calibri" w:cs="Calibri" w:eastAsia="Calibri" w:hAnsi="Calibri"/>
          <w:sz w:val="22"/>
          <w:szCs w:val="22"/>
        </w:rPr>
        <w:t xml:space="preserve">inputs → Φ compile → everything else in parallel. The Monte Carlo panel sign-off is the only item with human latency.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Impact if you do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Submission readiness moves from “explicit empirical claims about artifacts that may not exist” — which every examiner has flagged as the existential risk — to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paper claims = released artifacts = script outputs</w:t>
      </w:r>
      <w:r>
        <w:rPr>
          <w:rFonts w:ascii="Calibri" w:cs="Calibri" w:eastAsia="Calibri" w:hAnsi="Calibri"/>
          <w:sz w:val="22"/>
          <w:szCs w:val="22"/>
        </w:rPr>
        <w:t xml:space="preserve">. That is the difference the round-3 reviewer priced at roughly 7.8 → 8.7–9.0, and the round-5 examiner made it the sole precondition for adequacy.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Nothing in the text needs to change if the numbers reproduce. Two things could legitimately change: the Monte Carlo maximum (panel-dependent) and, if canonicalization has a real flaw, TD — and either is a finding you want before a reviewer runs run_all.py.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Six of the fourteen author actions close (freeze block, Case B in release, manifest mapping, schema freeze, tag, Monte Carlo inputs); the rest are citation dates and the disclosure sentence.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Impact if you do not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manuscript currently reports TD = 1.000 over 31 runs, the GD figures, and a Monte Carlo maximum as measured results. Without the release they are unverifiable, and the abstract’s “on the two pinned artifacts” is a claim about files a reviewer will look for on day one. That is a rejection-class defect independent of the method’s quality.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One option that shortens the long path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can build the release skeleton now: JSON inputs transcribed from the printed Case A/B tables, a reference Φ implementing Appendix B line-for-line (RFC 8785 canonicalization, all fourteen constraints, the coverage check, invariant emission), the 31-run harness, the property suite, and freeze_check.py passing end-to-end against it. You would then replace the transcribed inputs with your signed ones and the reference Φ with yours if it differs — or adopt it, since the paper’s Φ is specified precisely enough to be the reference. That turns the two-week scenario into a day of your verification.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What the examiner asked for, mapped to the package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Cases A and B inputs, compiled outputs, hashes — FREEZE_CHECKLIST items 1–3.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31 compilation runs per case with the 10 + 10 + 5 + 3 + 3 breakdown — item 5 (freeze block) via the TD harness.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freeze_check.py one-command reproduction of DC, OPR, ODC, PTC, CV, TD, GD(15), GD_min — tools/freeze_check.py (self-tested; loaders are the only host-specific part).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Monte Carlo 250,000-draw output with frozen distributions and seed — item 4b via tools/montecarlo.py.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Adversarial / property tests — the released harness; the thirteen Case B and nineteen Case C scenarios are the specification.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Case B traceability to the L-DREA predicate family — item 4 (manifest mapping under role case_b_input).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2026-09-07T16:23:35.575Z</dcterms:created>
  <dcterms:modified xsi:type="dcterms:W3CDTF">2026-09-07T16:23:35.586Z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