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w:body>
    <w:p w:rsidR="00000000" w:rsidDel="00000000" w:rsidP="00000000" w:rsidRDefault="00000000" w:rsidRPr="00000000" ns1:paraId="00000001">
      <w:pPr>
        <w:pStyle w:val="Heading1"/>
        <w:keepNext w:val="0"/>
        <w:keepLines w:val="0"/>
        <w:spacing w:before="480" w:lineRule="auto"/>
        <w:rPr>
          <w:b w:val="1"/>
          <w:bCs w:val="1"/>
          <w:sz w:val="46"/>
          <w:szCs w:val="46"/>
        </w:rPr>
      </w:pPr>
      <w:bookmarkStart w:colFirst="0" w:colLast="0" w:name="_flu0d06nkqgg" w:id="0"/>
      <w:bookmarkEnd w:id="0"/>
      <w:r w:rsidDel="00000000" w:rsidR="00000000" w:rsidRPr="00000000">
        <w:rPr>
          <w:b w:val="1"/>
          <w:bCs w:val="1"/>
          <w:sz w:val="46"/>
          <w:szCs w:val="46"/>
          <w:rtl w:val="0"/>
        </w:rPr>
        <w:t xml:space="preserve">From Risk Register to Runtime Predicate: A Deterministic Method for Compiling AI Governance Assessments into Enforceable Controls</w:t>
      </w:r>
    </w:p>
    <w:p w:rsidR="00000000" w:rsidDel="00000000" w:rsidP="00000000" w:rsidRDefault="00000000" w:rsidRPr="00000000" ns1:paraId="00000002">
      <w:pPr>
        <w:spacing w:after="240" w:before="240" w:lineRule="auto"/>
        <w:rPr/>
      </w:pPr>
      <w:r w:rsidDel="00000000" w:rsidR="00000000" w:rsidRPr="00000000">
        <w:rPr>
          <w:b w:val="1"/>
          <w:bCs w:val="1"/>
          <w:rtl w:val="0"/>
        </w:rPr>
        <w:t xml:space="preserve">ABHINANDAN GILL-LAKHOWAL</w:t>
      </w:r>
      <w:r w:rsidDel="00000000" w:rsidR="00000000" w:rsidRPr="00000000">
        <w:rPr>
          <w:rtl w:val="0"/>
        </w:rPr>
        <w:t xml:space="preserve">, Member, IEEE (ORCID 0009-0004-2089-7262) Principal Advisor, Gillian Holdings Incorporated, Calgary, AB, Canada Corresponding author: Abhinandan Gill-Lakhowal (e-mail: sovran@lakhowal.com)</w:t>
      </w:r>
    </w:p>
    <w:p w:rsidR="00000000" w:rsidDel="00000000" w:rsidP="00000000" w:rsidRDefault="00000000" w:rsidRPr="00000000" ns1:paraId="0000000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4">
      <w:pPr>
        <w:pStyle w:val="Heading2"/>
        <w:keepNext w:val="0"/>
        <w:keepLines w:val="0"/>
        <w:spacing w:after="80" w:lineRule="auto"/>
        <w:rPr>
          <w:b w:val="1"/>
          <w:bCs w:val="1"/>
          <w:sz w:val="34"/>
          <w:szCs w:val="34"/>
        </w:rPr>
      </w:pPr>
      <w:bookmarkStart w:colFirst="0" w:colLast="0" w:name="_q7634f4k38mq" w:id="1"/>
      <w:bookmarkEnd w:id="1"/>
      <w:r w:rsidDel="00000000" w:rsidR="00000000" w:rsidRPr="00000000">
        <w:rPr>
          <w:b w:val="1"/>
          <w:bCs w:val="1"/>
          <w:sz w:val="34"/>
          <w:szCs w:val="34"/>
          <w:rtl w:val="0"/>
        </w:rPr>
        <w:t xml:space="preserve">ABSTRACT</w:t>
      </w:r>
    </w:p>
    <w:p w:rsidR="00000000" w:rsidDel="00000000" w:rsidP="00000000" w:rsidRDefault="00000000" w:rsidRPr="00000000" ns1:paraId="00000005">
      <w:pPr>
        <w:spacing w:after="240" w:before="240" w:lineRule="auto"/>
        <w:rPr>
          <w:rFonts w:ascii="Roboto Mono" w:cs="Roboto Mono" w:eastAsia="Roboto Mono" w:hAnsi="Roboto Mono"/>
          <w:color w:val="188038"/>
        </w:rPr>
      </w:pPr>
      <w:r w:rsidDel="00000000" w:rsidR="00000000" w:rsidRPr="00000000">
        <w:rPr>
          <w:rtl w:val="0"/>
        </w:rPr>
        <w:t xml:space="preserve">Enterprise AI governance frameworks — NIST AI RMF, ISO/IEC 42001, and supervisory guidance such as OSFI Guideline E-23 — terminate at the identification, rating, and treatment of risk. Deterministic runtime enforcement architectures begin at the evaluation of pre-approved predicates. Between these two layers sits an undocumented translation step: the conversion of governance artifacts into the machine-evaluable controls a runtime authority actually enforces. This paper formalizes that translation as two separated stages. A governed semantic refinement Ψ_K — a relation over the approved assessment, closed into a single-valued mapping only by a signed judgment record J, so that Ψ_K(𝒢, J) → (D, Δ) while human interpretation is never claimed deterministic — converts each assessed risk, under an approved, versioned Control Derivation Catalog, into signed Approved Control Specifications and assigns every risk exactly one disposition — runtime, non-runtime, accepted, or unresolved — so that no risk prose is silently treated as executable semantics. A deterministic compiler Φ then maps approved specifications onto a canonically serialized, signed, immutable predicate bundle, with authority closure against an approved action matrix, explicit compiler-invariant origins, a separately signed lifecycle registry for retirement and supersession, and RFC 8785 canonicalization supporting determinism that is reproducible across the tested supported environments. A consequence-class gate coverage rule is formalized with three propositions: a threshold-separation result proving that no monotone likelihood × impact threshold reproduces the approved gate assignment on registers containing a score inversion; a score-collision non-representability result showing that no function of the scalar score alone can express class-dependent gating when equal scores carry divergent gates; and a qualified invariance result showing gate membership is stable under rating and control-effectiveness changes conditional on unchanged consequence classification. A temporally valid traceability model binds obligation → disposition → specification → predicate → receipt, with authorization-before-evidence-commit-before-actuation ordering matching the enforcement pipeline of the consuming architecture and drift defined by decision-time bundle validity against the immutable payload and the lifecycle registry. Two worked cases and a preregistered evaluation plan — disposition completeness, translation determinism, gate divergence, silent-narrowing rate, and a preregistered, deferred comparative expert study with independent adjudication — operationalize the claims. On the two pinned case artifacts the method achieves total disposition (DC = 1.000), zero orphan predicates, complete predicate and obligation traceability, full consequence-class coverage, and translation determinism of 1.000 over 62 compilation runs (31 per case), reproduced on three operating systems and two machine architectures; gate divergence against the enterprise's predeclared heat-map rule is GD(15) = 3 with GD_min = 3 on Case A, and Monte Carlo rating perturbation, under an author-specified, prospectively frozen ±1 ordinal sensitivity model, moves heat-map gate membership with probability up to 0.321 while consequence-class membership does not move at all. The comparative expert study is preregistered, publicly hash-committed, and deferred; no comparative-superiority claim is made here.</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Fonts w:ascii="Arial Unicode MS" w:cs="Arial Unicode MS" w:eastAsia="Arial Unicode MS" w:hAnsi="Arial Unicode MS"/>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006">
      <w:pPr>
        <w:spacing w:after="240" w:before="240" w:lineRule="auto"/>
        <w:rPr/>
      </w:pPr>
      <w:r w:rsidDel="00000000" w:rsidR="00000000" w:rsidRPr="00000000">
        <w:rPr>
          <w:b w:val="1"/>
          <w:bCs w:val="1"/>
          <w:rtl w:val="0"/>
        </w:rPr>
        <w:t xml:space="preserve">Index Terms —</w:t>
      </w:r>
      <w:r w:rsidDel="00000000" w:rsidR="00000000" w:rsidRPr="00000000">
        <w:rPr>
          <w:rtl w:val="0"/>
        </w:rPr>
        <w:t xml:space="preserve"> AI governance, risk register, policy compilation, semantic refinement, runtime enforcement, agentic AI, model risk management, non-compensatory aggregation, traceability.</w:t>
      </w:r>
    </w:p>
    <w:p w:rsidR="00000000" w:rsidDel="00000000" w:rsidP="00000000" w:rsidRDefault="00000000" w:rsidRPr="00000000" ns1:paraId="00000007">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8">
      <w:pPr>
        <w:pStyle w:val="Heading2"/>
        <w:keepNext w:val="0"/>
        <w:keepLines w:val="0"/>
        <w:spacing w:after="80" w:lineRule="auto"/>
        <w:rPr>
          <w:b w:val="1"/>
          <w:bCs w:val="1"/>
          <w:sz w:val="34"/>
          <w:szCs w:val="34"/>
        </w:rPr>
      </w:pPr>
      <w:bookmarkStart w:colFirst="0" w:colLast="0" w:name="_9hk0cnmxs29s" w:id="2"/>
      <w:bookmarkEnd w:id="2"/>
      <w:r w:rsidDel="00000000" w:rsidR="00000000" w:rsidRPr="00000000">
        <w:rPr>
          <w:b w:val="1"/>
          <w:bCs w:val="1"/>
          <w:sz w:val="34"/>
          <w:szCs w:val="34"/>
          <w:rtl w:val="0"/>
        </w:rPr>
        <w:t xml:space="preserve">I. INTRODUCTION</w:t>
      </w:r>
    </w:p>
    <w:p w:rsidR="00000000" w:rsidDel="00000000" w:rsidP="00000000" w:rsidRDefault="00000000" w:rsidRPr="00000000" ns1:paraId="00000009">
      <w:pPr>
        <w:pStyle w:val="Heading3"/>
        <w:keepNext w:val="0"/>
        <w:keepLines w:val="0"/>
        <w:spacing w:before="280" w:lineRule="auto"/>
        <w:rPr>
          <w:b w:val="1"/>
          <w:bCs w:val="1"/>
          <w:color w:val="000000"/>
          <w:sz w:val="26"/>
          <w:szCs w:val="26"/>
        </w:rPr>
      </w:pPr>
      <w:bookmarkStart w:colFirst="0" w:colLast="0" w:name="_ts6pjpmd8b5q" w:id="3"/>
      <w:bookmarkEnd w:id="3"/>
      <w:r w:rsidDel="00000000" w:rsidR="00000000" w:rsidRPr="00000000">
        <w:rPr>
          <w:b w:val="1"/>
          <w:bCs w:val="1"/>
          <w:color w:val="000000"/>
          <w:sz w:val="26"/>
          <w:szCs w:val="26"/>
          <w:rtl w:val="0"/>
        </w:rPr>
        <w:t xml:space="preserve">A. The Gap</w:t>
      </w:r>
    </w:p>
    <w:p w:rsidR="00000000" w:rsidDel="00000000" w:rsidP="00000000" w:rsidRDefault="00000000" w:rsidRPr="00000000" ns1:paraId="0000000A">
      <w:pPr>
        <w:spacing w:after="240" w:before="240" w:lineRule="auto"/>
        <w:rPr/>
      </w:pPr>
      <w:r w:rsidDel="00000000" w:rsidR="00000000" w:rsidRPr="00000000">
        <w:rPr>
          <w:rtl w:val="0"/>
        </w:rPr>
        <w:t xml:space="preserve">Two bodies of work have matured on either side of a missing bridge.</w:t>
      </w:r>
    </w:p>
    <w:p w:rsidR="00000000" w:rsidDel="00000000" w:rsidP="00000000" w:rsidRDefault="00000000" w:rsidRPr="00000000" ns1:paraId="0000000B">
      <w:pPr>
        <w:spacing w:after="240" w:before="240" w:lineRule="auto"/>
        <w:rPr/>
      </w:pPr>
      <w:r w:rsidDel="00000000" w:rsidR="00000000" w:rsidRPr="00000000">
        <w:rPr>
          <w:rtl w:val="0"/>
        </w:rPr>
        <w:t xml:space="preserve">On the governance side, NIST AI RMF 1.0, ISO/IEC 42001:2023, and financial-sector supervisory guidance (OSFI E-23, published September 11, 2025 and effective May 1, 2027; SR 11-7 in the United States) prescribe </w:t>
      </w:r>
      <w:r w:rsidDel="00000000" w:rsidR="00000000" w:rsidRPr="00000000">
        <w:rPr>
          <w:i w:val="1"/>
          <w:iCs w:val="1"/>
          <w:rtl w:val="0"/>
        </w:rPr>
        <w:t xml:space="preserve">what</w:t>
      </w:r>
      <w:r w:rsidDel="00000000" w:rsidR="00000000" w:rsidRPr="00000000">
        <w:rPr>
          <w:rtl w:val="0"/>
        </w:rPr>
        <w:t xml:space="preserve"> organizations must do: establish accountability, profile systems, determine applicable obligations, register risks, and rate them. These frameworks are deliberately technology-neutral. Their terminal artifact is an approved risk assessment — a document.</w:t>
      </w:r>
    </w:p>
    <w:p w:rsidR="00000000" w:rsidDel="00000000" w:rsidP="00000000" w:rsidRDefault="00000000" w:rsidRPr="00000000" ns1:paraId="0000000C">
      <w:pPr>
        <w:spacing w:after="240" w:before="240" w:lineRule="auto"/>
        <w:rPr/>
      </w:pPr>
      <w:r w:rsidDel="00000000" w:rsidR="00000000" w:rsidRPr="00000000">
        <w:rPr>
          <w:rtl w:val="0"/>
        </w:rPr>
        <w:t xml:space="preserve">On the enforcement side, deterministic runtime-enforcement architectures — canonically L-DREA [15] — evaluate pre-approved predicates and return PERMIT or SAFE_STATE with signed evidence. Their </w:t>
      </w:r>
      <w:r w:rsidDel="00000000" w:rsidR="00000000" w:rsidRPr="00000000">
        <w:rPr>
          <w:i w:val="1"/>
          <w:iCs w:val="1"/>
          <w:rtl w:val="0"/>
        </w:rPr>
        <w:t xml:space="preserve">initial</w:t>
      </w:r>
      <w:r w:rsidDel="00000000" w:rsidR="00000000" w:rsidRPr="00000000">
        <w:rPr>
          <w:rtl w:val="0"/>
        </w:rPr>
        <w:t xml:space="preserve"> artifact is a predicate set — code.</w:t>
      </w:r>
    </w:p>
    <w:p w:rsidR="00000000" w:rsidDel="00000000" w:rsidP="00000000" w:rsidRDefault="00000000" w:rsidRPr="00000000" ns1:paraId="0000000D">
      <w:pPr>
        <w:spacing w:after="240" w:before="240" w:lineRule="auto"/>
        <w:rPr/>
      </w:pPr>
      <w:r w:rsidDel="00000000" w:rsidR="00000000" w:rsidRPr="00000000">
        <w:rPr>
          <w:rtl w:val="0"/>
        </w:rPr>
        <w:t xml:space="preserve">No published method specifies, with the properties claimed here, how the document becomes the code. In practice the translation is performed manually, inconsistently, and without traceability: a compliance officer's risk statement ("MNPI may leak into outputs") becomes an engineer's rule ("deny if restricted-list match") through an undocumented judgment call. The mapping lives, at best, in a spreadsheet maintained by neither party; more commonly it lives nowhere. When a regulator or auditor asks </w:t>
      </w:r>
      <w:r w:rsidDel="00000000" w:rsidR="00000000" w:rsidRPr="00000000">
        <w:rPr>
          <w:i w:val="1"/>
          <w:iCs w:val="1"/>
          <w:rtl w:val="0"/>
        </w:rPr>
        <w:t xml:space="preserve">which risk this control mitigates, at what approved threshold, and on whose authority</w:t>
      </w:r>
      <w:r w:rsidDel="00000000" w:rsidR="00000000" w:rsidRPr="00000000">
        <w:rPr>
          <w:rtl w:val="0"/>
        </w:rPr>
        <w:t xml:space="preserve">, the answer is reconstructed after the fact — if it can be reconstructed at all.</w:t>
      </w:r>
    </w:p>
    <w:p w:rsidR="00000000" w:rsidDel="00000000" w:rsidP="00000000" w:rsidRDefault="00000000" w:rsidRPr="00000000" ns1:paraId="0000000E">
      <w:pPr>
        <w:spacing w:after="240" w:before="240" w:lineRule="auto"/>
        <w:rPr/>
      </w:pPr>
      <w:r w:rsidDel="00000000" w:rsidR="00000000" w:rsidRPr="00000000">
        <w:rPr>
          <w:rtl w:val="0"/>
        </w:rPr>
        <w:t xml:space="preserve">The translation gap has three concrete failure modes, all observable in enterprise practice: (i) </w:t>
      </w:r>
      <w:r w:rsidDel="00000000" w:rsidR="00000000" w:rsidRPr="00000000">
        <w:rPr>
          <w:b w:val="1"/>
          <w:bCs w:val="1"/>
          <w:rtl w:val="0"/>
        </w:rPr>
        <w:t xml:space="preserve">silent narrowing</w:t>
      </w:r>
      <w:r w:rsidDel="00000000" w:rsidR="00000000" w:rsidRPr="00000000">
        <w:rPr>
          <w:rtl w:val="0"/>
        </w:rPr>
        <w:t xml:space="preserve"> — an unenforceable risk statement is quietly rewritten into whatever </w:t>
      </w:r>
      <w:r w:rsidDel="00000000" w:rsidR="00000000" w:rsidRPr="00000000">
        <w:rPr>
          <w:i w:val="1"/>
          <w:iCs w:val="1"/>
          <w:rtl w:val="0"/>
        </w:rPr>
        <w:t xml:space="preserve">is</w:t>
      </w:r>
      <w:r w:rsidDel="00000000" w:rsidR="00000000" w:rsidRPr="00000000">
        <w:rPr>
          <w:rtl w:val="0"/>
        </w:rPr>
        <w:t xml:space="preserve"> enforceable, and the residual goes untracked; (ii) </w:t>
      </w:r>
      <w:r w:rsidDel="00000000" w:rsidR="00000000" w:rsidRPr="00000000">
        <w:rPr>
          <w:b w:val="1"/>
          <w:bCs w:val="1"/>
          <w:rtl w:val="0"/>
        </w:rPr>
        <w:t xml:space="preserve">orphan controls</w:t>
      </w:r>
      <w:r w:rsidDel="00000000" w:rsidR="00000000" w:rsidRPr="00000000">
        <w:rPr>
          <w:rtl w:val="0"/>
        </w:rPr>
        <w:t xml:space="preserve"> — rules accumulate in the enforcement layer with no surviving link to any approved requirement, so nobody can retire them and nobody can defend them; and (iii) </w:t>
      </w:r>
      <w:r w:rsidDel="00000000" w:rsidR="00000000" w:rsidRPr="00000000">
        <w:rPr>
          <w:b w:val="1"/>
          <w:bCs w:val="1"/>
          <w:rtl w:val="0"/>
        </w:rPr>
        <w:t xml:space="preserve">priority-as-authorization</w:t>
      </w:r>
      <w:r w:rsidDel="00000000" w:rsidR="00000000" w:rsidRPr="00000000">
        <w:rPr>
          <w:rtl w:val="0"/>
        </w:rPr>
        <w:t xml:space="preserve"> — the heat-map score built for treatment sequencing is repurposed, incorrectly, as the criterion for which controls are non-negotiable. The method in this paper makes (ii) and (iii) structurally impossible </w:t>
      </w:r>
      <w:r w:rsidDel="00000000" w:rsidR="00000000" w:rsidRPr="00000000">
        <w:rPr>
          <w:i w:val="1"/>
          <w:iCs w:val="1"/>
          <w:rtl w:val="0"/>
        </w:rPr>
        <w:t xml:space="preserve">within Φ-produced bundles</w:t>
      </w:r>
      <w:r w:rsidDel="00000000" w:rsidR="00000000" w:rsidRPr="00000000">
        <w:rPr>
          <w:rtl w:val="0"/>
        </w:rPr>
        <w:t xml:space="preserve"> — with an explicit runtime acceptance condition (Section VI-F) under which the guarantee extends to a deployment — and makes (i) explicit, detectable, and measurable (Section XI defines the silent-narrowing rate against an independently adjudicated reference).</w:t>
      </w:r>
    </w:p>
    <w:p w:rsidR="00000000" w:rsidDel="00000000" w:rsidP="00000000" w:rsidRDefault="00000000" w:rsidRPr="00000000" ns1:paraId="0000000F">
      <w:pPr>
        <w:pStyle w:val="Heading3"/>
        <w:keepNext w:val="0"/>
        <w:keepLines w:val="0"/>
        <w:spacing w:before="280" w:lineRule="auto"/>
        <w:rPr>
          <w:b w:val="1"/>
          <w:bCs w:val="1"/>
          <w:color w:val="000000"/>
          <w:sz w:val="26"/>
          <w:szCs w:val="26"/>
        </w:rPr>
      </w:pPr>
      <w:bookmarkStart w:colFirst="0" w:colLast="0" w:name="_dbr8r1te7tap" w:id="4"/>
      <w:bookmarkEnd w:id="4"/>
      <w:r w:rsidDel="00000000" w:rsidR="00000000" w:rsidRPr="00000000">
        <w:rPr>
          <w:b w:val="1"/>
          <w:bCs w:val="1"/>
          <w:color w:val="000000"/>
          <w:sz w:val="26"/>
          <w:szCs w:val="26"/>
          <w:rtl w:val="0"/>
        </w:rPr>
        <w:t xml:space="preserve">B. Why This Matters Now</w:t>
      </w:r>
    </w:p>
    <w:p w:rsidR="00000000" w:rsidDel="00000000" w:rsidP="00000000" w:rsidRDefault="00000000" w:rsidRPr="00000000" ns1:paraId="00000010">
      <w:pPr>
        <w:spacing w:after="240" w:before="240" w:lineRule="auto"/>
        <w:rPr/>
      </w:pPr>
      <w:r w:rsidDel="00000000" w:rsidR="00000000" w:rsidRPr="00000000">
        <w:rPr>
          <w:rtl w:val="0"/>
        </w:rPr>
        <w:t xml:space="preserve">Four forcing functions make the translation layer urgent rather than academic:</w:t>
      </w:r>
    </w:p>
    <w:p w:rsidR="00000000" w:rsidDel="00000000" w:rsidP="00000000" w:rsidRDefault="00000000" w:rsidRPr="00000000" ns1:paraId="00000011">
      <w:pPr>
        <w:numPr>
          <w:ilvl w:val="0"/>
          <w:numId w:val="4"/>
        </w:numPr>
        <w:spacing w:after="0" w:afterAutospacing="0" w:before="240" w:lineRule="auto"/>
        <w:ind w:left="720" w:hanging="360"/>
      </w:pPr>
      <w:r w:rsidDel="00000000" w:rsidR="00000000" w:rsidRPr="00000000">
        <w:rPr>
          <w:b w:val="1"/>
          <w:bCs w:val="1"/>
          <w:rtl w:val="0"/>
        </w:rPr>
        <w:t>Supervisory expectations are converging on lifecycle traceability. OSFI E-23 (published September 11, 2025; effective May 1, 2027) requires demonstrable linkage between enterprise model-risk governance and operational controls across the model lifecycle, and OSFI's July 2026 bulletin on generative and agentic AI extends the same expectation to agentic deployments [4]; the EU AI Act's staged obligations presume such linkage exists [7]. The Act's timetable was amended during the preparation of this paper: the Digital Omnibus on AI, Regulation (EU) 2026/1744, entered into force on July 27, 2026 and deferred the application of the high-risk obligations to December 2, 2027 for stand-alone Annex III systems and to August 2, 2028 for Annex I systems, while leaving the Article 50 transparency obligations — including the December 2, 2026 marking deadline — and the general-purpose-AI documentation duties applicable since August 2, 2025 unchanged [7]. The deferral moves the compliance date; it does not alter the structural expectation that an approved governance decision be demonstrably linked to the control actually in force, which is the subject of this paper.</w:t>
      </w:r>
      <w:r w:rsidDel="00000000" w:rsidR="00000000" w:rsidRPr="00000000">
        <w:rPr>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Agentic systems collapse the distance between output and effect.</w:t>
      </w:r>
      <w:r w:rsidDel="00000000" w:rsidR="00000000" w:rsidRPr="00000000">
        <w:rPr>
          <w:rtl w:val="0"/>
        </w:rPr>
        <w:t xml:space="preserve"> When a generated artifact can invoke tools, the governance-to-control gap is no longer a paperwork deficiency; it is an authorization deficiency.</w:t>
      </w:r>
    </w:p>
    <w:p w:rsidR="00000000" w:rsidDel="00000000" w:rsidP="00000000" w:rsidRDefault="00000000" w:rsidRPr="00000000" ns1: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Runtime enforcement is now demonstrated.</w:t>
      </w:r>
      <w:r w:rsidDel="00000000" w:rsidR="00000000" w:rsidRPr="00000000">
        <w:rPr>
          <w:rtl w:val="0"/>
        </w:rPr>
        <w:t xml:space="preserve"> With deterministic evaluation, non-compensatory aggregation, and receipt-based evidence published and reproducible [15], the binding constraint has moved upstream: the enforcement layer is only as sound as the predicates it is given.</w:t>
      </w:r>
    </w:p>
    <w:p w:rsidR="00000000" w:rsidDel="00000000" w:rsidP="00000000" w:rsidRDefault="00000000" w:rsidRPr="00000000" ns1:paraId="00000014">
      <w:pPr>
        <w:numPr>
          <w:ilvl w:val="0"/>
          <w:numId w:val="4"/>
        </w:numPr>
        <w:spacing w:after="240" w:before="0" w:beforeAutospacing="0" w:lineRule="auto"/>
        <w:ind w:left="720" w:hanging="360"/>
      </w:pPr>
      <w:r w:rsidDel="00000000" w:rsidR="00000000" w:rsidRPr="00000000">
        <w:rPr>
          <w:b w:val="1"/>
          <w:bCs w:val="1"/>
          <w:rtl w:val="0"/>
        </w:rPr>
        <w:t xml:space="preserve">Standards bodies are soliciting exactly this bridge.</w:t>
      </w:r>
      <w:r w:rsidDel="00000000" w:rsidR="00000000" w:rsidRPr="00000000">
        <w:rPr>
          <w:rtl w:val="0"/>
        </w:rPr>
        <w:t xml:space="preserve"> NIST's Trustworthy AI in Critical Infrastructure Profile (TACIP) Community-of-Interest discussion draft (version of Aug. 3, 2026 — an unpublished, versioned COI document, cited here by date and hash rather than as an established NIST publication [13]) names "Strategic Governance &amp; Executive Translation" as an explicit open design area — seeking methods to map high-level governance, organizational missions, and compliance obligations onto operational practices — and its Practice 3 requires "deterministic boundary logic" whose derivation from governance artifacts it leaves unspecified. The method here is a candidate answer to that open area.</w:t>
      </w:r>
    </w:p>
    <w:p w:rsidR="00000000" w:rsidDel="00000000" w:rsidP="00000000" w:rsidRDefault="00000000" w:rsidRPr="00000000" ns1:paraId="00000015">
      <w:pPr>
        <w:pStyle w:val="Heading3"/>
        <w:keepNext w:val="0"/>
        <w:keepLines w:val="0"/>
        <w:spacing w:before="280" w:lineRule="auto"/>
        <w:rPr>
          <w:b w:val="1"/>
          <w:bCs w:val="1"/>
          <w:color w:val="000000"/>
          <w:sz w:val="26"/>
          <w:szCs w:val="26"/>
        </w:rPr>
      </w:pPr>
      <w:bookmarkStart w:colFirst="0" w:colLast="0" w:name="_s2rgawj7k9q0" w:id="5"/>
      <w:bookmarkEnd w:id="5"/>
      <w:r w:rsidDel="00000000" w:rsidR="00000000" w:rsidRPr="00000000">
        <w:rPr>
          <w:b w:val="1"/>
          <w:bCs w:val="1"/>
          <w:color w:val="000000"/>
          <w:sz w:val="26"/>
          <w:szCs w:val="26"/>
          <w:rtl w:val="0"/>
        </w:rPr>
        <w:t xml:space="preserve">C. Contributions</w:t>
      </w:r>
    </w:p>
    <w:p w:rsidR="00000000" w:rsidDel="00000000" w:rsidP="00000000" w:rsidRDefault="00000000" w:rsidRPr="00000000" ns1:paraId="00000016">
      <w:pPr>
        <w:numPr>
          <w:ilvl w:val="0"/>
          <w:numId w:val="2"/>
        </w:numPr>
        <w:spacing w:after="0" w:afterAutospacing="0" w:before="240" w:lineRule="auto"/>
        <w:ind w:left="720" w:hanging="360"/>
      </w:pPr>
      <w:r w:rsidDel="00000000" w:rsidR="00000000" w:rsidRPr="00000000">
        <w:rPr>
          <w:b w:val="1"/>
          <w:bCs w:val="1"/>
          <w:rtl w:val="0"/>
        </w:rPr>
        <w:t xml:space="preserve">C1 — Governed semantic refinement Ψ_K.</w:t>
      </w:r>
      <w:r w:rsidDel="00000000" w:rsidR="00000000" w:rsidRPr="00000000">
        <w:rPr>
          <w:rtl w:val="0"/>
        </w:rPr>
        <w:t xml:space="preserve"> A refinement boundary separating human semantic judgment from mechanical compilation: an approved, versioned Control Derivation Catalog constrains how each assessed risk may be refined into signed Approved Control Specifications, and every risk receives exactly one disposition — runtime, non-runtime, accepted, or unresolved. Because equally authorized experts may lawfully complete the refinement differently, Ψ_K is formalized as a governed </w:t>
      </w:r>
      <w:r w:rsidDel="00000000" w:rsidR="00000000" w:rsidRPr="00000000">
        <w:rPr>
          <w:i w:val="1"/>
          <w:iCs w:val="1"/>
          <w:rtl w:val="0"/>
        </w:rPr>
        <w:t xml:space="preserve">relation</w:t>
      </w:r>
      <w:r w:rsidDel="00000000" w:rsidR="00000000" w:rsidRPr="00000000">
        <w:rPr>
          <w:rtl w:val="0"/>
        </w:rPr>
        <w:t xml:space="preserve"> closed by a signed judgment record J — never as a function of the assessment alone. Determinism is claimed for what follows the boundary, never for the interpretation of unconstrained prose.</w:t>
      </w:r>
    </w:p>
    <w:p w:rsidR="00000000" w:rsidDel="00000000" w:rsidP="00000000" w:rsidRDefault="00000000" w:rsidRPr="00000000" ns1: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C2 — GC-IR with total disposition.</w:t>
      </w:r>
      <w:r w:rsidDel="00000000" w:rsidR="00000000" w:rsidRPr="00000000">
        <w:rPr>
          <w:rtl w:val="0"/>
        </w:rPr>
        <w:t xml:space="preserve"> A machine-readable intermediate representation whose record family covers compiled predicates </w:t>
      </w:r>
      <w:r w:rsidDel="00000000" w:rsidR="00000000" w:rsidRPr="00000000">
        <w:rPr>
          <w:i w:val="1"/>
          <w:iCs w:val="1"/>
          <w:rtl w:val="0"/>
        </w:rPr>
        <w:t xml:space="preserve">and</w:t>
      </w:r>
      <w:r w:rsidDel="00000000" w:rsidR="00000000" w:rsidRPr="00000000">
        <w:rPr>
          <w:rtl w:val="0"/>
        </w:rPr>
        <w:t xml:space="preserve"> non-runtime, accepted-risk, and unresolved dispositions, so totality is a property of dispositions (exactly one per risk), not of predicate counts — one risk may lawfully yield zero, one, or several predicates.</w:t>
      </w:r>
    </w:p>
    <w:p w:rsidR="00000000" w:rsidDel="00000000" w:rsidP="00000000" w:rsidRDefault="00000000" w:rsidRPr="00000000" ns1: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C3 — Deterministic compilation Φ.</w:t>
      </w:r>
      <w:r w:rsidDel="00000000" w:rsidR="00000000" w:rsidRPr="00000000">
        <w:rPr>
          <w:rtl w:val="0"/>
        </w:rPr>
        <w:t xml:space="preserve"> A compiler from signed refinement outputs to a canonically serialized (RFC 8785), hashed, signed, and </w:t>
      </w:r>
      <w:r w:rsidDel="00000000" w:rsidR="00000000" w:rsidRPr="00000000">
        <w:rPr>
          <w:i w:val="1"/>
          <w:iCs w:val="1"/>
          <w:rtl w:val="0"/>
        </w:rPr>
        <w:t xml:space="preserve">immutable</w:t>
      </w:r>
      <w:r w:rsidDel="00000000" w:rsidR="00000000" w:rsidRPr="00000000">
        <w:rPr>
          <w:rtl w:val="0"/>
        </w:rPr>
        <w:t xml:space="preserve"> predicate bundle, with authority closure against the approved action matrix, explicit predicate origins (risk-derived or compiler-invariant), mandatory-gate unknown-failure enforcement, an explicit precedence relation for overlapping policies, and lifecycle state (retirement, supersession) carried in a separately signed registry rather than in the hashed payload. No best-match, similarity, or probabilistic rule selection is permitted inside Φ.</w:t>
      </w:r>
    </w:p>
    <w:p w:rsidR="00000000" w:rsidDel="00000000" w:rsidP="00000000" w:rsidRDefault="00000000" w:rsidRPr="00000000" ns1: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C4 — Consequence-class gate coverage, formalized.</w:t>
      </w:r>
      <w:r w:rsidDel="00000000" w:rsidR="00000000" w:rsidRPr="00000000">
        <w:rPr>
          <w:rtl w:val="0"/>
        </w:rPr>
        <w:t xml:space="preserve"> A coverage rule — membership of an approved, materiality-qualified consequence class C* mandates that each authorized hazardous action path of the risk be covered by at least one mandatory gate, irrespective of likelihood × impact, while permitting supporting advisory predicates — with three propositions: threshold separation (no monotone scalar threshold reproduces a gate assignment containing a score inversion; proof by contradiction), score-collision non-representability (no function of the scalar score alone expresses class-dependent gating when equal scores carry divergent gates), and qualified gate invariance under rating and control-effectiveness changes conditional on unchanged consequence classification. The enforcement-layer aggregation mathematics is cited [15], [16], not re-proven.</w:t>
      </w:r>
    </w:p>
    <w:p w:rsidR="00000000" w:rsidDel="00000000" w:rsidP="00000000" w:rsidRDefault="00000000" w:rsidRPr="00000000" ns1:paraId="0000001A">
      <w:pPr>
        <w:numPr>
          <w:ilvl w:val="0"/>
          <w:numId w:val="2"/>
        </w:numPr>
        <w:spacing w:after="240" w:before="0" w:beforeAutospacing="0" w:lineRule="auto"/>
        <w:ind w:left="720" w:hanging="360"/>
      </w:pPr>
      <w:r w:rsidDel="00000000" w:rsidR="00000000" w:rsidRPr="00000000">
        <w:rPr>
          <w:b w:val="1"/>
          <w:bCs w:val="1"/>
          <w:rtl w:val="0"/>
        </w:rPr>
        <w:t xml:space="preserve">C5 — Temporally valid traceability.</w:t>
      </w:r>
      <w:r w:rsidDel="00000000" w:rsidR="00000000" w:rsidRPr="00000000">
        <w:rPr>
          <w:rFonts w:ascii="Arial Unicode MS" w:cs="Arial Unicode MS" w:eastAsia="Arial Unicode MS" w:hAnsi="Arial Unicode MS"/>
          <w:rtl w:val="0"/>
        </w:rPr>
        <w:t xml:space="preserve"> An authorized-origin chain — obligation or internal requirement → risk/disposition → specification or compiler invariant → predicate → receipt — with receipt validity defined at decision time against the immutable bundle payload and the signed lifecycle registry (a historical receipt citing a since-retired bundle is not drift) and authorization-before-commit-before-actuate ordering testable as a temporal predicate. Coverage gaps become mechanical queries.</w:t>
      </w:r>
    </w:p>
    <w:p w:rsidR="00000000" w:rsidDel="00000000" w:rsidP="00000000" w:rsidRDefault="00000000" w:rsidRPr="00000000" ns1:paraId="0000001B">
      <w:pPr>
        <w:pStyle w:val="Heading3"/>
        <w:keepNext w:val="0"/>
        <w:keepLines w:val="0"/>
        <w:spacing w:before="280" w:lineRule="auto"/>
        <w:rPr>
          <w:b w:val="1"/>
          <w:bCs w:val="1"/>
          <w:color w:val="000000"/>
          <w:sz w:val="26"/>
          <w:szCs w:val="26"/>
        </w:rPr>
      </w:pPr>
      <w:bookmarkStart w:colFirst="0" w:colLast="0" w:name="_24llq3j3kgm" w:id="6"/>
      <w:bookmarkEnd w:id="6"/>
      <w:r w:rsidDel="00000000" w:rsidR="00000000" w:rsidRPr="00000000">
        <w:rPr>
          <w:b w:val="1"/>
          <w:bCs w:val="1"/>
          <w:color w:val="000000"/>
          <w:sz w:val="26"/>
          <w:szCs w:val="26"/>
          <w:rtl w:val="0"/>
        </w:rPr>
        <w:t xml:space="preserve">D. Non-Contributions (Claim Boundary, Summary)</w:t>
      </w:r>
    </w:p>
    <w:p w:rsidR="00000000" w:rsidDel="00000000" w:rsidP="00000000" w:rsidRDefault="00000000" w:rsidRPr="00000000" ns1:paraId="0000001C">
      <w:pPr>
        <w:spacing w:after="240" w:before="240" w:lineRule="auto"/>
        <w:rPr/>
      </w:pPr>
      <w:r w:rsidDel="00000000" w:rsidR="00000000" w:rsidRPr="00000000">
        <w:rPr>
          <w:rtl w:val="0"/>
        </w:rPr>
        <w:t xml:space="preserve">This paper does </w:t>
      </w:r>
      <w:r w:rsidDel="00000000" w:rsidR="00000000" w:rsidRPr="00000000">
        <w:rPr>
          <w:b w:val="1"/>
          <w:bCs w:val="1"/>
          <w:rtl w:val="0"/>
        </w:rPr>
        <w:t xml:space="preserve">not</w:t>
      </w:r>
      <w:r w:rsidDel="00000000" w:rsidR="00000000" w:rsidRPr="00000000">
        <w:rPr>
          <w:rtl w:val="0"/>
        </w:rPr>
        <w:t xml:space="preserve"> claim: legal interpretation of any statute; automated determination of applicable obligations (Step 3 remains a human legal function); deterministic interpretation of unconstrained risk prose; detection capability; production deployment; comparative superiority over unaided manual practice (the comparative study is preregistered and deferred; Section XI); or that compilation eliminates the need for control validation (Step 7). Section XIV states the full claim boundary in the format established in prior work.</w:t>
      </w:r>
    </w:p>
    <w:p w:rsidR="00000000" w:rsidDel="00000000" w:rsidP="00000000" w:rsidRDefault="00000000" w:rsidRPr="00000000" ns1:paraId="0000001D">
      <w:pPr>
        <w:pStyle w:val="Heading3"/>
        <w:keepNext w:val="0"/>
        <w:keepLines w:val="0"/>
        <w:spacing w:before="280" w:lineRule="auto"/>
        <w:rPr>
          <w:b w:val="1"/>
          <w:bCs w:val="1"/>
          <w:color w:val="000000"/>
          <w:sz w:val="26"/>
          <w:szCs w:val="26"/>
        </w:rPr>
      </w:pPr>
      <w:bookmarkStart w:colFirst="0" w:colLast="0" w:name="_h8zbqzbs8v50" w:id="7"/>
      <w:bookmarkEnd w:id="7"/>
      <w:r w:rsidDel="00000000" w:rsidR="00000000" w:rsidRPr="00000000">
        <w:rPr>
          <w:b w:val="1"/>
          <w:bCs w:val="1"/>
          <w:color w:val="000000"/>
          <w:sz w:val="26"/>
          <w:szCs w:val="26"/>
          <w:rtl w:val="0"/>
        </w:rPr>
        <w:t xml:space="preserve">E. Paper Organization</w:t>
      </w:r>
    </w:p>
    <w:p w:rsidR="00000000" w:rsidDel="00000000" w:rsidP="00000000" w:rsidRDefault="00000000" w:rsidRPr="00000000" ns1:paraId="0000001E">
      <w:pPr>
        <w:spacing w:after="240" w:before="240" w:lineRule="auto"/>
        <w:rPr/>
      </w:pPr>
      <w:r w:rsidDel="00000000" w:rsidR="00000000" w:rsidRPr="00000000">
        <w:rPr>
          <w:rtl w:val="0"/>
        </w:rPr>
        <w:t xml:space="preserve">Section II situates the method, including explicit positioning against policy-generation and machine-readable-compliance research. Section III formalizes the five-step governance input model. Section IV introduces governed semantic refinement (Ψ_K, the judgment record, the catalog, specifications, and dispositions). Section V defines the GC-IR record family; Section VI the compiler Φ, bundle semantics, and the lifecycle registry; Section VII the gate coverage rule and its three propositions; Section VIII the temporal traceability model. Sections IX and X present the two worked cases. Section XI gives the evaluation and statistical analysis plan, including the preregistered deferral of the comparative study; Sections XII–XIV the limitations, prior-work relation, and full claim boundary.</w:t>
      </w:r>
    </w:p>
    <w:p w:rsidR="00000000" w:rsidDel="00000000" w:rsidP="00000000" w:rsidRDefault="00000000" w:rsidRPr="00000000" ns1:paraId="0000001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20">
      <w:pPr>
        <w:pStyle w:val="Heading2"/>
        <w:keepNext w:val="0"/>
        <w:keepLines w:val="0"/>
        <w:spacing w:after="80" w:lineRule="auto"/>
        <w:rPr>
          <w:b w:val="1"/>
          <w:bCs w:val="1"/>
          <w:sz w:val="34"/>
          <w:szCs w:val="34"/>
        </w:rPr>
      </w:pPr>
      <w:bookmarkStart w:colFirst="0" w:colLast="0" w:name="_9huv7zqaloy8" w:id="8"/>
      <w:bookmarkEnd w:id="8"/>
      <w:r w:rsidDel="00000000" w:rsidR="00000000" w:rsidRPr="00000000">
        <w:rPr>
          <w:b w:val="1"/>
          <w:bCs w:val="1"/>
          <w:sz w:val="34"/>
          <w:szCs w:val="34"/>
          <w:rtl w:val="0"/>
        </w:rPr>
        <w:t xml:space="preserve">II. BACKGROUND AND RELATED WORK</w:t>
      </w:r>
    </w:p>
    <w:p w:rsidR="00000000" w:rsidDel="00000000" w:rsidP="00000000" w:rsidRDefault="00000000" w:rsidRPr="00000000" ns1:paraId="00000021">
      <w:pPr>
        <w:spacing w:after="240" w:before="240" w:lineRule="auto"/>
        <w:rPr/>
      </w:pPr>
      <w:r w:rsidDel="00000000" w:rsidR="00000000" w:rsidRPr="00000000">
        <w:rPr>
          <w:b w:val="1"/>
          <w:bCs w:val="1"/>
          <w:rtl w:val="0"/>
        </w:rPr>
        <w:t xml:space="preserve">Governance frameworks.</w:t>
      </w:r>
      <w:r w:rsidDel="00000000" w:rsidR="00000000" w:rsidRPr="00000000">
        <w:rPr>
          <w:rtl w:val="0"/>
        </w:rPr>
        <w:t xml:space="preserve"> NIST AI RMF 1.0 (Govern/Map/Measure/Manage) [1]; ISO/IEC 42001:2023 AI management systems [2]; ISO 31000 risk vocabulary (cause–event–consequence) [3]; OSFI E-23 (model risk; published 2025-09-11, effective 2027-05-01) and B-10/B-13/E-21 plus the July 2026 generative/agentic-AI bulletin for the financial-services case [4]; SR 11-7 as the U.S. antecedent [5]. These define assessment structure but not control derivation: each terminates at treatment selection and monitoring, leaving the derivation of executable controls to unspecified "implementation."</w:t>
      </w:r>
    </w:p>
    <w:p w:rsidR="00000000" w:rsidDel="00000000" w:rsidP="00000000" w:rsidRDefault="00000000" w:rsidRPr="00000000" ns1:paraId="00000022">
      <w:pPr>
        <w:spacing w:after="240" w:before="240" w:lineRule="auto"/>
        <w:rPr/>
      </w:pPr>
      <w:r w:rsidDel="00000000" w:rsidR="00000000" w:rsidRPr="00000000">
        <w:rPr>
          <w:b w:val="1"/>
          <w:bCs w:val="1"/>
          <w:rtl w:val="0"/>
        </w:rPr>
        <w:t xml:space="preserve">Policy-as-code and zero trust.</w:t>
      </w:r>
      <w:r w:rsidDel="00000000" w:rsidR="00000000" w:rsidRPr="00000000">
        <w:rPr>
          <w:rtl w:val="0"/>
        </w:rPr>
        <w:t xml:space="preserve"> XACML's subject–action–resource–condition model and OPA/Rego demonstrate machine-evaluable policy, but assume the policy already exists [8]. NIST SP 800-207's Policy Decision Point / Policy Enforcement Point split is the modern anchor [10]: the compiled bundle of this paper is what a PDP loads; an L-DREA-class authority is the PEP. GC-IR is deliberately compatible with an XACML-style target structure so compiled output can feed existing engines as well as L-DREA-class authorities. The lineage runs back to the reference-monitor concept — complete mediation, tamper-resistance, analyzability [11] — of which the compiled bundle is the </w:t>
      </w:r>
      <w:r w:rsidDel="00000000" w:rsidR="00000000" w:rsidRPr="00000000">
        <w:rPr>
          <w:i w:val="1"/>
          <w:iCs w:val="1"/>
          <w:rtl w:val="0"/>
        </w:rPr>
        <w:t xml:space="preserve">analyzable</w:t>
      </w:r>
      <w:r w:rsidDel="00000000" w:rsidR="00000000" w:rsidRPr="00000000">
        <w:rPr>
          <w:rtl w:val="0"/>
        </w:rPr>
        <w:t xml:space="preserve"> half: the monitor's policy, produced by an auditable process rather than accreted by hand.</w:t>
      </w:r>
    </w:p>
    <w:p w:rsidR="00000000" w:rsidDel="00000000" w:rsidP="00000000" w:rsidRDefault="00000000" w:rsidRPr="00000000" ns1:paraId="00000023">
      <w:pPr>
        <w:spacing w:after="240" w:before="240" w:lineRule="auto"/>
        <w:rPr/>
      </w:pPr>
      <w:r w:rsidDel="00000000" w:rsidR="00000000" w:rsidRPr="00000000">
        <w:rPr>
          <w:b w:val="1"/>
          <w:bCs w:val="1"/>
          <w:rtl w:val="0"/>
        </w:rPr>
        <w:t xml:space="preserve">Process-safety antecedents.</w:t>
      </w:r>
      <w:r w:rsidDel="00000000" w:rsidR="00000000" w:rsidRPr="00000000">
        <w:rPr>
          <w:rtl w:val="0"/>
        </w:rPr>
        <w:t xml:space="preserve"> The closest field-tested analog to a compiled mandatory gate is the process-industry </w:t>
      </w:r>
      <w:r w:rsidDel="00000000" w:rsidR="00000000" w:rsidRPr="00000000">
        <w:rPr>
          <w:i w:val="1"/>
          <w:iCs w:val="1"/>
          <w:rtl w:val="0"/>
        </w:rPr>
        <w:t xml:space="preserve">permissive</w:t>
      </w:r>
      <w:r w:rsidDel="00000000" w:rsidR="00000000" w:rsidRPr="00000000">
        <w:rPr>
          <w:rtl w:val="0"/>
        </w:rPr>
        <w:t xml:space="preserve"> (IEC 61511 / ISA-84) [12]: a precondition that must be satisfied before an action may proceed, whose trip is never traded off against process KPIs even though sensor voting (MooN) legitimately aggregates </w:t>
      </w:r>
      <w:r w:rsidDel="00000000" w:rsidR="00000000" w:rsidRPr="00000000">
        <w:rPr>
          <w:i w:val="1"/>
          <w:iCs w:val="1"/>
          <w:rtl w:val="0"/>
        </w:rPr>
        <w:t xml:space="preserve">within</w:t>
      </w:r>
      <w:r w:rsidDel="00000000" w:rsidR="00000000" w:rsidRPr="00000000">
        <w:rPr>
          <w:rtl w:val="0"/>
        </w:rPr>
        <w:t xml:space="preserve"> a measurement channel. The method here is, in effect, a systematic way to derive AI-governance permissives from a risk register — importing five decades of interlock discipline rather than inventing a parallel one. The analogy also bounds itself: process permissives are derived from HAZOP/LOPA studies by trained safety engineers under a mature standard; the AI-governance equivalent of that derivation discipline is what Sections IV–VI supply.</w:t>
      </w:r>
    </w:p>
    <w:p w:rsidR="00000000" w:rsidDel="00000000" w:rsidP="00000000" w:rsidRDefault="00000000" w:rsidRPr="00000000" ns1:paraId="00000024">
      <w:pPr>
        <w:spacing w:after="240" w:before="240" w:lineRule="auto"/>
        <w:rPr/>
      </w:pPr>
      <w:r w:rsidDel="00000000" w:rsidR="00000000" w:rsidRPr="00000000">
        <w:rPr>
          <w:b w:val="1"/>
          <w:bCs w:val="1"/>
          <w:rtl w:val="0"/>
        </w:rPr>
        <w:t xml:space="preserve">Safety cases and assurance.</w:t>
      </w:r>
      <w:r w:rsidDel="00000000" w:rsidR="00000000" w:rsidRPr="00000000">
        <w:rPr>
          <w:rtl w:val="0"/>
        </w:rPr>
        <w:t xml:space="preserve"> Goal Structuring Notation (GSN) and assurance-case practice link claims to evidence, top-down [9]. The present method is the operational complement: bottom-up refinement and compilation from register rows to enforced predicates, with receipts as the evidence GSN nodes can cite.</w:t>
      </w:r>
    </w:p>
    <w:p w:rsidR="00000000" w:rsidDel="00000000" w:rsidP="00000000" w:rsidRDefault="00000000" w:rsidRPr="00000000" ns1:paraId="00000025">
      <w:pPr>
        <w:spacing w:after="240" w:before="240" w:lineRule="auto"/>
        <w:rPr/>
      </w:pPr>
      <w:r w:rsidDel="00000000" w:rsidR="00000000" w:rsidRPr="00000000">
        <w:rPr>
          <w:b w:val="1"/>
          <w:bCs w:val="1"/>
          <w:rtl w:val="0"/>
        </w:rPr>
        <w:t xml:space="preserve">Model risk management.</w:t>
      </w:r>
      <w:r w:rsidDel="00000000" w:rsidR="00000000" w:rsidRPr="00000000">
        <w:rPr>
          <w:rtl w:val="0"/>
        </w:rPr>
        <w:t xml:space="preserve"> The three-lines model and SR 11-7/E-23 lifecycle stages supply the ownership and validation scaffolding assumed by Step 1 and Step 7 respectively.</w:t>
      </w:r>
    </w:p>
    <w:p w:rsidR="00000000" w:rsidDel="00000000" w:rsidP="00000000" w:rsidRDefault="00000000" w:rsidRPr="00000000" ns1:paraId="00000026">
      <w:pPr>
        <w:spacing w:after="240" w:before="240" w:lineRule="auto"/>
        <w:rPr/>
      </w:pPr>
      <w:r w:rsidDel="00000000" w:rsidR="00000000" w:rsidRPr="00000000">
        <w:rPr>
          <w:b w:val="1"/>
          <w:bCs w:val="1"/>
          <w:rtl w:val="0"/>
        </w:rPr>
        <w:t xml:space="preserve">Deterministic runtime enforcement.</w:t>
      </w:r>
      <w:r w:rsidDel="00000000" w:rsidR="00000000" w:rsidRPr="00000000">
        <w:rPr>
          <w:rtl w:val="0"/>
        </w:rPr>
        <w:t xml:space="preserve"> The L-DREA architecture and its evaluation instrument [15] establish the downstream consumer of this paper's output. Its enforcement mechanisms are specified there and are not restated here. The interface between the two papers is deliberately thin: (i) the compiled predicate bundle this paper produces, which an L-DREA-class authority loads as its policy; and (ii) a requirement-reference field this paper requires conformant decision receipts to carry, so that each runtime decision can be joined back to its authorizing disposition. The second element is an </w:t>
      </w:r>
      <w:r w:rsidDel="00000000" w:rsidR="00000000" w:rsidRPr="00000000">
        <w:rPr>
          <w:b w:val="1"/>
          <w:bCs w:val="1"/>
          <w:rtl w:val="0"/>
        </w:rPr>
        <w:t xml:space="preserve">interface extension stated here as a conformance condition on the consuming authority</w:t>
      </w:r>
      <w:r w:rsidDel="00000000" w:rsidR="00000000" w:rsidRPr="00000000">
        <w:rPr>
          <w:rtl w:val="0"/>
        </w:rPr>
        <w:t xml:space="preserve"> — the permit-token and trace-record constructs of [15] do not themselves specify a requirement-reference field — and Appendix A states it normatively (constraint 14).</w:t>
      </w:r>
    </w:p>
    <w:p w:rsidR="00000000" w:rsidDel="00000000" w:rsidP="00000000" w:rsidRDefault="00000000" w:rsidRPr="00000000" ns1:paraId="00000027">
      <w:pPr>
        <w:pStyle w:val="Heading3"/>
        <w:keepNext w:val="0"/>
        <w:keepLines w:val="0"/>
        <w:spacing w:before="280" w:lineRule="auto"/>
        <w:rPr>
          <w:b w:val="1"/>
          <w:bCs w:val="1"/>
          <w:color w:val="000000"/>
          <w:sz w:val="26"/>
          <w:szCs w:val="26"/>
        </w:rPr>
      </w:pPr>
      <w:bookmarkStart w:colFirst="0" w:colLast="0" w:name="_7ow7bo95r4iq" w:id="9"/>
      <w:bookmarkEnd w:id="9"/>
      <w:r w:rsidDel="00000000" w:rsidR="00000000" w:rsidRPr="00000000">
        <w:rPr>
          <w:b w:val="1"/>
          <w:bCs w:val="1"/>
          <w:color w:val="000000"/>
          <w:sz w:val="26"/>
          <w:szCs w:val="26"/>
          <w:rtl w:val="0"/>
        </w:rPr>
        <w:t xml:space="preserve">F. Positioning Against Policy Generation and Machine-Readable Compliance</w:t>
      </w:r>
    </w:p>
    <w:p w:rsidR="00000000" w:rsidDel="00000000" w:rsidP="00000000" w:rsidRDefault="00000000" w:rsidRPr="00000000" ns1:paraId="00000028">
      <w:pPr>
        <w:spacing w:after="240" w:before="240" w:lineRule="auto"/>
        <w:rPr/>
      </w:pPr>
      <w:r w:rsidDel="00000000" w:rsidR="00000000" w:rsidRPr="00000000">
        <w:rPr>
          <w:rtl w:val="0"/>
        </w:rPr>
        <w:t xml:space="preserve">Prior work establishes several adjacent but distinct paths from human requirements to machine-evaluable artifacts. Natural-language access-control research extracts authorization policies from requirements or user stories, but its target is normally an access-control rule and its principal validity question is extraction accuracy [18], [19]. Policy Cards express operational and regulatory constraints in a versioned machine-readable artifact suitable for runtime use [20]. OSCAL-based approaches structure AI-assurance evidence and connect policy, assessment, and enforcement records [21]. Ontological Knowledge Blocks compile structured regulatory records into executable SHACL constraints over provenance-linked evidence graphs [22]. Recent pre-action authorization work specifies deterministic tool-call gating for autonomous agents at the enforcement layer [23], leaving the derivation of its policy artifacts from enterprise assessments — the question addressed here — open. These approaches demonstrate that policy authoring, compliance evidence, and executable validation can be made machine-readable; consequently, the present paper does not claim that governance-to-code translation is wholly unprecedented.</w:t>
      </w:r>
    </w:p>
    <w:p w:rsidR="00000000" w:rsidDel="00000000" w:rsidP="00000000" w:rsidRDefault="00000000" w:rsidRPr="00000000" ns1:paraId="00000029">
      <w:pPr>
        <w:spacing w:after="240" w:before="240" w:lineRule="auto"/>
        <w:rPr>
          <w:rFonts w:ascii="Roboto Mono" w:cs="Roboto Mono" w:eastAsia="Roboto Mono" w:hAnsi="Roboto Mono"/>
          <w:color w:val="188038"/>
        </w:rPr>
      </w:pPr>
      <w:r w:rsidDel="00000000" w:rsidR="00000000" w:rsidRPr="00000000">
        <w:rPr>
          <w:rtl w:val="0"/>
        </w:rPr>
        <w:t xml:space="preserve">The narrower contribution is the combination of five properties not found together in the reviewed approaches: (i) every assessed risk receives an explicit runtime, non-runtime, accepted, or unresolved disposition; (ii) no ordinary risk prose is silently treated as executable semantics; (iii) mandatory-gate membership is determined independently from scalar risk priority; (iv) emitted predicates are closed against an approved action-authority matrix and version boundary; and (v) each runtime decision is traceable back through the compiled predicate and risk disposition to an approved obligation or internal requirement, with temporal validity. The method begins after legal applicability has been determined and ends before runtime detection or actuation performance is claimed. A final literature sweep at submission over compliance-by-design, regulatory technology and agent-governance work of 2024–2026 located two further adjacent contributions. A layered translation method connects standards-derived governance objectives to design-time constraints, runtime mediation and assurance feedback through a control tuple and a runtime-enforceability rubric [28]; it addresses the same translation question and is the closest neighbour to the present work, but supplies neither canonical serialization and bundle hashing, nor total risk disposition, authority-matrix closure, or receipt-level traceability. A deontic policy framework governs agentic systems through permissions, prohibitions, obligations and meta-policy conflict resolution evaluated outside the model [29]; it expresses constraints that already exist and does not address their derivation from an enterprise risk assessment. Neither displaces the five-property combination above, and neither is displaced by it.</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02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2B">
      <w:pPr>
        <w:pStyle w:val="Heading2"/>
        <w:keepNext w:val="0"/>
        <w:keepLines w:val="0"/>
        <w:spacing w:after="80" w:lineRule="auto"/>
        <w:rPr>
          <w:b w:val="1"/>
          <w:bCs w:val="1"/>
          <w:sz w:val="34"/>
          <w:szCs w:val="34"/>
        </w:rPr>
      </w:pPr>
      <w:bookmarkStart w:colFirst="0" w:colLast="0" w:name="_qmuq6pkm7vcq" w:id="10"/>
      <w:bookmarkEnd w:id="10"/>
      <w:r w:rsidDel="00000000" w:rsidR="00000000" w:rsidRPr="00000000">
        <w:rPr>
          <w:b w:val="1"/>
          <w:bCs w:val="1"/>
          <w:sz w:val="34"/>
          <w:szCs w:val="34"/>
          <w:rtl w:val="0"/>
        </w:rPr>
        <w:t xml:space="preserve">III. THE FIVE-STEP GOVERNANCE INPUT MODEL</w:t>
      </w:r>
    </w:p>
    <w:p w:rsidR="00000000" w:rsidDel="00000000" w:rsidP="00000000" w:rsidRDefault="00000000" w:rsidRPr="00000000" ns1:paraId="0000002C">
      <w:pPr>
        <w:spacing w:after="240" w:before="240" w:lineRule="auto"/>
        <w:rPr/>
      </w:pPr>
      <w:r w:rsidDel="00000000" w:rsidR="00000000" w:rsidRPr="00000000">
        <w:rPr>
          <w:rtl w:val="0"/>
        </w:rPr>
        <w:t xml:space="preserve">We formalize the upstream assessment as five typed artifacts, collectively 𝒢 = (M, S, O, R, A). (These correspond to Steps 1–5 of the enterprise methodology; Steps 6+ are the refinement and compilation targets and the enforcement/evidence layers of prior work.) Each artifact is serialized in a canonical machine-readable form; the refinement and compilation stages consume the serialized artifacts, never the prose documents from which they were authored.</w:t>
      </w:r>
    </w:p>
    <w:p w:rsidR="00000000" w:rsidDel="00000000" w:rsidP="00000000" w:rsidRDefault="00000000" w:rsidRPr="00000000" ns1:paraId="0000002D">
      <w:pPr>
        <w:spacing w:after="240" w:before="240" w:lineRule="auto"/>
        <w:rPr/>
      </w:pPr>
      <w:r w:rsidDel="00000000" w:rsidR="00000000" w:rsidRPr="00000000">
        <w:rPr>
          <w:b w:val="1"/>
          <w:bCs w:val="1"/>
          <w:rtl w:val="0"/>
        </w:rPr>
        <w:t xml:space="preserve">Step 1 — Assessment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 = (system_id, purpose, owner_business, owner_technical, accountable_exec, assessor, deployment, scope, exclusions, method, version_binding, review_cycle, triggers)</w:t>
      </w:r>
      <w:r w:rsidDel="00000000" w:rsidR="00000000" w:rsidRPr="00000000">
        <w:rPr>
          <w:rtl w:val="0"/>
        </w:rPr>
        <w:t xml:space="preserve">. The critical field is </w:t>
      </w:r>
      <w:r w:rsidDel="00000000" w:rsidR="00000000" w:rsidRPr="00000000">
        <w:rPr>
          <w:rFonts w:ascii="Roboto Mono" w:cs="Roboto Mono" w:eastAsia="Roboto Mono" w:hAnsi="Roboto Mono"/>
          <w:color w:val="188038"/>
          <w:rtl w:val="0"/>
        </w:rPr>
        <w:t xml:space="preserve">version_binding</w:t>
      </w:r>
      <w:r w:rsidDel="00000000" w:rsidR="00000000" w:rsidRPr="00000000">
        <w:rPr>
          <w:rFonts w:ascii="Arial Unicode MS" w:cs="Arial Unicode MS" w:eastAsia="Arial Unicode MS" w:hAnsi="Arial Unicode MS"/>
          <w:rtl w:val="0"/>
        </w:rPr>
        <w:t xml:space="preserve">: the exact model, prompt, dataset, and policy versions the assessment covers. Compilation output inherits this binding; a version drift event invalidates the compiled control set by construction. The canonical failure this prevents is Knight Capital (2012): a stale server-deployment flag activated retired order-router logic, producing ≈USD 440M in losses in ~45 minutes — a non-adversarial, machine-speed version-binding failure with no malware involved [14]. A control set whose validity is cryptographically bound to </w:t>
      </w:r>
      <w:r w:rsidDel="00000000" w:rsidR="00000000" w:rsidRPr="00000000">
        <w:rPr>
          <w:rFonts w:ascii="Roboto Mono" w:cs="Roboto Mono" w:eastAsia="Roboto Mono" w:hAnsi="Roboto Mono"/>
          <w:color w:val="188038"/>
          <w:rtl w:val="0"/>
        </w:rPr>
        <w:t xml:space="preserve">M.version_binding</w:t>
      </w:r>
      <w:r w:rsidDel="00000000" w:rsidR="00000000" w:rsidRPr="00000000">
        <w:rPr>
          <w:rtl w:val="0"/>
        </w:rPr>
        <w:t xml:space="preserve"> renders the stale code path unauthorized by construction.</w:t>
      </w:r>
    </w:p>
    <w:p w:rsidR="00000000" w:rsidDel="00000000" w:rsidP="00000000" w:rsidRDefault="00000000" w:rsidRPr="00000000" ns1:paraId="0000002E">
      <w:pPr>
        <w:spacing w:after="240" w:before="240" w:lineRule="auto"/>
        <w:rPr/>
      </w:pPr>
      <w:r w:rsidDel="00000000" w:rsidR="00000000" w:rsidRPr="00000000">
        <w:rPr>
          <w:rtl w:val="0"/>
        </w:rPr>
        <w:t xml:space="preserve">One field encodes a principle rather than a datum: </w:t>
      </w:r>
      <w:r w:rsidDel="00000000" w:rsidR="00000000" w:rsidRPr="00000000">
        <w:rPr>
          <w:rFonts w:ascii="Roboto Mono" w:cs="Roboto Mono" w:eastAsia="Roboto Mono" w:hAnsi="Roboto Mono"/>
          <w:color w:val="188038"/>
          <w:rtl w:val="0"/>
        </w:rPr>
        <w:t xml:space="preserve">accountable_exec</w:t>
      </w:r>
      <w:r w:rsidDel="00000000" w:rsidR="00000000" w:rsidRPr="00000000">
        <w:rPr>
          <w:rtl w:val="0"/>
        </w:rPr>
        <w:t xml:space="preserve"> designates the party who </w:t>
      </w:r>
      <w:r w:rsidDel="00000000" w:rsidR="00000000" w:rsidRPr="00000000">
        <w:rPr>
          <w:i w:val="1"/>
          <w:iCs w:val="1"/>
          <w:rtl w:val="0"/>
        </w:rPr>
        <w:t xml:space="preserve">accepts residual risk</w:t>
      </w:r>
      <w:r w:rsidDel="00000000" w:rsidR="00000000" w:rsidRPr="00000000">
        <w:rPr>
          <w:rtl w:val="0"/>
        </w:rPr>
        <w:t xml:space="preserve">, and that party is the accountable business authority — never the developer, the model vendor, or the AI-governance team that performed the assessment. The compiler enforces the separation mechanically: escalation routes and threshold approvals resolve to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ownership fields, so a bundle in which the assessor and the acceptor are the same identity fails structural validation.</w:t>
      </w:r>
    </w:p>
    <w:p w:rsidR="00000000" w:rsidDel="00000000" w:rsidP="00000000" w:rsidRDefault="00000000" w:rsidRPr="00000000" ns1:paraId="0000002F">
      <w:pPr>
        <w:spacing w:after="240" w:before="240" w:lineRule="auto"/>
        <w:rPr/>
      </w:pPr>
      <w:r w:rsidDel="00000000" w:rsidR="00000000" w:rsidRPr="00000000">
        <w:rPr>
          <w:rFonts w:ascii="Roboto Mono" w:cs="Roboto Mono" w:eastAsia="Roboto Mono" w:hAnsi="Roboto Mono"/>
          <w:color w:val="188038"/>
          <w:rtl w:val="0"/>
        </w:rPr>
        <w:t xml:space="preserve">M.triggers</w:t>
      </w:r>
      <w:r w:rsidDel="00000000" w:rsidR="00000000" w:rsidRPr="00000000">
        <w:rPr>
          <w:rtl w:val="0"/>
        </w:rPr>
        <w:t xml:space="preserve"> enumerates the events that force re-assessment: model version change, prompt or policy change, dataset refresh outside declared bounds, scope expansion, new obligation, catalog change (Section IV-B), consequence-class reclassification (Section VII-E), or incident above a declared severity. Because every compiled record carries </w:t>
      </w:r>
      <w:r w:rsidDel="00000000" w:rsidR="00000000" w:rsidRPr="00000000">
        <w:rPr>
          <w:rFonts w:ascii="Roboto Mono" w:cs="Roboto Mono" w:eastAsia="Roboto Mono" w:hAnsi="Roboto Mono"/>
          <w:color w:val="188038"/>
          <w:rtl w:val="0"/>
        </w:rPr>
        <w:t xml:space="preserve">version_binding_ref</w:t>
      </w:r>
      <w:r w:rsidDel="00000000" w:rsidR="00000000" w:rsidRPr="00000000">
        <w:rPr>
          <w:rtl w:val="0"/>
        </w:rPr>
        <w:t xml:space="preserve">, a trigger firing does not merely </w:t>
      </w:r>
      <w:r w:rsidDel="00000000" w:rsidR="00000000" w:rsidRPr="00000000">
        <w:rPr>
          <w:i w:val="1"/>
          <w:iCs w:val="1"/>
          <w:rtl w:val="0"/>
        </w:rPr>
        <w:t xml:space="preserve">recommend</w:t>
      </w:r>
      <w:r w:rsidDel="00000000" w:rsidR="00000000" w:rsidRPr="00000000">
        <w:rPr>
          <w:rtl w:val="0"/>
        </w:rPr>
        <w:t xml:space="preserve"> re-review — it retires the bundle through the lifecycle registry (Section VI-F), with temporal validity semantics defined in Section VIII.</w:t>
      </w:r>
    </w:p>
    <w:p w:rsidR="00000000" w:rsidDel="00000000" w:rsidP="00000000" w:rsidRDefault="00000000" w:rsidRPr="00000000" ns1:paraId="00000030">
      <w:pPr>
        <w:spacing w:after="240" w:before="240" w:lineRule="auto"/>
        <w:rPr/>
      </w:pPr>
      <w:r w:rsidDel="00000000" w:rsidR="00000000" w:rsidRPr="00000000">
        <w:rPr>
          <w:b w:val="1"/>
          <w:bCs w:val="1"/>
          <w:rtl w:val="0"/>
        </w:rPr>
        <w:t xml:space="preserve">Step 2 — System 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 = (capabilities, data_classes, actors, affected_parties, authority_matrix, architecture, scale, autonomy_level)</w:t>
      </w:r>
      <w:r w:rsidDel="00000000" w:rsidR="00000000" w:rsidRPr="00000000">
        <w:rPr>
          <w:rtl w:val="0"/>
        </w:rPr>
        <w:t xml:space="preserve">. The decisive distinction is </w:t>
      </w:r>
      <w:r w:rsidDel="00000000" w:rsidR="00000000" w:rsidRPr="00000000">
        <w:rPr>
          <w:b w:val="1"/>
          <w:bCs w:val="1"/>
          <w:rtl w:val="0"/>
        </w:rPr>
        <w:t xml:space="preserve">capability vs. authority</w:t>
      </w:r>
      <w:r w:rsidDel="00000000" w:rsidR="00000000" w:rsidRPr="00000000">
        <w:rPr>
          <w:rtl w:val="0"/>
        </w:rPr>
        <w:t xml:space="preserve">: what the system </w:t>
      </w:r>
      <w:r w:rsidDel="00000000" w:rsidR="00000000" w:rsidRPr="00000000">
        <w:rPr>
          <w:i w:val="1"/>
          <w:iCs w:val="1"/>
          <w:rtl w:val="0"/>
        </w:rPr>
        <w:t xml:space="preserve">can</w:t>
      </w:r>
      <w:r w:rsidDel="00000000" w:rsidR="00000000" w:rsidRPr="00000000">
        <w:rPr>
          <w:rtl w:val="0"/>
        </w:rPr>
        <w:t xml:space="preserve"> generate versus what it is </w:t>
      </w:r>
      <w:r w:rsidDel="00000000" w:rsidR="00000000" w:rsidRPr="00000000">
        <w:rPr>
          <w:i w:val="1"/>
          <w:iCs w:val="1"/>
          <w:rtl w:val="0"/>
        </w:rPr>
        <w:t xml:space="preserve">authorized to cause</w:t>
      </w:r>
      <w:r w:rsidDel="00000000" w:rsidR="00000000" w:rsidRPr="00000000">
        <w:rPr>
          <w:rtl w:val="0"/>
        </w:rPr>
        <w:t xml:space="preserve">. The authority matrix — actor × action × resource × destination — is the vocabulary from which predicate subjects, actions, resources, and destinations are drawn. If an action does not appear in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 no predicate can permit it; the fail-closed default of the enforcement layer handles the remainder. The matrix therefore does double duty: it is both a governance artifact (the accountable executive's signature over what the system may cause) and a compiler symbol table (the closed vocabulary Φ resolves against).</w:t>
      </w:r>
    </w:p>
    <w:p w:rsidR="00000000" w:rsidDel="00000000" w:rsidP="00000000" w:rsidRDefault="00000000" w:rsidRPr="00000000" ns1:paraId="00000031">
      <w:pPr>
        <w:spacing w:after="240" w:before="240" w:lineRule="auto"/>
        <w:rPr/>
      </w:pPr>
      <w:r w:rsidDel="00000000" w:rsidR="00000000" w:rsidRPr="00000000">
        <w:rPr>
          <w:rtl w:val="0"/>
        </w:rPr>
        <w:t xml:space="preserve">Two profile-time judgments condition everything downstream. First, </w:t>
      </w:r>
      <w:r w:rsidDel="00000000" w:rsidR="00000000" w:rsidRPr="00000000">
        <w:rPr>
          <w:rFonts w:ascii="Roboto Mono" w:cs="Roboto Mono" w:eastAsia="Roboto Mono" w:hAnsi="Roboto Mono"/>
          <w:color w:val="188038"/>
          <w:rtl w:val="0"/>
        </w:rPr>
        <w:t xml:space="preserve">S.autonomy_level</w:t>
      </w:r>
      <w:r w:rsidDel="00000000" w:rsidR="00000000" w:rsidRPr="00000000">
        <w:rPr>
          <w:rtl w:val="0"/>
        </w:rPr>
        <w:t xml:space="preserve"> answers the scoping question </w:t>
      </w:r>
      <w:r w:rsidDel="00000000" w:rsidR="00000000" w:rsidRPr="00000000">
        <w:rPr>
          <w:i w:val="1"/>
          <w:iCs w:val="1"/>
          <w:rtl w:val="0"/>
        </w:rPr>
        <w:t xml:space="preserve">is this truly an agent?</w:t>
      </w:r>
      <w:r w:rsidDel="00000000" w:rsidR="00000000" w:rsidRPr="00000000">
        <w:rPr>
          <w:rtl w:val="0"/>
        </w:rPr>
        <w:t xml:space="preserve"> — a system that only summarizes documents is a generative application; one that plans, selects tools, retrieves, and performs actions across systems carries materially higher agentic risk, and the profile records which it is so that the control set scales with the answer rather than with the marketing label. Second, where human review appears in the authority matrix it must be </w:t>
      </w:r>
      <w:r w:rsidDel="00000000" w:rsidR="00000000" w:rsidRPr="00000000">
        <w:rPr>
          <w:i w:val="1"/>
          <w:iCs w:val="1"/>
          <w:rtl w:val="0"/>
        </w:rPr>
        <w:t xml:space="preserve">substantive</w:t>
      </w:r>
      <w:r w:rsidDel="00000000" w:rsidR="00000000" w:rsidRPr="00000000">
        <w:rPr>
          <w:rtl w:val="0"/>
        </w:rPr>
        <w:t xml:space="preserve">: an approver clicking through without time, evidence, or authority is not oversight. GC-IR reflects this in two places — the </w:t>
      </w:r>
      <w:r w:rsidDel="00000000" w:rsidR="00000000" w:rsidRPr="00000000">
        <w:rPr>
          <w:rFonts w:ascii="Roboto Mono" w:cs="Roboto Mono" w:eastAsia="Roboto Mono" w:hAnsi="Roboto Mono"/>
          <w:color w:val="188038"/>
          <w:rtl w:val="0"/>
        </w:rPr>
        <w:t xml:space="preserve">human_attestation</w:t>
      </w:r>
      <w:r w:rsidDel="00000000" w:rsidR="00000000" w:rsidRPr="00000000">
        <w:rPr>
          <w:rtl w:val="0"/>
        </w:rPr>
        <w:t xml:space="preserve"> basis tests only the presence and validity of the signed attestation artifact (Section V), and the substantive-ness of the review behind that artifact is monitored by a separate, deterministic proxy (reviewer dwell/volume telemetry, Case A row R-12) rather than assumed.</w:t>
      </w:r>
    </w:p>
    <w:p w:rsidR="00000000" w:rsidDel="00000000" w:rsidP="00000000" w:rsidRDefault="00000000" w:rsidRPr="00000000" ns1:paraId="00000032">
      <w:pPr>
        <w:spacing w:after="240" w:before="240" w:lineRule="auto"/>
        <w:rPr/>
      </w:pPr>
      <w:r w:rsidDel="00000000" w:rsidR="00000000" w:rsidRPr="00000000">
        <w:rPr>
          <w:b w:val="1"/>
          <w:bCs w:val="1"/>
          <w:rtl w:val="0"/>
        </w:rPr>
        <w:t xml:space="preserve">Step 3 — Obligation 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 = {(obligation_id, source, jurisdiction, territorial_basis, clause_ref, requirement_text_hash, applicability_basis, applicability_decision, decision_authority, decision_time, effective_from, effective_until, legal_source_version, requirement_class)}</w:t>
      </w:r>
      <w:r w:rsidDel="00000000" w:rsidR="00000000" w:rsidRPr="00000000">
        <w:rPr>
          <w:rtl w:val="0"/>
        </w:rPr>
        <w:t xml:space="preserve">. Applicability is determined by legal entity, jurisdiction, users, data, intended use, output destination, and performable actions — a human legal determination whose record is now first-class rather than merely asserted. Each row carries the clause-level anchor (</w:t>
      </w:r>
      <w:r w:rsidDel="00000000" w:rsidR="00000000" w:rsidRPr="00000000">
        <w:rPr>
          <w:rFonts w:ascii="Roboto Mono" w:cs="Roboto Mono" w:eastAsia="Roboto Mono" w:hAnsi="Roboto Mono"/>
          <w:color w:val="188038"/>
          <w:rtl w:val="0"/>
        </w:rPr>
        <w:t xml:space="preserve">clause_ref</w:t>
      </w:r>
      <w:r w:rsidDel="00000000" w:rsidR="00000000" w:rsidRPr="00000000">
        <w:rPr>
          <w:rtl w:val="0"/>
        </w:rPr>
        <w:t xml:space="preserve">), a hash of the requirement text as applied (</w:t>
      </w:r>
      <w:r w:rsidDel="00000000" w:rsidR="00000000" w:rsidRPr="00000000">
        <w:rPr>
          <w:rFonts w:ascii="Roboto Mono" w:cs="Roboto Mono" w:eastAsia="Roboto Mono" w:hAnsi="Roboto Mono"/>
          <w:color w:val="188038"/>
          <w:rtl w:val="0"/>
        </w:rPr>
        <w:t xml:space="preserve">requirement_text_hash</w:t>
      </w:r>
      <w:r w:rsidDel="00000000" w:rsidR="00000000" w:rsidRPr="00000000">
        <w:rPr>
          <w:rtl w:val="0"/>
        </w:rPr>
        <w:t xml:space="preserve">), the applicability decision itself with its deciding authority and decision time, the validity interval (</w:t>
      </w: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effective_until</w:t>
      </w:r>
      <w:r w:rsidDel="00000000" w:rsidR="00000000" w:rsidRPr="00000000">
        <w:rPr>
          <w:rtl w:val="0"/>
        </w:rPr>
        <w:t xml:space="preserve">), and the version of the legal source consulted (</w:t>
      </w:r>
      <w:r w:rsidDel="00000000" w:rsidR="00000000" w:rsidRPr="00000000">
        <w:rPr>
          <w:rFonts w:ascii="Roboto Mono" w:cs="Roboto Mono" w:eastAsia="Roboto Mono" w:hAnsi="Roboto Mono"/>
          <w:color w:val="188038"/>
          <w:rtl w:val="0"/>
        </w:rPr>
        <w:t xml:space="preserve">legal_source_version</w:t>
      </w:r>
      <w:r w:rsidDel="00000000" w:rsidR="00000000" w:rsidRPr="00000000">
        <w:rPr>
          <w:rtl w:val="0"/>
        </w:rPr>
        <w:t xml:space="preserve">) — so that a later amendment to the source is detectable as a hash or version mismatch rather than a silent divergence. The method consumes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as ground truth and never interprets legislation; the expanded record makes the ground truth auditable and temporally valid. Each obligation carries a </w:t>
      </w:r>
      <w:r w:rsidDel="00000000" w:rsidR="00000000" w:rsidRPr="00000000">
        <w:rPr>
          <w:rFonts w:ascii="Nova Mono" w:cs="Nova Mono" w:eastAsia="Nova Mono" w:hAnsi="Nova Mono"/>
          <w:color w:val="188038"/>
          <w:rtl w:val="0"/>
        </w:rPr>
        <w:t xml:space="preserve">requirement_class ∈ {statutory, supervisory, contractual, internal}</w:t>
      </w:r>
      <w:r w:rsidDel="00000000" w:rsidR="00000000" w:rsidRPr="00000000">
        <w:rPr>
          <w:rtl w:val="0"/>
        </w:rPr>
        <w:t xml:space="preserve"> used later in gate selection.</w:t>
      </w:r>
    </w:p>
    <w:p w:rsidR="00000000" w:rsidDel="00000000" w:rsidP="00000000" w:rsidRDefault="00000000" w:rsidRPr="00000000" ns1:paraId="00000033">
      <w:pPr>
        <w:spacing w:after="240" w:before="240" w:lineRule="auto"/>
        <w:rPr/>
      </w:pPr>
      <w:r w:rsidDel="00000000" w:rsidR="00000000" w:rsidRPr="00000000">
        <w:rPr>
          <w:b w:val="1"/>
          <w:bCs w:val="1"/>
          <w:rtl w:val="0"/>
        </w:rPr>
        <w:t xml:space="preserve">Step 4 — Risk 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 = {r_i}</w:t>
      </w:r>
      <w:r w:rsidDel="00000000" w:rsidR="00000000" w:rsidRPr="00000000">
        <w:rPr>
          <w:rtl w:val="0"/>
        </w:rPr>
        <w:t xml:space="preserve">, each </w:t>
      </w:r>
      <w:r w:rsidDel="00000000" w:rsidR="00000000" w:rsidRPr="00000000">
        <w:rPr>
          <w:rFonts w:ascii="Nova Mono" w:cs="Nova Mono" w:eastAsia="Nova Mono" w:hAnsi="Nova Mono"/>
          <w:color w:val="188038"/>
          <w:rtl w:val="0"/>
        </w:rPr>
        <w:t xml:space="preserve">r_i = (cause, event, consequence, affected_parties, obligation_refs ⊆ O, existing_controls, owner)</w:t>
      </w:r>
      <w:r w:rsidDel="00000000" w:rsidR="00000000" w:rsidRPr="00000000">
        <w:rPr>
          <w:rtl w:val="0"/>
        </w:rPr>
        <w:t xml:space="preserve">. The cause–event–consequence triple is mandatory: it is what makes a register row </w:t>
      </w:r>
      <w:r w:rsidDel="00000000" w:rsidR="00000000" w:rsidRPr="00000000">
        <w:rPr>
          <w:i w:val="1"/>
          <w:iCs w:val="1"/>
          <w:rtl w:val="0"/>
        </w:rPr>
        <w:t xml:space="preserve">refinable</w:t>
      </w:r>
      <w:r w:rsidDel="00000000" w:rsidR="00000000" w:rsidRPr="00000000">
        <w:rPr>
          <w:rtl w:val="0"/>
        </w:rPr>
        <w:t xml:space="preserve">. "Hallucination risk" is not refinable; "because the model generates probabilistic text, unsupported financial facts may be presented as true, causing defective research" is — the cause names the mechanism to be constrained, the event names the phenomenon whose observable must be selected, the consequence names the class that drives gate selection. This is ISO 31000's own vocabulary [3] applied with compiler-grade strictness: the register author is not asked to learn a new language, only to finish sentences in the existing one.</w:t>
      </w:r>
    </w:p>
    <w:p w:rsidR="00000000" w:rsidDel="00000000" w:rsidP="00000000" w:rsidRDefault="00000000" w:rsidRPr="00000000" ns1:paraId="00000034">
      <w:pPr>
        <w:spacing w:after="240" w:before="240" w:lineRule="auto"/>
        <w:rPr/>
      </w:pPr>
      <w:r w:rsidDel="00000000" w:rsidR="00000000" w:rsidRPr="00000000">
        <w:rPr>
          <w:b w:val="1"/>
          <w:bCs w:val="1"/>
          <w:rtl w:val="0"/>
        </w:rPr>
        <w:t xml:space="preserve">Step 5 — Risk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 {(r_i, L_i^inh, I_i^inh, e_i, L_i^res, I_i^res, consequence_class_i, tier_i, treatment_i)}</w:t>
      </w:r>
      <w:r w:rsidDel="00000000" w:rsidR="00000000" w:rsidRPr="00000000">
        <w:rPr>
          <w:rtl w:val="0"/>
        </w:rPr>
        <w:t xml:space="preserve"> on the enterprise taxonomy, where the analysis separates three concepts: </w:t>
      </w:r>
      <w:r w:rsidDel="00000000" w:rsidR="00000000" w:rsidRPr="00000000">
        <w:rPr>
          <w:b w:val="1"/>
          <w:bCs w:val="1"/>
          <w:rtl w:val="0"/>
        </w:rPr>
        <w:t xml:space="preserve">inherent 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(L^inh, I^inh)</w:t>
      </w:r>
      <w:r w:rsidDel="00000000" w:rsidR="00000000" w:rsidRPr="00000000">
        <w:rPr>
          <w:rtl w:val="0"/>
        </w:rPr>
        <w:t xml:space="preserve"> — exposure before controls; </w:t>
      </w:r>
      <w:r w:rsidDel="00000000" w:rsidR="00000000" w:rsidRPr="00000000">
        <w:rPr>
          <w:b w:val="1"/>
          <w:bCs w:val="1"/>
          <w:rtl w:val="0"/>
        </w:rPr>
        <w:t xml:space="preserve">control effectiveness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e_i</w:t>
      </w:r>
      <w:r w:rsidDel="00000000" w:rsidR="00000000" w:rsidRPr="00000000">
        <w:rPr>
          <w:rtl w:val="0"/>
        </w:rPr>
        <w:t xml:space="preserve"> — whether existing controls are appropriately designed </w:t>
      </w:r>
      <w:r w:rsidDel="00000000" w:rsidR="00000000" w:rsidRPr="00000000">
        <w:rPr>
          <w:i w:val="1"/>
          <w:iCs w:val="1"/>
          <w:rtl w:val="0"/>
        </w:rPr>
        <w:t xml:space="preserve">and</w:t>
      </w:r>
      <w:r w:rsidDel="00000000" w:rsidR="00000000" w:rsidRPr="00000000">
        <w:rPr>
          <w:rtl w:val="0"/>
        </w:rPr>
        <w:t xml:space="preserve"> operating; and </w:t>
      </w:r>
      <w:r w:rsidDel="00000000" w:rsidR="00000000" w:rsidRPr="00000000">
        <w:rPr>
          <w:b w:val="1"/>
          <w:bCs w:val="1"/>
          <w:rtl w:val="0"/>
        </w:rPr>
        <w:t xml:space="preserve">residual 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(L^res, I^res)</w:t>
      </w:r>
      <w:r w:rsidDel="00000000" w:rsidR="00000000" w:rsidRPr="00000000">
        <w:rPr>
          <w:rtl w:val="0"/>
        </w:rPr>
        <w:t xml:space="preserve"> — exposure remaining after effective controls. Tiering, treatment, and review priority are driven by residual ratings, as enterprise practice requires. Where the treatment is acceptance, the analysis row carries the acceptance authority (resolving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scope, and expiry that the accepted(RA) disposition of Section IV-D consumes; each row may additionally declare a per-risk reopening trigger ρᵢ — an event class that forces re-analysis of that row without a full reassessment.</w:t>
      </w:r>
    </w:p>
    <w:p w:rsidR="00000000" w:rsidDel="00000000" w:rsidP="00000000" w:rsidRDefault="00000000" w:rsidRPr="00000000" ns1:paraId="00000035">
      <w:pPr>
        <w:spacing w:after="240" w:before="240" w:lineRule="auto"/>
        <w:rPr/>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consequence_class</w:t>
      </w:r>
      <w:r w:rsidDel="00000000" w:rsidR="00000000" w:rsidRPr="00000000">
        <w:rPr>
          <w:rtl w:val="0"/>
        </w:rPr>
        <w:t xml:space="preserve"> is recorded </w:t>
      </w:r>
      <w:r w:rsidDel="00000000" w:rsidR="00000000" w:rsidRPr="00000000">
        <w:rPr>
          <w:i w:val="1"/>
          <w:iCs w:val="1"/>
          <w:rtl w:val="0"/>
        </w:rPr>
        <w:t xml:space="preserve">separately</w:t>
      </w:r>
      <w:r w:rsidDel="00000000" w:rsidR="00000000" w:rsidRPr="00000000">
        <w:rPr>
          <w:rtl w:val="0"/>
        </w:rPr>
        <w:t xml:space="preserve"> from any impact rating, and it is the element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that ordinary control effectiveness does not move: controls reduce </w:t>
      </w:r>
      <w:r w:rsidDel="00000000" w:rsidR="00000000" w:rsidRPr="00000000">
        <w:rPr>
          <w:i w:val="1"/>
          <w:iCs w:val="1"/>
          <w:rtl w:val="0"/>
        </w:rPr>
        <w:t xml:space="preserve">likelihood</w:t>
      </w:r>
      <w:r w:rsidDel="00000000" w:rsidR="00000000" w:rsidRPr="00000000">
        <w:rPr>
          <w:rtl w:val="0"/>
        </w:rPr>
        <w:t xml:space="preserve"> (and sometimes realized impact); they do not, by lowering a score, change </w:t>
      </w:r>
      <w:r w:rsidDel="00000000" w:rsidR="00000000" w:rsidRPr="00000000">
        <w:rPr>
          <w:i w:val="1"/>
          <w:iCs w:val="1"/>
          <w:rtl w:val="0"/>
        </w:rPr>
        <w:t xml:space="preserve">what kind of consequence</w:t>
      </w:r>
      <w:r w:rsidDel="00000000" w:rsidR="00000000" w:rsidRPr="00000000">
        <w:rPr>
          <w:rtl w:val="0"/>
        </w:rPr>
        <w:t xml:space="preserve"> the event is. An unauthorized trade behind three effective controls is still an unauthorized trade. Section VII-E states this as a </w:t>
      </w:r>
      <w:r w:rsidDel="00000000" w:rsidR="00000000" w:rsidRPr="00000000">
        <w:rPr>
          <w:i w:val="1"/>
          <w:iCs w:val="1"/>
          <w:rtl w:val="0"/>
        </w:rPr>
        <w:t xml:space="preserve">qualified</w:t>
      </w:r>
      <w:r w:rsidDel="00000000" w:rsidR="00000000" w:rsidRPr="00000000">
        <w:rPr>
          <w:rtl w:val="0"/>
        </w:rPr>
        <w:t xml:space="preserve"> invariance: consequence class can change only through formal, governed reclassification (for example, when a control alters the action pathway itself), never as an automatic consequence of a lower residual score. Where an enterprise taxonomy records only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adopting the method requires exactly one schema addition — the </w:t>
      </w:r>
      <w:r w:rsidDel="00000000" w:rsidR="00000000" w:rsidRPr="00000000">
        <w:rPr>
          <w:rFonts w:ascii="Roboto Mono" w:cs="Roboto Mono" w:eastAsia="Roboto Mono" w:hAnsi="Roboto Mono"/>
          <w:color w:val="188038"/>
          <w:rtl w:val="0"/>
        </w:rPr>
        <w:t xml:space="preserve">consequence_class</w:t>
      </w:r>
      <w:r w:rsidDel="00000000" w:rsidR="00000000" w:rsidRPr="00000000">
        <w:rPr>
          <w:rtl w:val="0"/>
        </w:rPr>
        <w:t xml:space="preserve"> column — and one governance act — executive approval of the C* profile (Section VII).</w:t>
      </w:r>
    </w:p>
    <w:p w:rsidR="00000000" w:rsidDel="00000000" w:rsidP="00000000" w:rsidRDefault="00000000" w:rsidRPr="00000000" ns1:paraId="00000036">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37">
      <w:pPr>
        <w:pStyle w:val="Heading2"/>
        <w:keepNext w:val="0"/>
        <w:keepLines w:val="0"/>
        <w:spacing w:after="80" w:lineRule="auto"/>
        <w:rPr>
          <w:b w:val="1"/>
          <w:bCs w:val="1"/>
          <w:sz w:val="34"/>
          <w:szCs w:val="34"/>
        </w:rPr>
      </w:pPr>
      <w:bookmarkStart w:colFirst="0" w:colLast="0" w:name="_h2fq4cn9v7q0" w:id="11"/>
      <w:bookmarkEnd w:id="11"/>
      <w:r w:rsidDel="00000000" w:rsidR="00000000" w:rsidRPr="00000000">
        <w:rPr>
          <w:b w:val="1"/>
          <w:bCs w:val="1"/>
          <w:sz w:val="34"/>
          <w:szCs w:val="34"/>
          <w:rtl w:val="0"/>
        </w:rPr>
        <w:t xml:space="preserve">IV. GOVERNED SEMANTIC REFINEMENT</w:t>
      </w:r>
    </w:p>
    <w:p w:rsidR="00000000" w:rsidDel="00000000" w:rsidP="00000000" w:rsidRDefault="00000000" w:rsidRPr="00000000" ns1:paraId="00000038">
      <w:pPr>
        <w:pStyle w:val="Heading3"/>
        <w:keepNext w:val="0"/>
        <w:keepLines w:val="0"/>
        <w:spacing w:before="280" w:lineRule="auto"/>
        <w:rPr>
          <w:b w:val="1"/>
          <w:bCs w:val="1"/>
          <w:color w:val="000000"/>
          <w:sz w:val="26"/>
          <w:szCs w:val="26"/>
        </w:rPr>
      </w:pPr>
      <w:bookmarkStart w:colFirst="0" w:colLast="0" w:name="_h08rotzc72jy" w:id="12"/>
      <w:bookmarkEnd w:id="12"/>
      <w:r w:rsidDel="00000000" w:rsidR="00000000" w:rsidRPr="00000000">
        <w:rPr>
          <w:b w:val="1"/>
          <w:bCs w:val="1"/>
          <w:color w:val="000000"/>
          <w:sz w:val="26"/>
          <w:szCs w:val="26"/>
          <w:rtl w:val="0"/>
        </w:rPr>
        <w:t xml:space="preserve">A. Why a Refinement Boundary Is Required — and Why Refinement Is a Relation, Not a Function</w:t>
      </w:r>
    </w:p>
    <w:p w:rsidR="00000000" w:rsidDel="00000000" w:rsidP="00000000" w:rsidRDefault="00000000" w:rsidRPr="00000000" ns1:paraId="00000039">
      <w:pPr>
        <w:spacing w:after="240" w:before="240" w:lineRule="auto"/>
        <w:rPr/>
      </w:pPr>
      <w:r w:rsidDel="00000000" w:rsidR="00000000" w:rsidRPr="00000000">
        <w:rPr>
          <w:rtl w:val="0"/>
        </w:rPr>
        <w:t xml:space="preserve">An ordinary cause–event–consequence statement is not itself a predicate. It does not necessarily identify the runtime attribute, evidence producer, action tuple, operator, threshold, temporal window, or failure response needed for deterministic evaluation. Treating free-form text as though it contained those semantics would merely hide a human judgment inside a function named </w:t>
      </w:r>
      <w:r w:rsidDel="00000000" w:rsidR="00000000" w:rsidRPr="00000000">
        <w:rPr>
          <w:rFonts w:ascii="Roboto Mono" w:cs="Roboto Mono" w:eastAsia="Roboto Mono" w:hAnsi="Roboto Mono"/>
          <w:color w:val="188038"/>
          <w:rtl w:val="0"/>
        </w:rPr>
        <w:t xml:space="preserve">extract_observable</w:t>
      </w:r>
      <w:r w:rsidDel="00000000" w:rsidR="00000000" w:rsidRPr="00000000">
        <w:rPr>
          <w:rtl w:val="0"/>
        </w:rPr>
        <w:t xml:space="preserve">.</w:t>
      </w:r>
    </w:p>
    <w:p w:rsidR="00000000" w:rsidDel="00000000" w:rsidP="00000000" w:rsidRDefault="00000000" w:rsidRPr="00000000" ns1:paraId="0000003A">
      <w:pPr>
        <w:spacing w:after="240" w:before="240" w:lineRule="auto"/>
        <w:rPr/>
      </w:pPr>
      <w:r w:rsidDel="00000000" w:rsidR="00000000" w:rsidRPr="00000000">
        <w:rPr>
          <w:rtl w:val="0"/>
        </w:rPr>
        <w:t xml:space="preserve">The method therefore separates governed semantic refinement from deterministic compilation. Let 𝒢 = (M, S, O, R, A) denote the approved governance assessment. Because two equally authorized experts, constrained by the same catalog, may lawfully produce different approved specifications from the same assessment, refinement is </w:t>
      </w:r>
      <w:r w:rsidDel="00000000" w:rsidR="00000000" w:rsidRPr="00000000">
        <w:rPr>
          <w:b w:val="1"/>
          <w:bCs w:val="1"/>
          <w:rtl w:val="0"/>
        </w:rPr>
        <w:t xml:space="preserve">not a function of 𝒢</w:t>
      </w:r>
      <w:r w:rsidDel="00000000" w:rsidR="00000000" w:rsidRPr="00000000">
        <w:rPr>
          <w:rtl w:val="0"/>
        </w:rPr>
        <w:t xml:space="preserve">: writing Ψ_K : 𝒢 → (D, Δ) would smuggle a determinism claim over human interpretation that the method explicitly disavows. Refinement is a </w:t>
      </w:r>
      <w:r w:rsidDel="00000000" w:rsidR="00000000" w:rsidRPr="00000000">
        <w:rPr>
          <w:b w:val="1"/>
          <w:bCs w:val="1"/>
          <w:rtl w:val="0"/>
        </w:rPr>
        <w:t xml:space="preserve">governed relation</w:t>
      </w:r>
      <w:r w:rsidDel="00000000" w:rsidR="00000000" w:rsidRPr="00000000">
        <w:rPr>
          <w:rtl w:val="0"/>
        </w:rPr>
        <w:t xml:space="preserve">, closed into a single-valued mapping only by the signed judgment record J — the set of signed selections (assigned event types, chosen templates, completed control fields, approvals) that the governance authorities actually made:</w:t>
      </w:r>
    </w:p>
    <w:p w:rsidR="00000000" w:rsidDel="00000000" w:rsidP="00000000" w:rsidRDefault="00000000" w:rsidRPr="00000000" ns1:paraId="0000003B">
      <w:pPr>
        <w:spacing w:after="240" w:before="240" w:lineRule="auto"/>
        <w:rPr>
          <w:b w:val="1"/>
          <w:bCs w:val="1"/>
        </w:rPr>
      </w:pPr>
      <w:r w:rsidDel="00000000" w:rsidR="00000000" w:rsidRPr="00000000">
        <w:rPr>
          <w:b w:val="1"/>
          <w:bCs w:val="1"/>
          <w:rtl w:val="0"/>
        </w:rPr>
        <w:t xml:space="preserve">(D, Δ) ∈ Ψ_K(𝒢), with Ψ_K(𝒢, J) → (D, Δ) single-valued given J.</w:t>
      </w:r>
    </w:p>
    <w:p w:rsidR="00000000" w:rsidDel="00000000" w:rsidP="00000000" w:rsidRDefault="00000000" w:rsidRPr="00000000" ns1:paraId="0000003C">
      <w:pPr>
        <w:spacing w:after="240" w:before="240" w:lineRule="auto"/>
        <w:rPr/>
      </w:pPr>
      <w:r w:rsidDel="00000000" w:rsidR="00000000" w:rsidRPr="00000000">
        <w:rPr>
          <w:rtl w:val="0"/>
        </w:rPr>
        <w:t xml:space="preserve">J is itself a governance artifact: versioned, signed, and included in the authorized-origin chain. This construction preserves determinism for everything downstream of the boundary — Φ is a function of signed inputs whose refinement products are fixed by J — without implying deterministic human interpretation of prose. Ψ_K is not a legal interpreter and does not infer requirements from unconstrained natural language. Human governance authorities assign an approved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select an allowed template from the Control Derivation Catalog K, complete the required control fields, and sign the resulting specification; those signed acts </w:t>
      </w:r>
      <w:r w:rsidDel="00000000" w:rsidR="00000000" w:rsidRPr="00000000">
        <w:rPr>
          <w:i w:val="1"/>
          <w:iCs w:val="1"/>
          <w:rtl w:val="0"/>
        </w:rPr>
        <w:t xml:space="preserve">are</w:t>
      </w:r>
      <w:r w:rsidDel="00000000" w:rsidR="00000000" w:rsidRPr="00000000">
        <w:rPr>
          <w:rtl w:val="0"/>
        </w:rPr>
        <w:t xml:space="preserve"> J. The catalog constrains what may be selected; the judgment record establishes who authorized the selection.</w:t>
      </w:r>
    </w:p>
    <w:p w:rsidR="00000000" w:rsidDel="00000000" w:rsidP="00000000" w:rsidRDefault="00000000" w:rsidRPr="00000000" ns1:paraId="0000003D">
      <w:pPr>
        <w:spacing w:after="240" w:before="240" w:lineRule="auto"/>
        <w:rPr/>
      </w:pPr>
      <w:r w:rsidDel="00000000" w:rsidR="00000000" w:rsidRPr="00000000">
        <w:rPr>
          <w:rtl w:val="0"/>
        </w:rPr>
        <w:t xml:space="preserve">The deterministic compiler is then</w:t>
      </w:r>
    </w:p>
    <w:p w:rsidR="00000000" w:rsidDel="00000000" w:rsidP="00000000" w:rsidRDefault="00000000" w:rsidRPr="00000000" ns1: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Φ : (M, S, O, R, A, K, D, Δ) → (P, G, E, B)</w:t>
      </w:r>
    </w:p>
    <w:p w:rsidR="00000000" w:rsidDel="00000000" w:rsidP="00000000" w:rsidRDefault="00000000" w:rsidRPr="00000000" ns1:paraId="0000003F">
      <w:pPr>
        <w:spacing w:after="240" w:before="240" w:lineRule="auto"/>
        <w:rPr/>
      </w:pPr>
      <w:r w:rsidDel="00000000" w:rsidR="00000000" w:rsidRPr="00000000">
        <w:rPr>
          <w:rtl w:val="0"/>
        </w:rPr>
        <w:t xml:space="preserve">where P is the predicate set, G the gate map, E the escalation map, and B the canonical signed bundle. The determinism claim applies to Φ, not to unaided human interpretation of prose.</w:t>
      </w:r>
    </w:p>
    <w:p w:rsidR="00000000" w:rsidDel="00000000" w:rsidP="00000000" w:rsidRDefault="00000000" w:rsidRPr="00000000" ns1:paraId="00000040">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040">
      <w:pPr>
        <w:spacing w:after="240" w:before="240" w:lineRule="auto"/>
        <w:jc w:val="center"/>
        <w:rPr>
          <w:i w:val="1"/>
          <w:iCs w:val="1"/>
        </w:rPr>
      </w:pPr>
      <w:r>
        <w:drawing>
          <ns4:inline>
            <ns4:extent cx="5852160" cy="2077835"/>
            <ns4:docPr id="1" name="Picture 1"/>
            <ns4:cNvGraphicFramePr>
              <ns5:graphicFrameLocks noChangeAspect="1"/>
            </ns4:cNvGraphicFramePr>
            <ns5:graphic>
              <ns5:graphicData uri="http://schemas.openxmlformats.org/drawingml/2006/picture">
                <ns6:pic>
                  <ns6:nvPicPr>
                    <ns6:cNvPr id="0" name="fig1.png"/>
                    <ns6:cNvPicPr/>
                  </ns6:nvPicPr>
                  <ns6:blipFill>
                    <ns5:blip ns7:embed="rId6"/>
                    <ns5:stretch>
                      <ns5:fillRect/>
                    </ns5:stretch>
                  </ns6:blipFill>
                  <ns6:spPr>
                    <ns5:xfrm>
                      <ns5:off x="0" y="0"/>
                      <ns5:ext cx="5852160" cy="2077835"/>
                    </ns5:xfrm>
                    <ns5:prstGeom prst="rect"/>
                  </ns6:spPr>
                </ns6:pic>
              </ns5:graphicData>
            </ns5:graphic>
          </ns4:inline>
        </w:drawing>
      </w:r>
    </w:p>
    <w:p w:rsidR="00000000" w:rsidDel="00000000" w:rsidP="00000000" w:rsidRDefault="00000000" w:rsidRPr="00000000" ns1:paraId="00000040">
      <w:pPr>
        <w:spacing w:after="240" w:before="240" w:lineRule="auto"/>
        <w:jc w:val="center"/>
        <w:rPr>
          <w:i w:val="1"/>
          <w:iCs w:val="1"/>
        </w:rPr>
      </w:pPr>
      <w:r>
        <w:rPr>
          <w:sz w:val="18"/>
        </w:rPr>
        <w:t>FIGURE 1. The refinement boundary. Semantic judgment is exercised once, under an approved catalog K and recorded in the signed judgment record J; everything to the right of the boundary is a function of signed inputs. Ψ_K is a governed relation closed by J, not a function of the assessment alone.</w:t>
      </w:r>
    </w:p>
    <w:p w:rsidR="00000000" w:rsidDel="00000000" w:rsidP="00000000" w:rsidRDefault="00000000" w:rsidRPr="00000000" ns1:paraId="00000041">
      <w:pPr>
        <w:pStyle w:val="Heading3"/>
        <w:keepNext w:val="0"/>
        <w:keepLines w:val="0"/>
        <w:spacing w:before="280" w:lineRule="auto"/>
        <w:rPr>
          <w:b w:val="1"/>
          <w:bCs w:val="1"/>
          <w:color w:val="000000"/>
          <w:sz w:val="26"/>
          <w:szCs w:val="26"/>
        </w:rPr>
      </w:pPr>
      <w:bookmarkStart w:colFirst="0" w:colLast="0" w:name="_kbiqbqn7l0nv" w:id="13"/>
      <w:bookmarkEnd w:id="13"/>
      <w:r w:rsidDel="00000000" w:rsidR="00000000" w:rsidRPr="00000000">
        <w:rPr>
          <w:b w:val="1"/>
          <w:bCs w:val="1"/>
          <w:color w:val="000000"/>
          <w:sz w:val="26"/>
          <w:szCs w:val="26"/>
          <w:rtl w:val="0"/>
        </w:rPr>
        <w:t xml:space="preserve">B. Control Derivation Catalog</w:t>
      </w:r>
    </w:p>
    <w:p w:rsidR="00000000" w:rsidDel="00000000" w:rsidP="00000000" w:rsidRDefault="00000000" w:rsidRPr="00000000" ns1:paraId="00000042">
      <w:pPr>
        <w:spacing w:after="240" w:before="240" w:lineRule="auto"/>
        <w:rPr/>
      </w:pPr>
      <w:r w:rsidDel="00000000" w:rsidR="00000000" w:rsidRPr="00000000">
        <w:rPr>
          <w:rFonts w:ascii="Arial Unicode MS" w:cs="Arial Unicode MS" w:eastAsia="Arial Unicode MS" w:hAnsi="Arial Unicode MS"/>
          <w:rtl w:val="0"/>
        </w:rPr>
        <w:t xml:space="preserve">Each catalog entry k_j ∈ K is:</w:t>
      </w:r>
    </w:p>
    <w:p w:rsidR="00000000" w:rsidDel="00000000" w:rsidP="00000000" w:rsidRDefault="00000000" w:rsidRPr="00000000" ns1:paraId="00000043">
      <w:pPr>
        <w:spacing w:after="240" w:before="240" w:lineRule="auto"/>
        <w:rPr/>
      </w:pPr>
      <w:r w:rsidDel="00000000" w:rsidR="00000000" w:rsidRPr="00000000">
        <w:rPr>
          <w:rtl w:val="0"/>
        </w:rPr>
        <w:t xml:space="preserve">k_j = (event_type, observable_class, allowed_producers, triple_template, allowed_operators, value_schema, evaluation_basis, evidence_schema, permitted_responses).</w:t>
      </w:r>
    </w:p>
    <w:p w:rsidR="00000000" w:rsidDel="00000000" w:rsidP="00000000" w:rsidRDefault="00000000" w:rsidRPr="00000000" ns1:paraId="00000044">
      <w:pPr>
        <w:spacing w:after="240" w:before="240" w:lineRule="auto"/>
        <w:rPr/>
      </w:pPr>
      <w:r w:rsidDel="00000000" w:rsidR="00000000" w:rsidRPr="00000000">
        <w:rPr>
          <w:rtl w:val="0"/>
        </w:rPr>
        <w:t xml:space="preserve">The catalog is approved by the governance forum, versioned with M, canonically serialized, and included in the compiled-bundle hash. Addition, removal, or semantic alteration of a catalog entry is a reassessment trigger. A register row whose approved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does not resolve to a catalog entry is not interpreted heuristically; it receives an unresolved or non-runtime disposition.</w:t>
      </w:r>
    </w:p>
    <w:p w:rsidR="00000000" w:rsidDel="00000000" w:rsidP="00000000" w:rsidRDefault="00000000" w:rsidRPr="00000000" ns1:paraId="00000045">
      <w:pPr>
        <w:pStyle w:val="Heading3"/>
        <w:keepNext w:val="0"/>
        <w:keepLines w:val="0"/>
        <w:spacing w:before="280" w:lineRule="auto"/>
        <w:rPr>
          <w:b w:val="1"/>
          <w:bCs w:val="1"/>
          <w:color w:val="000000"/>
          <w:sz w:val="26"/>
          <w:szCs w:val="26"/>
        </w:rPr>
      </w:pPr>
      <w:bookmarkStart w:colFirst="0" w:colLast="0" w:name="_gxh94iysxefb" w:id="14"/>
      <w:bookmarkEnd w:id="14"/>
      <w:r w:rsidDel="00000000" w:rsidR="00000000" w:rsidRPr="00000000">
        <w:rPr>
          <w:b w:val="1"/>
          <w:bCs w:val="1"/>
          <w:color w:val="000000"/>
          <w:sz w:val="26"/>
          <w:szCs w:val="26"/>
          <w:rtl w:val="0"/>
        </w:rPr>
        <w:t xml:space="preserve">C. Approved Control Specification</w:t>
      </w:r>
    </w:p>
    <w:p w:rsidR="00000000" w:rsidDel="00000000" w:rsidP="00000000" w:rsidRDefault="00000000" w:rsidRPr="00000000" ns1:paraId="00000046">
      <w:pPr>
        <w:spacing w:after="240" w:before="240" w:lineRule="auto"/>
        <w:rPr/>
      </w:pPr>
      <w:r w:rsidDel="00000000" w:rsidR="00000000" w:rsidRPr="00000000">
        <w:rPr>
          <w:rFonts w:ascii="Cardo" w:cs="Cardo" w:eastAsia="Cardo" w:hAnsi="Cardo"/>
          <w:rtl w:val="0"/>
        </w:rPr>
        <w:t xml:space="preserve">For risk rᵢ, each approved runtime control d_ij ∈ Dᵢ contains:</w:t>
      </w:r>
    </w:p>
    <w:p w:rsidR="00000000" w:rsidDel="00000000" w:rsidP="00000000" w:rsidRDefault="00000000" w:rsidRPr="00000000" ns1:paraId="00000047">
      <w:pPr>
        <w:spacing w:after="240" w:before="240" w:lineRule="auto"/>
        <w:rPr/>
      </w:pPr>
      <w:r w:rsidDel="00000000" w:rsidR="00000000" w:rsidRPr="00000000">
        <w:rPr>
          <w:rtl w:val="0"/>
        </w:rPr>
        <w:t xml:space="preserve">d_ij = (acs_id, risk_id, obligation_refs, event_type, observable_id, observable_producer, evidence_source, subject, action, resource, destination, parameter_schema, operator, expected_value, temporal_window, evaluation_basis, threshold_contract_ref, on_unknown, gate_candidate, mandatory_role, escalation, evidence_requirements, control_owner, approver, approval_time, validity_interval).</w:t>
      </w:r>
    </w:p>
    <w:p w:rsidR="00000000" w:rsidDel="00000000" w:rsidP="00000000" w:rsidRDefault="00000000" w:rsidRPr="00000000" ns1:paraId="00000048">
      <w:pPr>
        <w:spacing w:after="240" w:before="240" w:lineRule="auto"/>
        <w:rPr/>
      </w:pPr>
      <w:r w:rsidDel="00000000" w:rsidR="00000000" w:rsidRPr="00000000">
        <w:rPr>
          <w:rFonts w:ascii="Roboto Mono" w:cs="Roboto Mono" w:eastAsia="Roboto Mono" w:hAnsi="Roboto Mono"/>
          <w:color w:val="188038"/>
          <w:rtl w:val="0"/>
        </w:rPr>
        <w:t xml:space="preserve">observable_producer</w:t>
      </w:r>
      <w:r w:rsidDel="00000000" w:rsidR="00000000" w:rsidRPr="00000000">
        <w:rPr>
          <w:rtl w:val="0"/>
        </w:rPr>
        <w:t xml:space="preserve"> identifies the component or person that creates the evidence. This field prevents a deterministic predicate from being confused with the possibly probabilistic process that generated its input. For example, a runtime predicate may deterministically verify that a signed entity-resolution artifact reports no restricted-list match; it does not thereby claim that the upstream entity resolver is perfectly accurate. </w:t>
      </w:r>
      <w:r w:rsidDel="00000000" w:rsidR="00000000" w:rsidRPr="00000000">
        <w:rPr>
          <w:rFonts w:ascii="Nova Mono" w:cs="Nova Mono" w:eastAsia="Nova Mono" w:hAnsi="Nova Mono"/>
          <w:color w:val="188038"/>
          <w:rtl w:val="0"/>
        </w:rPr>
        <w:t xml:space="preserve">mandatory_role ∈ {decisive, supporting}</w:t>
      </w:r>
      <w:r w:rsidDel="00000000" w:rsidR="00000000" w:rsidRPr="00000000">
        <w:rPr>
          <w:rtl w:val="0"/>
        </w:rPr>
        <w:t xml:space="preserve"> records, for C*-classified risks, whether this specification is a decisive blocking gate or a supporting advisory/weighted condition (Section VII-A).</w:t>
      </w:r>
    </w:p>
    <w:p w:rsidR="00000000" w:rsidDel="00000000" w:rsidP="00000000" w:rsidRDefault="00000000" w:rsidRPr="00000000" ns1:paraId="00000049">
      <w:pPr>
        <w:spacing w:after="240" w:before="240" w:lineRule="auto"/>
        <w:rPr/>
      </w:pPr>
      <w:r w:rsidDel="00000000" w:rsidR="00000000" w:rsidRPr="00000000">
        <w:rPr>
          <w:rtl w:val="0"/>
        </w:rPr>
        <w:t xml:space="preserve">Each Approved Control Specification carries three express statements:</w:t>
      </w:r>
    </w:p>
    <w:p w:rsidR="00000000" w:rsidDel="00000000" w:rsidP="00000000" w:rsidRDefault="00000000" w:rsidRPr="00000000" ns1:paraId="0000004A">
      <w:pPr>
        <w:numPr>
          <w:ilvl w:val="0"/>
          <w:numId w:val="8"/>
        </w:numPr>
        <w:spacing w:after="0" w:afterAutospacing="0" w:before="240" w:lineRule="auto"/>
        <w:ind w:left="720" w:hanging="360"/>
      </w:pPr>
      <w:r w:rsidDel="00000000" w:rsidR="00000000" w:rsidRPr="00000000">
        <w:rPr>
          <w:b w:val="1"/>
          <w:bCs w:val="1"/>
          <w:rtl w:val="0"/>
        </w:rPr>
        <w:t xml:space="preserve">Evidence semantics</w:t>
      </w:r>
      <w:r w:rsidDel="00000000" w:rsidR="00000000" w:rsidRPr="00000000">
        <w:rPr>
          <w:rtl w:val="0"/>
        </w:rPr>
        <w:t xml:space="preserve"> — what the input evidence represents and who produced it.</w:t>
      </w:r>
    </w:p>
    <w:p w:rsidR="00000000" w:rsidDel="00000000" w:rsidP="00000000" w:rsidRDefault="00000000" w:rsidRPr="00000000" ns1: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Decision semantics</w:t>
      </w:r>
      <w:r w:rsidDel="00000000" w:rsidR="00000000" w:rsidRPr="00000000">
        <w:rPr>
          <w:rtl w:val="0"/>
        </w:rPr>
        <w:t xml:space="preserve"> — the exact condition evaluated by the runtime authority.</w:t>
      </w:r>
    </w:p>
    <w:p w:rsidR="00000000" w:rsidDel="00000000" w:rsidP="00000000" w:rsidRDefault="00000000" w:rsidRPr="00000000" ns1:paraId="0000004C">
      <w:pPr>
        <w:numPr>
          <w:ilvl w:val="0"/>
          <w:numId w:val="8"/>
        </w:numPr>
        <w:spacing w:after="240" w:before="0" w:beforeAutospacing="0" w:lineRule="auto"/>
        <w:ind w:left="720" w:hanging="360"/>
      </w:pPr>
      <w:r w:rsidDel="00000000" w:rsidR="00000000" w:rsidRPr="00000000">
        <w:rPr>
          <w:b w:val="1"/>
          <w:bCs w:val="1"/>
          <w:rtl w:val="0"/>
        </w:rPr>
        <w:t xml:space="preserve">Warrant boundary</w:t>
      </w:r>
      <w:r w:rsidDel="00000000" w:rsidR="00000000" w:rsidRPr="00000000">
        <w:rPr>
          <w:rtl w:val="0"/>
        </w:rPr>
        <w:t xml:space="preserve"> — what a passing result establishes and what it does not establish.</w:t>
      </w:r>
    </w:p>
    <w:p w:rsidR="00000000" w:rsidDel="00000000" w:rsidP="00000000" w:rsidRDefault="00000000" w:rsidRPr="00000000" ns1:paraId="0000004D">
      <w:pPr>
        <w:pStyle w:val="Heading3"/>
        <w:keepNext w:val="0"/>
        <w:keepLines w:val="0"/>
        <w:spacing w:before="280" w:lineRule="auto"/>
        <w:rPr>
          <w:b w:val="1"/>
          <w:bCs w:val="1"/>
          <w:color w:val="000000"/>
          <w:sz w:val="26"/>
          <w:szCs w:val="26"/>
        </w:rPr>
      </w:pPr>
      <w:bookmarkStart w:colFirst="0" w:colLast="0" w:name="_nuq87ewqvyw" w:id="15"/>
      <w:bookmarkEnd w:id="15"/>
      <w:r w:rsidDel="00000000" w:rsidR="00000000" w:rsidRPr="00000000">
        <w:rPr>
          <w:b w:val="1"/>
          <w:bCs w:val="1"/>
          <w:color w:val="000000"/>
          <w:sz w:val="26"/>
          <w:szCs w:val="26"/>
          <w:rtl w:val="0"/>
        </w:rPr>
        <w:t xml:space="preserve">D. Total Risk Disposition</w:t>
      </w:r>
    </w:p>
    <w:p w:rsidR="00000000" w:rsidDel="00000000" w:rsidP="00000000" w:rsidRDefault="00000000" w:rsidRPr="00000000" ns1:paraId="0000004E">
      <w:pPr>
        <w:spacing w:after="240" w:before="240" w:lineRule="auto"/>
        <w:rPr/>
      </w:pPr>
      <w:r w:rsidDel="00000000" w:rsidR="00000000" w:rsidRPr="00000000">
        <w:rPr>
          <w:rtl w:val="0"/>
        </w:rPr>
        <w:t xml:space="preserve">Every risk receives exactly one disposition:</w:t>
      </w:r>
    </w:p>
    <w:p w:rsidR="00000000" w:rsidDel="00000000" w:rsidP="00000000" w:rsidRDefault="00000000" w:rsidRPr="00000000" ns1:paraId="0000004F">
      <w:pPr>
        <w:spacing w:after="240" w:before="240" w:lineRule="auto"/>
        <w:rPr/>
      </w:pPr>
      <w:r w:rsidDel="00000000" w:rsidR="00000000" w:rsidRPr="00000000">
        <w:rPr>
          <w:rFonts w:ascii="Cardo" w:cs="Cardo" w:eastAsia="Cardo" w:hAnsi="Cardo"/>
          <w:rtl w:val="0"/>
        </w:rPr>
        <w:t xml:space="preserve">Δᵢ ∈ { runtime(Dᵢ), nonruntime(Cᵢ), accepted(RAᵢ), unresolved(Uᵢ) }.</w:t>
      </w:r>
    </w:p>
    <w:p w:rsidR="00000000" w:rsidDel="00000000" w:rsidP="00000000" w:rsidRDefault="00000000" w:rsidRPr="00000000" ns1:paraId="00000050">
      <w:pPr>
        <w:numPr>
          <w:ilvl w:val="0"/>
          <w:numId w:val="5"/>
        </w:numPr>
        <w:spacing w:after="0" w:afterAutospacing="0" w:before="240" w:lineRule="auto"/>
        <w:ind w:left="720" w:hanging="360"/>
      </w:pPr>
      <w:r w:rsidDel="00000000" w:rsidR="00000000" w:rsidRPr="00000000">
        <w:rPr>
          <w:b w:val="1"/>
          <w:bCs w:val="1"/>
          <w:rtl w:val="0"/>
        </w:rPr>
        <w:t xml:space="preserve">runtime(Dᵢ)</w:t>
      </w:r>
      <w:r w:rsidDel="00000000" w:rsidR="00000000" w:rsidRPr="00000000">
        <w:rPr>
          <w:rtl w:val="0"/>
        </w:rPr>
        <w:t xml:space="preserve"> binds the risk to one or more Approved Control Specifications.</w:t>
      </w:r>
    </w:p>
    <w:p w:rsidR="00000000" w:rsidDel="00000000" w:rsidP="00000000" w:rsidRDefault="00000000" w:rsidRPr="00000000" ns1: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nonruntime(Cᵢ)</w:t>
      </w:r>
      <w:r w:rsidDel="00000000" w:rsidR="00000000" w:rsidRPr="00000000">
        <w:rPr>
          <w:rtl w:val="0"/>
        </w:rPr>
        <w:t xml:space="preserve"> binds it to approved architectural, contractual, or human-process controls.</w:t>
      </w:r>
    </w:p>
    <w:p w:rsidR="00000000" w:rsidDel="00000000" w:rsidP="00000000" w:rsidRDefault="00000000" w:rsidRPr="00000000" ns1: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accepted(RAᵢ)</w:t>
      </w:r>
      <w:r w:rsidDel="00000000" w:rsidR="00000000" w:rsidRPr="00000000">
        <w:rPr>
          <w:rtl w:val="0"/>
        </w:rPr>
        <w:t xml:space="preserve"> records formal residual-risk acceptance, scope, expiry, and acceptor.</w:t>
      </w:r>
    </w:p>
    <w:p w:rsidR="00000000" w:rsidDel="00000000" w:rsidP="00000000" w:rsidRDefault="00000000" w:rsidRPr="00000000" ns1:paraId="00000053">
      <w:pPr>
        <w:numPr>
          <w:ilvl w:val="0"/>
          <w:numId w:val="5"/>
        </w:numPr>
        <w:spacing w:after="240" w:before="0" w:beforeAutospacing="0" w:lineRule="auto"/>
        <w:ind w:left="720" w:hanging="360"/>
      </w:pPr>
      <w:r w:rsidDel="00000000" w:rsidR="00000000" w:rsidRPr="00000000">
        <w:rPr>
          <w:b w:val="1"/>
          <w:bCs w:val="1"/>
          <w:rtl w:val="0"/>
        </w:rPr>
        <w:t xml:space="preserve">unresolved(Uᵢ)</w:t>
      </w:r>
      <w:r w:rsidDel="00000000" w:rsidR="00000000" w:rsidRPr="00000000">
        <w:rPr>
          <w:rtl w:val="0"/>
        </w:rPr>
        <w:t xml:space="preserve"> records a reason code and blocks release of the affected authority scope.</w:t>
      </w:r>
    </w:p>
    <w:p w:rsidR="00000000" w:rsidDel="00000000" w:rsidP="00000000" w:rsidRDefault="00000000" w:rsidRPr="00000000" ns1:paraId="00000054">
      <w:pPr>
        <w:spacing w:after="240" w:before="240" w:lineRule="auto"/>
        <w:rPr/>
      </w:pPr>
      <w:r w:rsidDel="00000000" w:rsidR="00000000" w:rsidRPr="00000000">
        <w:rPr>
          <w:rFonts w:ascii="Caudex" w:cs="Caudex" w:eastAsia="Caudex" w:hAnsi="Caudex"/>
          <w:rtl w:val="0"/>
        </w:rPr>
        <w:t xml:space="preserve">A bundle is release-admissible only if ∀ rᵢ ∈ R, Δᵢ ≠ unresolved, and every acceptance remains within its approved validity interval. Totality is: ∀ rᵢ ∈ R, |Δ(rᵢ)| = 1. Predicate cardinality is deliberately independent of risk cardinality: one risk may produce zero, one, or several predicates without invalidating totality.</w:t>
      </w:r>
    </w:p>
    <w:p w:rsidR="00000000" w:rsidDel="00000000" w:rsidP="00000000" w:rsidRDefault="00000000" w:rsidRPr="00000000" ns1:paraId="00000055">
      <w:pPr>
        <w:pStyle w:val="Heading3"/>
        <w:keepNext w:val="0"/>
        <w:keepLines w:val="0"/>
        <w:spacing w:before="280" w:lineRule="auto"/>
        <w:rPr>
          <w:b w:val="1"/>
          <w:bCs w:val="1"/>
          <w:color w:val="000000"/>
          <w:sz w:val="26"/>
          <w:szCs w:val="26"/>
        </w:rPr>
      </w:pPr>
      <w:bookmarkStart w:colFirst="0" w:colLast="0" w:name="_vl9jhkf2ef9h" w:id="16"/>
      <w:bookmarkEnd w:id="16"/>
      <w:r w:rsidDel="00000000" w:rsidR="00000000" w:rsidRPr="00000000">
        <w:rPr>
          <w:b w:val="1"/>
          <w:bCs w:val="1"/>
          <w:color w:val="000000"/>
          <w:sz w:val="26"/>
          <w:szCs w:val="26"/>
          <w:rtl w:val="0"/>
        </w:rPr>
        <w:t xml:space="preserve">E. Refinement Fidelity</w:t>
      </w:r>
    </w:p>
    <w:p w:rsidR="00000000" w:rsidDel="00000000" w:rsidP="00000000" w:rsidRDefault="00000000" w:rsidRPr="00000000" ns1:paraId="00000056">
      <w:pPr>
        <w:spacing w:after="240" w:before="240" w:lineRule="auto"/>
        <w:rPr/>
      </w:pPr>
      <w:r w:rsidDel="00000000" w:rsidR="00000000" w:rsidRPr="00000000">
        <w:rPr>
          <w:rtl w:val="0"/>
        </w:rPr>
        <w:t xml:space="preserve">The compiler warrants that emitted predicates faithfully encode the signed Approved Control Specifications. It does not warrant that those specifications completely represent the real-world hazard. Semantic fidelity between R and D is separately evaluated against an independent adjudicated reference in Section XI.</w:t>
      </w:r>
    </w:p>
    <w:p w:rsidR="00000000" w:rsidDel="00000000" w:rsidP="00000000" w:rsidRDefault="00000000" w:rsidRPr="00000000" ns1:paraId="00000057">
      <w:pPr>
        <w:spacing w:after="240" w:before="240" w:lineRule="auto"/>
        <w:rPr/>
      </w:pPr>
      <w:r w:rsidDel="00000000" w:rsidR="00000000" w:rsidRPr="00000000">
        <w:rPr>
          <w:rtl w:val="0"/>
        </w:rPr>
        <w:t xml:space="preserve">Silent narrowing is defined as follows. Let Qᵢ* be the set of control-relevant semantic elements required by the adjudicated reference for risk rᵢ, and let Qᵢ be the elements preserved in its approved disposition. Then:</w:t>
      </w:r>
    </w:p>
    <w:p w:rsidR="00000000" w:rsidDel="00000000" w:rsidP="00000000" w:rsidRDefault="00000000" w:rsidRPr="00000000" ns1:paraId="00000058">
      <w:pPr>
        <w:spacing w:after="240" w:before="240" w:lineRule="auto"/>
        <w:rPr/>
      </w:pPr>
      <w:r w:rsidDel="00000000" w:rsidR="00000000" w:rsidRPr="00000000">
        <w:rPr>
          <w:rtl w:val="0"/>
        </w:rPr>
        <w:t xml:space="preserve">SNᵢ = 𝟙[ Qᵢ* \ Qᵢ ≠ ∅ ∧ no explicit residual or non-runtime disposition covers the difference ].</w:t>
      </w:r>
    </w:p>
    <w:p w:rsidR="00000000" w:rsidDel="00000000" w:rsidP="00000000" w:rsidRDefault="00000000" w:rsidRPr="00000000" ns1:paraId="00000059">
      <w:pPr>
        <w:spacing w:after="240" w:before="240" w:lineRule="auto"/>
        <w:rPr/>
      </w:pPr>
      <w:r w:rsidDel="00000000" w:rsidR="00000000" w:rsidRPr="00000000">
        <w:rPr>
          <w:rtl w:val="0"/>
        </w:rPr>
        <w:t xml:space="preserve">The method does not claim to make SNᵢ = 0 by syntax alone; it makes narrowing detectable and measurable.</w:t>
      </w:r>
    </w:p>
    <w:p w:rsidR="00000000" w:rsidDel="00000000" w:rsidP="00000000" w:rsidRDefault="00000000" w:rsidRPr="00000000" ns1:paraId="0000005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5B">
      <w:pPr>
        <w:pStyle w:val="Heading2"/>
        <w:keepNext w:val="0"/>
        <w:keepLines w:val="0"/>
        <w:spacing w:after="80" w:lineRule="auto"/>
        <w:rPr>
          <w:b w:val="1"/>
          <w:bCs w:val="1"/>
          <w:sz w:val="34"/>
          <w:szCs w:val="34"/>
        </w:rPr>
      </w:pPr>
      <w:bookmarkStart w:colFirst="0" w:colLast="0" w:name="_fp11pn10scbq" w:id="17"/>
      <w:bookmarkEnd w:id="17"/>
      <w:r w:rsidDel="00000000" w:rsidR="00000000" w:rsidRPr="00000000">
        <w:rPr>
          <w:b w:val="1"/>
          <w:bCs w:val="1"/>
          <w:sz w:val="34"/>
          <w:szCs w:val="34"/>
          <w:rtl w:val="0"/>
        </w:rPr>
        <w:t xml:space="preserve">V. GC-IR: THE GOVERNANCE-TO-CONTROL INTERMEDIATE REPRESENTATION</w:t>
      </w:r>
    </w:p>
    <w:p w:rsidR="00000000" w:rsidDel="00000000" w:rsidP="00000000" w:rsidRDefault="00000000" w:rsidRPr="00000000" ns1:paraId="0000005C">
      <w:pPr>
        <w:spacing w:after="240" w:before="240" w:lineRule="auto"/>
        <w:rPr/>
      </w:pPr>
      <w:r w:rsidDel="00000000" w:rsidR="00000000" w:rsidRPr="00000000">
        <w:rPr>
          <w:rtl w:val="0"/>
        </w:rPr>
        <w:t xml:space="preserve">GC-IR is a record </w:t>
      </w:r>
      <w:r w:rsidDel="00000000" w:rsidR="00000000" w:rsidRPr="00000000">
        <w:rPr>
          <w:i w:val="1"/>
          <w:iCs w:val="1"/>
          <w:rtl w:val="0"/>
        </w:rPr>
        <w:t xml:space="preserve">family</w:t>
      </w:r>
      <w:r w:rsidDel="00000000" w:rsidR="00000000" w:rsidRPr="00000000">
        <w:rPr>
          <w:rtl w:val="0"/>
        </w:rPr>
        <w:t xml:space="preserve">, not a single record type:</w:t>
      </w:r>
    </w:p>
    <w:p w:rsidR="00000000" w:rsidDel="00000000" w:rsidP="00000000" w:rsidRDefault="00000000" w:rsidRPr="00000000" ns1:paraId="0000005D">
      <w:pPr>
        <w:spacing w:after="240" w:before="240" w:lineRule="auto"/>
        <w:rPr/>
      </w:pPr>
      <w:r w:rsidDel="00000000" w:rsidR="00000000" w:rsidRPr="00000000">
        <w:rPr>
          <w:rFonts w:ascii="Arial Unicode MS" w:cs="Arial Unicode MS" w:eastAsia="Arial Unicode MS" w:hAnsi="Arial Unicode MS"/>
          <w:rtl w:val="0"/>
        </w:rPr>
        <w:t xml:space="preserve">Record = CompiledPredicate ⊕ NonRuntimeDisposition ⊕ AcceptedRiskDisposition ⊕ UnresolvedDisposition (oneOf).</w:t>
      </w:r>
    </w:p>
    <w:p w:rsidR="00000000" w:rsidDel="00000000" w:rsidP="00000000" w:rsidRDefault="00000000" w:rsidRPr="00000000" ns1:paraId="0000005E">
      <w:pPr>
        <w:spacing w:after="240" w:before="240" w:lineRule="auto"/>
        <w:rPr/>
      </w:pPr>
      <w:r w:rsidDel="00000000" w:rsidR="00000000" w:rsidRPr="00000000">
        <w:rPr>
          <w:rtl w:val="0"/>
        </w:rPr>
        <w:t xml:space="preserve">A non-runtime, accepted, or unresolved row is a first-class record and is not required to contain subject, action, resource, evaluation basis, or gate type. A compiled predicate record carries, among the fields normatively listed in Appendix A:</w:t>
      </w:r>
    </w:p>
    <w:p w:rsidR="00000000" w:rsidDel="00000000" w:rsidP="00000000" w:rsidRDefault="00000000" w:rsidRPr="00000000" ns1:paraId="0000005F">
      <w:pPr>
        <w:rPr/>
      </w:pPr>
      <w:r w:rsidDel="00000000" w:rsidR="00000000" w:rsidRPr="00000000">
        <w:rPr>
          <w:rtl w:val="0"/>
        </w:rPr>
        <w:t xml:space="preserve">{</w:t>
      </w:r>
    </w:p>
    <w:p w:rsidR="00000000" w:rsidDel="00000000" w:rsidP="00000000" w:rsidRDefault="00000000" w:rsidRPr="00000000" ns1:paraId="00000060">
      <w:pPr>
        <w:rPr/>
      </w:pPr>
      <w:r w:rsidDel="00000000" w:rsidR="00000000" w:rsidRPr="00000000">
        <w:rPr>
          <w:rtl w:val="0"/>
        </w:rPr>
        <w:t xml:space="preserve">  "record_type": "CompiledPredicate",</w:t>
      </w:r>
    </w:p>
    <w:p w:rsidR="00000000" w:rsidDel="00000000" w:rsidP="00000000" w:rsidRDefault="00000000" w:rsidRPr="00000000" ns1:paraId="00000061">
      <w:pPr>
        <w:rPr/>
      </w:pPr>
      <w:r w:rsidDel="00000000" w:rsidR="00000000" w:rsidRPr="00000000">
        <w:rPr>
          <w:rtl w:val="0"/>
        </w:rPr>
        <w:t xml:space="preserve">  "gcir_id": "GCIR-0007",</w:t>
      </w:r>
    </w:p>
    <w:p w:rsidR="00000000" w:rsidDel="00000000" w:rsidP="00000000" w:rsidRDefault="00000000" w:rsidRPr="00000000" ns1:paraId="00000062">
      <w:pPr>
        <w:rPr/>
      </w:pPr>
      <w:r w:rsidDel="00000000" w:rsidR="00000000" w:rsidRPr="00000000">
        <w:rPr>
          <w:rtl w:val="0"/>
        </w:rPr>
        <w:t xml:space="preserve">  "acs_id": "ACS-0005-01",</w:t>
      </w:r>
    </w:p>
    <w:p w:rsidR="00000000" w:rsidDel="00000000" w:rsidP="00000000" w:rsidRDefault="00000000" w:rsidRPr="00000000" ns1:paraId="00000063">
      <w:pPr>
        <w:rPr/>
      </w:pPr>
      <w:r w:rsidDel="00000000" w:rsidR="00000000" w:rsidRPr="00000000">
        <w:rPr>
          <w:rtl w:val="0"/>
        </w:rPr>
        <w:t xml:space="preserve">  "origin_type": "risk_derived",</w:t>
      </w:r>
    </w:p>
    <w:p w:rsidR="00000000" w:rsidDel="00000000" w:rsidP="00000000" w:rsidRDefault="00000000" w:rsidRPr="00000000" ns1:paraId="00000064">
      <w:pPr>
        <w:rPr/>
      </w:pPr>
      <w:r w:rsidDel="00000000" w:rsidR="00000000" w:rsidRPr="00000000">
        <w:rPr>
          <w:rtl w:val="0"/>
        </w:rPr>
        <w:t xml:space="preserve">  "requirement_ref": {"risk_id": "R-05", "obligation_ids": ["CIRO-3608-DISC", "SEC-BAR-INT"]},</w:t>
      </w:r>
    </w:p>
    <w:p w:rsidR="00000000" w:rsidDel="00000000" w:rsidP="00000000" w:rsidRDefault="00000000" w:rsidRPr="00000000" ns1:paraId="00000065">
      <w:pPr>
        <w:rPr/>
      </w:pPr>
      <w:r w:rsidDel="00000000" w:rsidR="00000000" w:rsidRPr="00000000">
        <w:rPr>
          <w:rtl w:val="0"/>
        </w:rPr>
        <w:t xml:space="preserve">  "subject": "research_agent",</w:t>
      </w:r>
    </w:p>
    <w:p w:rsidR="00000000" w:rsidDel="00000000" w:rsidP="00000000" w:rsidRDefault="00000000" w:rsidRPr="00000000" ns1:paraId="00000066">
      <w:pPr>
        <w:rPr/>
      </w:pPr>
      <w:r w:rsidDel="00000000" w:rsidR="00000000" w:rsidRPr="00000000">
        <w:rPr>
          <w:rtl w:val="0"/>
        </w:rPr>
        <w:t xml:space="preserve">  "action": "publish_report",</w:t>
      </w:r>
    </w:p>
    <w:p w:rsidR="00000000" w:rsidDel="00000000" w:rsidP="00000000" w:rsidRDefault="00000000" w:rsidRPr="00000000" ns1:paraId="00000067">
      <w:pPr>
        <w:rPr/>
      </w:pPr>
      <w:r w:rsidDel="00000000" w:rsidR="00000000" w:rsidRPr="00000000">
        <w:rPr>
          <w:rtl w:val="0"/>
        </w:rPr>
        <w:t xml:space="preserve">  "resource": "research_report",</w:t>
      </w:r>
    </w:p>
    <w:p w:rsidR="00000000" w:rsidDel="00000000" w:rsidP="00000000" w:rsidRDefault="00000000" w:rsidRPr="00000000" ns1:paraId="00000068">
      <w:pPr>
        <w:rPr/>
      </w:pPr>
      <w:r w:rsidDel="00000000" w:rsidR="00000000" w:rsidRPr="00000000">
        <w:rPr>
          <w:rtl w:val="0"/>
        </w:rPr>
        <w:t xml:space="preserve">  "destination": "internal_distribution",</w:t>
      </w:r>
    </w:p>
    <w:p w:rsidR="00000000" w:rsidDel="00000000" w:rsidP="00000000" w:rsidRDefault="00000000" w:rsidRPr="00000000" ns1:paraId="00000069">
      <w:pPr>
        <w:rPr/>
      </w:pPr>
      <w:r w:rsidDel="00000000" w:rsidR="00000000" w:rsidRPr="00000000">
        <w:rPr>
          <w:rtl w:val="0"/>
        </w:rPr>
        <w:t xml:space="preserve">  "context_conditions": [</w:t>
      </w:r>
    </w:p>
    <w:p w:rsidR="00000000" w:rsidDel="00000000" w:rsidP="00000000" w:rsidRDefault="00000000" w:rsidRPr="00000000" ns1:paraId="0000006A">
      <w:pPr>
        <w:rPr/>
      </w:pPr>
      <w:r w:rsidDel="00000000" w:rsidR="00000000" w:rsidRPr="00000000">
        <w:rPr>
          <w:rtl w:val="0"/>
        </w:rPr>
        <w:t xml:space="preserve">    {"attribute": "restricted_list_match", "operator": "==", "value": false, "on_unknown": "fail",</w:t>
      </w:r>
    </w:p>
    <w:p w:rsidR="00000000" w:rsidDel="00000000" w:rsidP="00000000" w:rsidRDefault="00000000" w:rsidRPr="00000000" ns1:paraId="0000006B">
      <w:pPr>
        <w:rPr/>
      </w:pPr>
      <w:r w:rsidDel="00000000" w:rsidR="00000000" w:rsidRPr="00000000">
        <w:rPr>
          <w:rtl w:val="0"/>
        </w:rPr>
        <w:t xml:space="preserve">     "evidence_producer": "entity_resolution_service_v3"}</w:t>
      </w:r>
    </w:p>
    <w:p w:rsidR="00000000" w:rsidDel="00000000" w:rsidP="00000000" w:rsidRDefault="00000000" w:rsidRPr="00000000" ns1:paraId="0000006C">
      <w:pPr>
        <w:rPr/>
      </w:pPr>
      <w:r w:rsidDel="00000000" w:rsidR="00000000" w:rsidRPr="00000000">
        <w:rPr>
          <w:rtl w:val="0"/>
        </w:rPr>
        <w:t xml:space="preserve">  ],</w:t>
      </w:r>
    </w:p>
    <w:p w:rsidR="00000000" w:rsidDel="00000000" w:rsidP="00000000" w:rsidRDefault="00000000" w:rsidRPr="00000000" ns1:paraId="0000006D">
      <w:pPr>
        <w:rPr/>
      </w:pPr>
      <w:r w:rsidDel="00000000" w:rsidR="00000000" w:rsidRPr="00000000">
        <w:rPr>
          <w:rtl w:val="0"/>
        </w:rPr>
        <w:t xml:space="preserve">  "evaluation_basis": "deterministic_lookup",</w:t>
      </w:r>
    </w:p>
    <w:p w:rsidR="00000000" w:rsidDel="00000000" w:rsidP="00000000" w:rsidRDefault="00000000" w:rsidRPr="00000000" ns1:paraId="0000006E">
      <w:pPr>
        <w:rPr/>
      </w:pPr>
      <w:r w:rsidDel="00000000" w:rsidR="00000000" w:rsidRPr="00000000">
        <w:rPr>
          <w:rtl w:val="0"/>
        </w:rPr>
        <w:t xml:space="preserve">  "gate_type": "mandatory",</w:t>
      </w:r>
    </w:p>
    <w:p w:rsidR="00000000" w:rsidDel="00000000" w:rsidP="00000000" w:rsidRDefault="00000000" w:rsidRPr="00000000" ns1:paraId="0000006F">
      <w:pPr>
        <w:rPr/>
      </w:pPr>
      <w:r w:rsidDel="00000000" w:rsidR="00000000" w:rsidRPr="00000000">
        <w:rPr>
          <w:rtl w:val="0"/>
        </w:rPr>
        <w:t xml:space="preserve">  "gate_source": "C_STAR",</w:t>
      </w:r>
    </w:p>
    <w:p w:rsidR="00000000" w:rsidDel="00000000" w:rsidP="00000000" w:rsidRDefault="00000000" w:rsidRPr="00000000" ns1:paraId="00000070">
      <w:pPr>
        <w:rPr/>
      </w:pPr>
      <w:r w:rsidDel="00000000" w:rsidR="00000000" w:rsidRPr="00000000">
        <w:rPr>
          <w:rtl w:val="0"/>
        </w:rPr>
        <w:t xml:space="preserve">  "on_fail": "SAFE_STATE",</w:t>
      </w:r>
    </w:p>
    <w:p w:rsidR="00000000" w:rsidDel="00000000" w:rsidP="00000000" w:rsidRDefault="00000000" w:rsidRPr="00000000" ns1:paraId="00000071">
      <w:pPr>
        <w:rPr/>
      </w:pPr>
      <w:r w:rsidDel="00000000" w:rsidR="00000000" w:rsidRPr="00000000">
        <w:rPr>
          <w:rtl w:val="0"/>
        </w:rPr>
        <w:t xml:space="preserve">  "escalation": {"route": "supervisory_analyst", "sla_hours": 4},</w:t>
      </w:r>
    </w:p>
    <w:p w:rsidR="00000000" w:rsidDel="00000000" w:rsidP="00000000" w:rsidRDefault="00000000" w:rsidRPr="00000000" ns1:paraId="00000072">
      <w:pPr>
        <w:rPr/>
      </w:pPr>
      <w:r w:rsidDel="00000000" w:rsidR="00000000" w:rsidRPr="00000000">
        <w:rPr>
          <w:rtl w:val="0"/>
        </w:rPr>
        <w:t xml:space="preserve">  "evidence_requirement": ["source_hashes", "disclosure_checklist_id", "reviewer_id"],</w:t>
      </w:r>
    </w:p>
    <w:p w:rsidR="00000000" w:rsidDel="00000000" w:rsidP="00000000" w:rsidRDefault="00000000" w:rsidRPr="00000000" ns1:paraId="00000073">
      <w:pPr>
        <w:rPr/>
      </w:pPr>
      <w:r w:rsidDel="00000000" w:rsidR="00000000" w:rsidRPr="00000000">
        <w:rPr>
          <w:rtl w:val="0"/>
        </w:rPr>
        <w:t xml:space="preserve">  "version_binding_ref": "M.version_binding",</w:t>
      </w:r>
    </w:p>
    <w:p w:rsidR="00000000" w:rsidDel="00000000" w:rsidP="00000000" w:rsidRDefault="00000000" w:rsidRPr="00000000" ns1:paraId="00000074">
      <w:pPr>
        <w:rPr/>
      </w:pPr>
      <w:r w:rsidDel="00000000" w:rsidR="00000000" w:rsidRPr="00000000">
        <w:rPr>
          <w:rtl w:val="0"/>
        </w:rPr>
        <w:t xml:space="preserve">  "validity": {"effective_from": "…"}</w:t>
      </w:r>
    </w:p>
    <w:p w:rsidR="00000000" w:rsidDel="00000000" w:rsidP="00000000" w:rsidRDefault="00000000" w:rsidRPr="00000000" ns1:paraId="00000075">
      <w:pPr>
        <w:rPr/>
      </w:pPr>
      <w:r w:rsidDel="00000000" w:rsidR="00000000" w:rsidRPr="00000000">
        <w:rPr>
          <w:rtl w:val="0"/>
        </w:rPr>
        <w:t xml:space="preserve">}</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spacing w:after="240" w:before="240" w:lineRule="auto"/>
        <w:rPr/>
      </w:pPr>
      <w:r w:rsidDel="00000000" w:rsidR="00000000" w:rsidRPr="00000000">
        <w:rPr>
          <w:rtl w:val="0"/>
        </w:rPr>
        <w:t xml:space="preserve">Design commitments:</w:t>
      </w:r>
    </w:p>
    <w:p w:rsidR="00000000" w:rsidDel="00000000" w:rsidP="00000000" w:rsidRDefault="00000000" w:rsidRPr="00000000" ns1:paraId="00000078">
      <w:pPr>
        <w:numPr>
          <w:ilvl w:val="0"/>
          <w:numId w:val="1"/>
        </w:numPr>
        <w:spacing w:after="0" w:afterAutospacing="0" w:before="240" w:lineRule="auto"/>
        <w:ind w:left="720" w:hanging="360"/>
      </w:pPr>
      <w:r w:rsidDel="00000000" w:rsidR="00000000" w:rsidRPr="00000000">
        <w:rPr>
          <w:b w:val="1"/>
          <w:bCs w:val="1"/>
          <w:rtl w:val="0"/>
        </w:rPr>
        <w:t xml:space="preserve">Every context condition declares </w:t>
      </w:r>
      <w:r w:rsidDel="00000000" w:rsidR="00000000" w:rsidRPr="00000000">
        <w:rPr>
          <w:rFonts w:ascii="Roboto Mono" w:cs="Roboto Mono" w:eastAsia="Roboto Mono" w:hAnsi="Roboto Mono"/>
          <w:b w:val="1"/>
          <w:bCs w:val="1"/>
          <w:color w:val="188038"/>
          <w:rtl w:val="0"/>
        </w:rPr>
        <w:t xml:space="preserve">on_unknown</w:t>
      </w:r>
      <w:r w:rsidDel="00000000" w:rsidR="00000000" w:rsidRPr="00000000">
        <w:rPr>
          <w:b w:val="1"/>
          <w:bCs w:val="1"/>
          <w:rtl w:val="0"/>
        </w:rPr>
        <w:t xml:space="preserve"> — indeterminacy is a named failure class.</w:t>
      </w:r>
      <w:r w:rsidDel="00000000" w:rsidR="00000000" w:rsidRPr="00000000">
        <w:rPr>
          <w:rtl w:val="0"/>
        </w:rPr>
        <w:t xml:space="preserve"> Missing, stale, or schema-invalid context is </w:t>
      </w:r>
      <w:r w:rsidDel="00000000" w:rsidR="00000000" w:rsidRPr="00000000">
        <w:rPr>
          <w:i w:val="1"/>
          <w:iCs w:val="1"/>
          <w:rtl w:val="0"/>
        </w:rPr>
        <w:t xml:space="preserve">indeterminacy</w:t>
      </w:r>
      <w:r w:rsidDel="00000000" w:rsidR="00000000" w:rsidRPr="00000000">
        <w:rPr>
          <w:rtl w:val="0"/>
        </w:rPr>
        <w:t xml:space="preserve">, distinct from violation, and operationally more frequent than clean violation (sensor dropout, stale retrieval, schema drift). A control that only trips on explicit out-of-range values silently passes it. For mandatory gates,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 is required, not default (Section VI-A); for non-mandatory conditions any fail-open exception must be explicitly approved and carries the approver's identity. This propagates the enforcement layer's fail-closed semantics — and its fail-closed (authorization default) vs. fail-safe (process outcome) distinction [15] — upstream into the governance record itself.</w:t>
      </w:r>
    </w:p>
    <w:p w:rsidR="00000000" w:rsidDel="00000000" w:rsidP="00000000" w:rsidRDefault="00000000" w:rsidRPr="00000000" ns1:paraId="000000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evaluation_basis</w:t>
      </w:r>
      <w:r w:rsidDel="00000000" w:rsidR="00000000" w:rsidRPr="00000000">
        <w:rPr>
          <w:b w:val="1"/>
          <w:bCs w:val="1"/>
          <w:rtl w:val="0"/>
        </w:rPr>
        <w:t xml:space="preserve"> is constrained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{deterministic_lookup, threshold_on_measured_value, structural_check, human_attestation}</w:t>
      </w:r>
      <w:r w:rsidDel="00000000" w:rsidR="00000000" w:rsidRPr="00000000">
        <w:rPr>
          <w:rtl w:val="0"/>
        </w:rPr>
        <w:t xml:space="preserve">. Probabilistic classifiers may </w:t>
      </w:r>
      <w:r w:rsidDel="00000000" w:rsidR="00000000" w:rsidRPr="00000000">
        <w:rPr>
          <w:i w:val="1"/>
          <w:iCs w:val="1"/>
          <w:rtl w:val="0"/>
        </w:rPr>
        <w:t xml:space="preserve">inform</w:t>
      </w:r>
      <w:r w:rsidDel="00000000" w:rsidR="00000000" w:rsidRPr="00000000">
        <w:rPr>
          <w:rtl w:val="0"/>
        </w:rPr>
        <w:t xml:space="preserve"> a measured value but a GC-IR condition never evaluates a probability directly — preserving the determinism guarantee of the downstream authority. </w:t>
      </w:r>
      <w:r w:rsidDel="00000000" w:rsidR="00000000" w:rsidRPr="00000000">
        <w:rPr>
          <w:rFonts w:ascii="Roboto Mono" w:cs="Roboto Mono" w:eastAsia="Roboto Mono" w:hAnsi="Roboto Mono"/>
          <w:color w:val="188038"/>
          <w:rtl w:val="0"/>
        </w:rPr>
        <w:t xml:space="preserve">human_attestation</w:t>
      </w:r>
      <w:r w:rsidDel="00000000" w:rsidR="00000000" w:rsidRPr="00000000">
        <w:rPr>
          <w:rtl w:val="0"/>
        </w:rPr>
        <w:t xml:space="preserve"> is deterministic at evaluation time: the predicate tests for the </w:t>
      </w:r>
      <w:r w:rsidDel="00000000" w:rsidR="00000000" w:rsidRPr="00000000">
        <w:rPr>
          <w:i w:val="1"/>
          <w:iCs w:val="1"/>
          <w:rtl w:val="0"/>
        </w:rPr>
        <w:t xml:space="preserve">presence and validity of a signed attestation artifact</w:t>
      </w:r>
      <w:r w:rsidDel="00000000" w:rsidR="00000000" w:rsidRPr="00000000">
        <w:rPr>
          <w:rtl w:val="0"/>
        </w:rPr>
        <w:t xml:space="preserve">, not for the quality of the human judgment it records. The </w:t>
      </w:r>
      <w:r w:rsidDel="00000000" w:rsidR="00000000" w:rsidRPr="00000000">
        <w:rPr>
          <w:rFonts w:ascii="Roboto Mono" w:cs="Roboto Mono" w:eastAsia="Roboto Mono" w:hAnsi="Roboto Mono"/>
          <w:color w:val="188038"/>
          <w:rtl w:val="0"/>
        </w:rPr>
        <w:t xml:space="preserve">evidence_producer</w:t>
      </w:r>
      <w:r w:rsidDel="00000000" w:rsidR="00000000" w:rsidRPr="00000000">
        <w:rPr>
          <w:rtl w:val="0"/>
        </w:rPr>
        <w:t xml:space="preserve"> field (from the ACS) keeps the deterministic check and the possibly probabilistic evidence source explicitly separate.</w:t>
      </w:r>
    </w:p>
    <w:p w:rsidR="00000000" w:rsidDel="00000000" w:rsidP="00000000" w:rsidRDefault="00000000" w:rsidRPr="00000000" ns1:paraId="0000007A">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b w:val="1"/>
          <w:bCs w:val="1"/>
          <w:color w:val="188038"/>
          <w:rtl w:val="0"/>
        </w:rPr>
        <w:t xml:space="preserve">gate_type ∈ {mandatory, weighted, advisory}</w:t>
      </w:r>
      <w:r w:rsidDel="00000000" w:rsidR="00000000" w:rsidRPr="00000000">
        <w:rPr>
          <w:b w:val="1"/>
          <w:bCs w:val="1"/>
          <w:rtl w:val="0"/>
        </w:rPr>
        <w:t xml:space="preserve"> with recorded </w:t>
      </w:r>
      <w:r w:rsidDel="00000000" w:rsidR="00000000" w:rsidRPr="00000000">
        <w:rPr>
          <w:rFonts w:ascii="Roboto Mono" w:cs="Roboto Mono" w:eastAsia="Roboto Mono" w:hAnsi="Roboto Mono"/>
          <w:b w:val="1"/>
          <w:bCs w:val="1"/>
          <w:color w:val="188038"/>
          <w:rtl w:val="0"/>
        </w:rPr>
        <w:t xml:space="preserve">gate_source</w:t>
      </w:r>
      <w:r w:rsidDel="00000000" w:rsidR="00000000" w:rsidRPr="00000000">
        <w:rPr>
          <w:b w:val="1"/>
          <w:bCs w:val="1"/>
          <w:rtl w:val="0"/>
        </w:rPr>
        <w:t xml:space="preserve">.</w:t>
      </w:r>
      <w:r w:rsidDel="00000000" w:rsidR="00000000" w:rsidRPr="00000000">
        <w:rPr>
          <w:rtl w:val="0"/>
        </w:rPr>
        <w:t xml:space="preserve"> Only mandatory conditions participate directly in non-compensatory aggregation. Section VII governs assignment; </w:t>
      </w:r>
      <w:r w:rsidDel="00000000" w:rsidR="00000000" w:rsidRPr="00000000">
        <w:rPr>
          <w:rFonts w:ascii="Nova Mono" w:cs="Nova Mono" w:eastAsia="Nova Mono" w:hAnsi="Nova Mono"/>
          <w:color w:val="188038"/>
          <w:rtl w:val="0"/>
        </w:rPr>
        <w:t xml:space="preserve">gate_source ∈ {C_STAR, OTHER_MANDATORY, SOFT}</w:t>
      </w:r>
      <w:r w:rsidDel="00000000" w:rsidR="00000000" w:rsidRPr="00000000">
        <w:rPr>
          <w:rtl w:val="0"/>
        </w:rPr>
        <w:t xml:space="preserve"> keeps C*-selected gates distinguishable from mandatory gates created for other approved reasons. A record marked </w:t>
      </w:r>
      <w:r w:rsidDel="00000000" w:rsidR="00000000" w:rsidRPr="00000000">
        <w:rPr>
          <w:rFonts w:ascii="Roboto Mono" w:cs="Roboto Mono" w:eastAsia="Roboto Mono" w:hAnsi="Roboto Mono"/>
          <w:color w:val="188038"/>
          <w:rtl w:val="0"/>
        </w:rPr>
        <w:t xml:space="preserve">weighted</w:t>
      </w:r>
      <w:r w:rsidDel="00000000" w:rsidR="00000000" w:rsidRPr="00000000">
        <w:rPr>
          <w:rtl w:val="0"/>
        </w:rPr>
        <w:t xml:space="preserve"> is structurally invalid unless it carries </w:t>
      </w:r>
      <w:r w:rsidDel="00000000" w:rsidR="00000000" w:rsidRPr="00000000">
        <w:rPr>
          <w:rFonts w:ascii="Roboto Mono" w:cs="Roboto Mono" w:eastAsia="Roboto Mono" w:hAnsi="Roboto Mono"/>
          <w:color w:val="188038"/>
          <w:rtl w:val="0"/>
        </w:rPr>
        <w:t xml:space="preserve">aggregation_group</w:t>
      </w:r>
      <w:r w:rsidDel="00000000" w:rsidR="00000000" w:rsidRPr="00000000">
        <w:rPr>
          <w:rtl w:val="0"/>
        </w:rPr>
        <w:t xml:space="preserve">, a positive weight wᵢ, a normalized deficit function vᵢ, a group threshold, and a response. At the enforcement boundary, a weighted group resolves to a </w:t>
      </w:r>
      <w:r w:rsidDel="00000000" w:rsidR="00000000" w:rsidRPr="00000000">
        <w:rPr>
          <w:b w:val="1"/>
          <w:bCs w:val="1"/>
          <w:rtl w:val="0"/>
        </w:rPr>
        <w:t xml:space="preserve">single group-level deficit</w:t>
      </w:r>
      <w:r w:rsidDel="00000000" w:rsidR="00000000" w:rsidRPr="00000000">
        <w:rPr>
          <w:rtl w:val="0"/>
        </w:rPr>
        <w:t xml:space="preserve"> — the group's threshold test — which then enters the non-compensatory aggregate as one dimension like any other; compensation is admissible only </w:t>
      </w:r>
      <w:r w:rsidDel="00000000" w:rsidR="00000000" w:rsidRPr="00000000">
        <w:rPr>
          <w:i w:val="1"/>
          <w:iCs w:val="1"/>
          <w:rtl w:val="0"/>
        </w:rPr>
        <w:t xml:space="preserve">inside</w:t>
      </w:r>
      <w:r w:rsidDel="00000000" w:rsidR="00000000" w:rsidRPr="00000000">
        <w:rPr>
          <w:rtl w:val="0"/>
        </w:rPr>
        <w:t xml:space="preserve"> an approved group, never across the mandatory aggregate, consistent with the aggregator-class separation proved in [15], [16].</w:t>
      </w:r>
    </w:p>
    <w:p w:rsidR="00000000" w:rsidDel="00000000" w:rsidP="00000000" w:rsidRDefault="00000000" w:rsidRPr="00000000" ns1: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Every threshold ships with a threshold contract.</w:t>
      </w:r>
      <w:r w:rsidDel="00000000" w:rsidR="00000000" w:rsidRPr="00000000">
        <w:rPr>
          <w:rtl w:val="0"/>
        </w:rPr>
        <w:t xml:space="preserve"> A numeric or temporal bound is not admissible until it carries: operational definition, numerator and denominator, evidence source, ground truth, threshold rationale, uncertainty method, unit, and reproduction procedure. (Rate-style quantities with different denominators are never used interchangeably; zero-event results are reported with the exposure denominator and an exact one-sided upper bound, never as "zero risk.") Threshold </w:t>
      </w:r>
      <w:r w:rsidDel="00000000" w:rsidR="00000000" w:rsidRPr="00000000">
        <w:rPr>
          <w:i w:val="1"/>
          <w:iCs w:val="1"/>
          <w:rtl w:val="0"/>
        </w:rPr>
        <w:t xml:space="preserve">authority</w:t>
      </w:r>
      <w:r w:rsidDel="00000000" w:rsidR="00000000" w:rsidRPr="00000000">
        <w:rPr>
          <w:rtl w:val="0"/>
        </w:rPr>
        <w:t xml:space="preserve"> is separated from evaluation: control owners propose thresholds with rationale, the accountable governance forum approves them, and the runtime evaluator never sets or adjusts them — the governance half of a two-clock separation that prevents the implementation from grading itself.</w:t>
      </w:r>
    </w:p>
    <w:p w:rsidR="00000000" w:rsidDel="00000000" w:rsidP="00000000" w:rsidRDefault="00000000" w:rsidRPr="00000000" ns1: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Non-runtime disposition is first-class.</w:t>
      </w:r>
      <w:r w:rsidDel="00000000" w:rsidR="00000000" w:rsidRPr="00000000">
        <w:rPr>
          <w:rtl w:val="0"/>
        </w:rPr>
        <w:t xml:space="preserve"> A risk that does not yield a runtime predicate receives a NonRuntimeDisposition (or AcceptedRisk / Unresolved) record with a typed reason: </w:t>
      </w:r>
      <w:r w:rsidDel="00000000" w:rsidR="00000000" w:rsidRPr="00000000">
        <w:rPr>
          <w:rFonts w:ascii="Roboto Mono" w:cs="Roboto Mono" w:eastAsia="Roboto Mono" w:hAnsi="Roboto Mono"/>
          <w:color w:val="188038"/>
          <w:rtl w:val="0"/>
        </w:rPr>
        <w:t xml:space="preserve">RC-01 no per-action observable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RC-02 no authority-matrix 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RC-03 requires probabilistic judgment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RC-05 consequence class undefined</w:t>
      </w:r>
      <w:r w:rsidDel="00000000" w:rsidR="00000000" w:rsidRPr="00000000">
        <w:rPr>
          <w:rtl w:val="0"/>
        </w:rPr>
        <w:t xml:space="preserve">; an unresolved obligation reference raises warning code </w:t>
      </w:r>
      <w:r w:rsidDel="00000000" w:rsidR="00000000" w:rsidRPr="00000000">
        <w:rPr>
          <w:rFonts w:ascii="Roboto Mono" w:cs="Roboto Mono" w:eastAsia="Roboto Mono" w:hAnsi="Roboto Mono"/>
          <w:color w:val="188038"/>
          <w:rtl w:val="0"/>
        </w:rPr>
        <w:t xml:space="preserve">WC-01</w:t>
      </w:r>
      <w:r w:rsidDel="00000000" w:rsidR="00000000" w:rsidRPr="00000000">
        <w:rPr>
          <w:rtl w:val="0"/>
        </w:rPr>
        <w:t xml:space="preserve"> (an unresolved reference is not simultaneously a successful compilation and a rejection, so it is a warning, not a disposition). Rows are never silently narrowed into something enforceable-but-different. A non-runtime disposition is not a defect of the method — it is the method correctly reporting that a requirement belongs to a different control family than runtime authorization. Reason and warning codes are closed at schema v1.0; extension is a schema-version event.</w:t>
      </w:r>
    </w:p>
    <w:p w:rsidR="00000000" w:rsidDel="00000000" w:rsidP="00000000" w:rsidRDefault="00000000" w:rsidRPr="00000000" ns1:paraId="0000007D">
      <w:pPr>
        <w:numPr>
          <w:ilvl w:val="0"/>
          <w:numId w:val="1"/>
        </w:numPr>
        <w:spacing w:after="240" w:before="0" w:beforeAutospacing="0" w:lineRule="auto"/>
        <w:ind w:left="720" w:hanging="360"/>
      </w:pPr>
      <w:r w:rsidDel="00000000" w:rsidR="00000000" w:rsidRPr="00000000">
        <w:rPr>
          <w:b w:val="1"/>
          <w:bCs w:val="1"/>
          <w:rtl w:val="0"/>
        </w:rPr>
        <w:t xml:space="preserve">The hashed payload is immutable — lifecycle state lives outside it.</w:t>
      </w:r>
      <w:r w:rsidDel="00000000" w:rsidR="00000000" w:rsidRPr="00000000">
        <w:rPr>
          <w:rtl w:val="0"/>
        </w:rPr>
        <w:t xml:space="preserve"> No field of a compiled record or bundle payload may change after signing. Retirement and supersession are represented as separately signed records in the lifecycle registry (Section VI-F), never as mutation of a </w:t>
      </w:r>
      <w:r w:rsidDel="00000000" w:rsidR="00000000" w:rsidRPr="00000000">
        <w:rPr>
          <w:rFonts w:ascii="Roboto Mono" w:cs="Roboto Mono" w:eastAsia="Roboto Mono" w:hAnsi="Roboto Mono"/>
          <w:color w:val="188038"/>
          <w:rtl w:val="0"/>
        </w:rPr>
        <w:t xml:space="preserve">retired_at</w:t>
      </w:r>
      <w:r w:rsidDel="00000000" w:rsidR="00000000" w:rsidRPr="00000000">
        <w:rPr>
          <w:rtl w:val="0"/>
        </w:rPr>
        <w:t xml:space="preserve"> or any other payload field; a payload that begins with a null lifecycle field and is later edited would change the bundle hash and break every receipt that cites it.</w:t>
      </w:r>
    </w:p>
    <w:p w:rsidR="00000000" w:rsidDel="00000000" w:rsidP="00000000" w:rsidRDefault="00000000" w:rsidRPr="00000000" ns1:paraId="0000007E">
      <w:pPr>
        <w:spacing w:after="240" w:before="240" w:lineRule="auto"/>
        <w:rPr/>
      </w:pPr>
      <w:r w:rsidDel="00000000" w:rsidR="00000000" w:rsidRPr="00000000">
        <w:rPr>
          <w:rtl w:val="0"/>
        </w:rPr>
        <w:t xml:space="preserve">Full normative schema requirements in Appendix A.</w:t>
      </w:r>
    </w:p>
    <w:p w:rsidR="00000000" w:rsidDel="00000000" w:rsidP="00000000" w:rsidRDefault="00000000" w:rsidRPr="00000000" ns1:paraId="0000007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80">
      <w:pPr>
        <w:pStyle w:val="Heading2"/>
        <w:keepNext w:val="0"/>
        <w:keepLines w:val="0"/>
        <w:spacing w:after="80" w:lineRule="auto"/>
        <w:rPr>
          <w:b w:val="1"/>
          <w:bCs w:val="1"/>
          <w:sz w:val="34"/>
          <w:szCs w:val="34"/>
        </w:rPr>
      </w:pPr>
      <w:bookmarkStart w:colFirst="0" w:colLast="0" w:name="_34x6xvb1cgr3" w:id="18"/>
      <w:bookmarkEnd w:id="18"/>
      <w:r w:rsidDel="00000000" w:rsidR="00000000" w:rsidRPr="00000000">
        <w:rPr>
          <w:b w:val="1"/>
          <w:bCs w:val="1"/>
          <w:sz w:val="34"/>
          <w:szCs w:val="34"/>
          <w:rtl w:val="0"/>
        </w:rPr>
        <w:t xml:space="preserve">VI. DETERMINISTIC COMPILATION AND BUNDLE SEMANTICS</w:t>
      </w:r>
    </w:p>
    <w:p w:rsidR="00000000" w:rsidDel="00000000" w:rsidP="00000000" w:rsidRDefault="00000000" w:rsidRPr="00000000" ns1:paraId="00000081">
      <w:pPr>
        <w:pStyle w:val="Heading3"/>
        <w:keepNext w:val="0"/>
        <w:keepLines w:val="0"/>
        <w:spacing w:before="280" w:lineRule="auto"/>
        <w:rPr>
          <w:b w:val="1"/>
          <w:bCs w:val="1"/>
          <w:color w:val="000000"/>
          <w:sz w:val="26"/>
          <w:szCs w:val="26"/>
        </w:rPr>
      </w:pPr>
      <w:bookmarkStart w:colFirst="0" w:colLast="0" w:name="_nvrjd6yj9dxz" w:id="19"/>
      <w:bookmarkEnd w:id="19"/>
      <w:r w:rsidDel="00000000" w:rsidR="00000000" w:rsidRPr="00000000">
        <w:rPr>
          <w:b w:val="1"/>
          <w:bCs w:val="1"/>
          <w:color w:val="000000"/>
          <w:sz w:val="26"/>
          <w:szCs w:val="26"/>
          <w:rtl w:val="0"/>
        </w:rPr>
        <w:t xml:space="preserve">A. Compiler Definition</w:t>
      </w:r>
    </w:p>
    <w:p w:rsidR="00000000" w:rsidDel="00000000" w:rsidP="00000000" w:rsidRDefault="00000000" w:rsidRPr="00000000" ns1:paraId="00000082">
      <w:pPr>
        <w:spacing w:after="240" w:before="240" w:lineRule="auto"/>
        <w:rPr/>
      </w:pPr>
      <w:r w:rsidDel="00000000" w:rsidR="00000000" w:rsidRPr="00000000">
        <w:rPr>
          <w:rtl w:val="0"/>
        </w:rPr>
        <w:t xml:space="preserve">For approved inputs, Φ performs no natural-language inference. It validates references, resolves catalog templates, instantiates predicates, applies the gate coverage rule, records dispositions, and emits a canonical payload. For each d_ij, Φ shall:</w:t>
      </w:r>
    </w:p>
    <w:p w:rsidR="00000000" w:rsidDel="00000000" w:rsidP="00000000" w:rsidRDefault="00000000" w:rsidRPr="00000000" ns1:paraId="00000083">
      <w:pPr>
        <w:numPr>
          <w:ilvl w:val="0"/>
          <w:numId w:val="3"/>
        </w:numPr>
        <w:spacing w:after="0" w:afterAutospacing="0" w:before="240" w:lineRule="auto"/>
        <w:ind w:left="720" w:hanging="360"/>
      </w:pPr>
      <w:r w:rsidDel="00000000" w:rsidR="00000000" w:rsidRPr="00000000">
        <w:rPr>
          <w:rtl w:val="0"/>
        </w:rPr>
        <w:t xml:space="preserve">Verify the signatures and version bindings of M, S, O, R, A, K, D, and Δ.</w:t>
      </w:r>
    </w:p>
    <w:p w:rsidR="00000000" w:rsidDel="00000000" w:rsidP="00000000" w:rsidRDefault="00000000" w:rsidRPr="00000000" ns1:paraId="00000084">
      <w:pPr>
        <w:numPr>
          <w:ilvl w:val="0"/>
          <w:numId w:val="3"/>
        </w:numPr>
        <w:spacing w:after="0" w:afterAutospacing="0" w:before="0" w:beforeAutospacing="0" w:lineRule="auto"/>
        <w:ind w:left="720" w:hanging="360"/>
      </w:pPr>
      <w:r w:rsidDel="00000000" w:rsidR="00000000" w:rsidRPr="00000000">
        <w:rPr>
          <w:rtl w:val="0"/>
        </w:rPr>
        <w:t xml:space="preserve">Resolve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to exactly one approved catalog template.</w:t>
      </w:r>
    </w:p>
    <w:p w:rsidR="00000000" w:rsidDel="00000000" w:rsidP="00000000" w:rsidRDefault="00000000" w:rsidRPr="00000000" ns1:paraId="00000085">
      <w:pPr>
        <w:numPr>
          <w:ilvl w:val="0"/>
          <w:numId w:val="3"/>
        </w:numPr>
        <w:spacing w:after="0" w:afterAutospacing="0" w:before="0" w:beforeAutospacing="0" w:lineRule="auto"/>
        <w:ind w:left="720" w:hanging="360"/>
      </w:pPr>
      <w:r w:rsidDel="00000000" w:rsidR="00000000" w:rsidRPr="00000000">
        <w:rPr>
          <w:rtl w:val="0"/>
        </w:rPr>
        <w:t xml:space="preserve">Resolve (subject, action, resource, destination) against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w:t>
      </w:r>
    </w:p>
    <w:p w:rsidR="00000000" w:rsidDel="00000000" w:rsidP="00000000" w:rsidRDefault="00000000" w:rsidRPr="00000000" ns1:paraId="00000086">
      <w:pPr>
        <w:numPr>
          <w:ilvl w:val="0"/>
          <w:numId w:val="3"/>
        </w:numPr>
        <w:spacing w:after="0" w:afterAutospacing="0" w:before="0" w:beforeAutospacing="0" w:lineRule="auto"/>
        <w:ind w:left="720" w:hanging="360"/>
      </w:pPr>
      <w:r w:rsidDel="00000000" w:rsidR="00000000" w:rsidRPr="00000000">
        <w:rPr>
          <w:rtl w:val="0"/>
        </w:rPr>
        <w:t xml:space="preserve">Validate action parameters against </w:t>
      </w:r>
      <w:r w:rsidDel="00000000" w:rsidR="00000000" w:rsidRPr="00000000">
        <w:rPr>
          <w:rFonts w:ascii="Roboto Mono" w:cs="Roboto Mono" w:eastAsia="Roboto Mono" w:hAnsi="Roboto Mono"/>
          <w:color w:val="188038"/>
          <w:rtl w:val="0"/>
        </w:rPr>
        <w:t xml:space="preserve">parameter_schema</w:t>
      </w:r>
      <w:r w:rsidDel="00000000" w:rsidR="00000000" w:rsidRPr="00000000">
        <w:rPr>
          <w:rtl w:val="0"/>
        </w:rPr>
        <w:t xml:space="preserve">.</w:t>
      </w:r>
    </w:p>
    <w:p w:rsidR="00000000" w:rsidDel="00000000" w:rsidP="00000000" w:rsidRDefault="00000000" w:rsidRPr="00000000" ns1:paraId="00000087">
      <w:pPr>
        <w:numPr>
          <w:ilvl w:val="0"/>
          <w:numId w:val="3"/>
        </w:numPr>
        <w:spacing w:after="0" w:afterAutospacing="0" w:before="0" w:beforeAutospacing="0" w:lineRule="auto"/>
        <w:ind w:left="720" w:hanging="360"/>
      </w:pPr>
      <w:r w:rsidDel="00000000" w:rsidR="00000000" w:rsidRPr="00000000">
        <w:rPr>
          <w:rtl w:val="0"/>
        </w:rPr>
        <w:t xml:space="preserve">Validate evidence type and producer against the selected catalog entry.</w:t>
      </w:r>
    </w:p>
    <w:p w:rsidR="00000000" w:rsidDel="00000000" w:rsidP="00000000" w:rsidRDefault="00000000" w:rsidRPr="00000000" ns1:paraId="00000088">
      <w:pPr>
        <w:numPr>
          <w:ilvl w:val="0"/>
          <w:numId w:val="3"/>
        </w:numPr>
        <w:spacing w:after="0" w:afterAutospacing="0" w:before="0" w:beforeAutospacing="0" w:lineRule="auto"/>
        <w:ind w:left="720" w:hanging="360"/>
      </w:pPr>
      <w:r w:rsidDel="00000000" w:rsidR="00000000" w:rsidRPr="00000000">
        <w:rPr>
          <w:rtl w:val="0"/>
        </w:rPr>
        <w:t xml:space="preserve">Require a threshold contract for every numeric or temporal condition.</w:t>
      </w:r>
    </w:p>
    <w:p w:rsidR="00000000" w:rsidDel="00000000" w:rsidP="00000000" w:rsidRDefault="00000000" w:rsidRPr="00000000" ns1:paraId="00000089">
      <w:pPr>
        <w:numPr>
          <w:ilvl w:val="0"/>
          <w:numId w:val="3"/>
        </w:numPr>
        <w:spacing w:after="0" w:afterAutospacing="0" w:before="0" w:beforeAutospacing="0" w:lineRule="auto"/>
        <w:ind w:left="720" w:hanging="360"/>
      </w:pPr>
      <w:r w:rsidDel="00000000" w:rsidR="00000000" w:rsidRPr="00000000">
        <w:rPr>
          <w:rtl w:val="0"/>
        </w:rPr>
        <w:t xml:space="preserve">Assign the gate source and gate type under Section VII.</w:t>
      </w:r>
    </w:p>
    <w:p w:rsidR="00000000" w:rsidDel="00000000" w:rsidP="00000000" w:rsidRDefault="00000000" w:rsidRPr="00000000" ns1:paraId="0000008A">
      <w:pPr>
        <w:numPr>
          <w:ilvl w:val="0"/>
          <w:numId w:val="3"/>
        </w:numPr>
        <w:spacing w:after="0" w:afterAutospacing="0" w:before="0" w:beforeAutospacing="0" w:lineRule="auto"/>
        <w:ind w:left="720" w:hanging="360"/>
      </w:pPr>
      <w:r w:rsidDel="00000000" w:rsidR="00000000" w:rsidRPr="00000000">
        <w:rPr>
          <w:rtl w:val="0"/>
        </w:rPr>
        <w:t xml:space="preserve">Require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 for mandatory gates.</w:t>
      </w:r>
    </w:p>
    <w:p w:rsidR="00000000" w:rsidDel="00000000" w:rsidP="00000000" w:rsidRDefault="00000000" w:rsidRPr="00000000" ns1:paraId="0000008B">
      <w:pPr>
        <w:numPr>
          <w:ilvl w:val="0"/>
          <w:numId w:val="3"/>
        </w:numPr>
        <w:spacing w:after="0" w:afterAutospacing="0" w:before="0" w:beforeAutospacing="0" w:lineRule="auto"/>
        <w:ind w:left="720" w:hanging="360"/>
      </w:pPr>
      <w:r w:rsidDel="00000000" w:rsidR="00000000" w:rsidRPr="00000000">
        <w:rPr>
          <w:rtl w:val="0"/>
        </w:rPr>
        <w:t xml:space="preserve">Bind escalation, evidence, and validity requirements.</w:t>
      </w:r>
    </w:p>
    <w:p w:rsidR="00000000" w:rsidDel="00000000" w:rsidP="00000000" w:rsidRDefault="00000000" w:rsidRPr="00000000" ns1:paraId="0000008C">
      <w:pPr>
        <w:numPr>
          <w:ilvl w:val="0"/>
          <w:numId w:val="3"/>
        </w:numPr>
        <w:spacing w:after="240" w:before="0" w:beforeAutospacing="0" w:lineRule="auto"/>
        <w:ind w:left="720" w:hanging="360"/>
      </w:pPr>
      <w:r w:rsidDel="00000000" w:rsidR="00000000" w:rsidRPr="00000000">
        <w:rPr>
          <w:rtl w:val="0"/>
        </w:rPr>
        <w:t xml:space="preserve">Emit the predicate and its authorized origin.</w:t>
      </w:r>
    </w:p>
    <w:p w:rsidR="00000000" w:rsidDel="00000000" w:rsidP="00000000" w:rsidRDefault="00000000" w:rsidRPr="00000000" ns1:paraId="0000008D">
      <w:pPr>
        <w:spacing w:after="240" w:before="240" w:lineRule="auto"/>
        <w:rPr/>
      </w:pPr>
      <w:r w:rsidDel="00000000" w:rsidR="00000000" w:rsidRPr="00000000">
        <w:rPr>
          <w:rtl w:val="0"/>
        </w:rPr>
        <w:t xml:space="preserve">At bundle level, Φ additionally verifies the </w:t>
      </w:r>
      <w:r w:rsidDel="00000000" w:rsidR="00000000" w:rsidRPr="00000000">
        <w:rPr>
          <w:b w:val="1"/>
          <w:bCs w:val="1"/>
          <w:rtl w:val="0"/>
        </w:rPr>
        <w:t xml:space="preserve">C* coverage requirement</w:t>
      </w:r>
      <w:r w:rsidDel="00000000" w:rsidR="00000000" w:rsidRPr="00000000">
        <w:rPr>
          <w:rtl w:val="0"/>
        </w:rPr>
        <w:t xml:space="preserve"> (Section VII-A) — every risk with C*(cᵢ) = 1 must have at least one mandatory gate, or mandatory gate set, covering each of its authorized hazardous action paths — and rejects any bundle in which coverage fails. No best-match, similarity, or probabilistic rule selection is permitted inside Φ.</w:t>
      </w:r>
    </w:p>
    <w:p w:rsidR="00000000" w:rsidDel="00000000" w:rsidP="00000000" w:rsidRDefault="00000000" w:rsidRPr="00000000" ns1:paraId="0000008E">
      <w:pPr>
        <w:pStyle w:val="Heading3"/>
        <w:keepNext w:val="0"/>
        <w:keepLines w:val="0"/>
        <w:spacing w:before="280" w:lineRule="auto"/>
        <w:rPr>
          <w:b w:val="1"/>
          <w:bCs w:val="1"/>
          <w:color w:val="000000"/>
          <w:sz w:val="26"/>
          <w:szCs w:val="26"/>
        </w:rPr>
      </w:pPr>
      <w:bookmarkStart w:colFirst="0" w:colLast="0" w:name="_fbv2r0vrnu5f" w:id="20"/>
      <w:bookmarkEnd w:id="20"/>
      <w:r w:rsidDel="00000000" w:rsidR="00000000" w:rsidRPr="00000000">
        <w:rPr>
          <w:b w:val="1"/>
          <w:bCs w:val="1"/>
          <w:color w:val="000000"/>
          <w:sz w:val="26"/>
          <w:szCs w:val="26"/>
          <w:rtl w:val="0"/>
        </w:rPr>
        <w:t xml:space="preserve">B. Predicate Origins and Compiler Invariants</w:t>
      </w:r>
    </w:p>
    <w:p w:rsidR="00000000" w:rsidDel="00000000" w:rsidP="00000000" w:rsidRDefault="00000000" w:rsidRPr="00000000" ns1:paraId="0000008F">
      <w:pPr>
        <w:spacing w:after="240" w:before="240" w:lineRule="auto"/>
        <w:rPr/>
      </w:pPr>
      <w:r w:rsidDel="00000000" w:rsidR="00000000" w:rsidRPr="00000000">
        <w:rPr>
          <w:rtl w:val="0"/>
        </w:rPr>
        <w:t xml:space="preserve">Every emitted predicate carries </w:t>
      </w:r>
      <w:r w:rsidDel="00000000" w:rsidR="00000000" w:rsidRPr="00000000">
        <w:rPr>
          <w:rFonts w:ascii="Nova Mono" w:cs="Nova Mono" w:eastAsia="Nova Mono" w:hAnsi="Nova Mono"/>
          <w:color w:val="188038"/>
          <w:rtl w:val="0"/>
        </w:rPr>
        <w:t xml:space="preserve">origin_type ∈ {risk_derived, compiler_invariant}</w:t>
      </w:r>
      <w:r w:rsidDel="00000000" w:rsidR="00000000" w:rsidRPr="00000000">
        <w:rPr>
          <w:rtl w:val="0"/>
        </w:rPr>
        <w:t xml:space="preserve">. A risk-derived predicate cites its </w:t>
      </w:r>
      <w:r w:rsidDel="00000000" w:rsidR="00000000" w:rsidRPr="00000000">
        <w:rPr>
          <w:rFonts w:ascii="Roboto Mono" w:cs="Roboto Mono" w:eastAsia="Roboto Mono" w:hAnsi="Roboto Mono"/>
          <w:color w:val="188038"/>
          <w:rtl w:val="0"/>
        </w:rPr>
        <w:t xml:space="preserve">risk_id</w:t>
      </w:r>
      <w:r w:rsidDel="00000000" w:rsidR="00000000" w:rsidRPr="00000000">
        <w:rPr>
          <w:rtl w:val="0"/>
        </w:rPr>
        <w:t xml:space="preserve"> and Approved Control Specification. A compiler-invariant predicate cites an approved system requirement such as INV-VERSION (per-action version-binding check), INV-EVIDENCE-COMMIT (receipt committed after authorization and before actuation), or INV-AUTHORITY-CLOSURE (action tuple within the approved matrix). Compiler invariants are not orphan controls; they are separately authorized requirements included in M or S and recorded in the approved invariant register INV. The traceability requirement is:</w:t>
      </w:r>
    </w:p>
    <w:p w:rsidR="00000000" w:rsidDel="00000000" w:rsidP="00000000" w:rsidRDefault="00000000" w:rsidRPr="00000000" ns1:paraId="00000090">
      <w:pPr>
        <w:spacing w:after="240" w:before="240" w:lineRule="auto"/>
        <w:rPr/>
      </w:pPr>
      <w:r w:rsidDel="00000000" w:rsidR="00000000" w:rsidRPr="00000000">
        <w:rPr>
          <w:rFonts w:ascii="Arial Unicode MS" w:cs="Arial Unicode MS" w:eastAsia="Arial Unicode MS" w:hAnsi="Arial Unicode MS"/>
          <w:rtl w:val="0"/>
        </w:rPr>
        <w:t xml:space="preserve">∀ p ∈ P, origin(p) ∈ R ∪ INV.</w:t>
      </w:r>
    </w:p>
    <w:p w:rsidR="00000000" w:rsidDel="00000000" w:rsidP="00000000" w:rsidRDefault="00000000" w:rsidRPr="00000000" ns1:paraId="00000091">
      <w:pPr>
        <w:pStyle w:val="Heading3"/>
        <w:keepNext w:val="0"/>
        <w:keepLines w:val="0"/>
        <w:spacing w:before="280" w:lineRule="auto"/>
        <w:rPr>
          <w:b w:val="1"/>
          <w:bCs w:val="1"/>
          <w:color w:val="000000"/>
          <w:sz w:val="26"/>
          <w:szCs w:val="26"/>
        </w:rPr>
      </w:pPr>
      <w:bookmarkStart w:colFirst="0" w:colLast="0" w:name="_9lxg7nkqweu7" w:id="21"/>
      <w:bookmarkEnd w:id="21"/>
      <w:r w:rsidDel="00000000" w:rsidR="00000000" w:rsidRPr="00000000">
        <w:rPr>
          <w:b w:val="1"/>
          <w:bCs w:val="1"/>
          <w:color w:val="000000"/>
          <w:sz w:val="26"/>
          <w:szCs w:val="26"/>
          <w:rtl w:val="0"/>
        </w:rPr>
        <w:t xml:space="preserve">C. Canonicalization and Determinism</w:t>
      </w:r>
    </w:p>
    <w:p w:rsidR="00000000" w:rsidDel="00000000" w:rsidP="00000000" w:rsidRDefault="00000000" w:rsidRPr="00000000" ns1:paraId="00000092">
      <w:pPr>
        <w:spacing w:after="240" w:before="240" w:lineRule="auto"/>
        <w:rPr/>
      </w:pPr>
      <w:r w:rsidDel="00000000" w:rsidR="00000000" w:rsidRPr="00000000">
        <w:rPr>
          <w:rtl w:val="0"/>
        </w:rPr>
        <w:t xml:space="preserve">Canonical payload serialization follows a declared canonicalization standard — RFC 8785 JSON Canonicalization Scheme [24] — with UTF-8 encoding; canonical object-key ordering; deterministic array ordering where order is not semantically meaningful; explicit numeric representations; explicit units; no local time, locale, or floating-point-environment dependencies; no timestamp or random nonce inside the hashed payload; and </w:t>
      </w:r>
      <w:r w:rsidDel="00000000" w:rsidR="00000000" w:rsidRPr="00000000">
        <w:rPr>
          <w:b w:val="1"/>
          <w:bCs w:val="1"/>
          <w:rtl w:val="0"/>
        </w:rPr>
        <w:t xml:space="preserve">no mutable lifecycle field inside the hashed payload</w:t>
      </w:r>
      <w:r w:rsidDel="00000000" w:rsidR="00000000" w:rsidRPr="00000000">
        <w:rPr>
          <w:rtl w:val="0"/>
        </w:rPr>
        <w:t xml:space="preserve"> (Section VI-F).</w:t>
      </w:r>
    </w:p>
    <w:p w:rsidR="00000000" w:rsidDel="00000000" w:rsidP="00000000" w:rsidRDefault="00000000" w:rsidRPr="00000000" ns1:paraId="00000093">
      <w:pPr>
        <w:spacing w:after="240" w:before="240" w:lineRule="auto"/>
        <w:rPr/>
      </w:pPr>
      <w:r w:rsidDel="00000000" w:rsidR="00000000" w:rsidRPr="00000000">
        <w:rPr>
          <w:rtl w:val="0"/>
        </w:rPr>
        <w:t xml:space="preserve">Let C(x) be canonical serialization and H be SHA-256. Translation determinism for supported execution environments e, e′ and any semantics-preserving input permutation π is:</w:t>
      </w:r>
    </w:p>
    <w:p w:rsidR="00000000" w:rsidDel="00000000" w:rsidP="00000000" w:rsidRDefault="00000000" w:rsidRPr="00000000" ns1:paraId="00000094">
      <w:pPr>
        <w:spacing w:after="240" w:before="240" w:lineRule="auto"/>
        <w:rPr/>
      </w:pPr>
      <w:r w:rsidDel="00000000" w:rsidR="00000000" w:rsidRPr="00000000">
        <w:rPr>
          <w:rtl w:val="0"/>
        </w:rPr>
        <w:t xml:space="preserve">TD(x) = 𝟙[ H(C(Φ_e(x))) = H(C(Φ_e′(π(x)))) ].</w:t>
      </w:r>
    </w:p>
    <w:p w:rsidR="00000000" w:rsidDel="00000000" w:rsidP="00000000" w:rsidRDefault="00000000" w:rsidRPr="00000000" ns1:paraId="00000095">
      <w:pPr>
        <w:spacing w:after="240" w:before="240" w:lineRule="auto"/>
        <w:rPr/>
      </w:pPr>
      <w:r w:rsidDel="00000000" w:rsidR="00000000" w:rsidRPr="00000000">
        <w:rPr>
          <w:rtl w:val="0"/>
        </w:rPr>
        <w:t xml:space="preserve">TD applies to the canonical payload hash. The signature envelope may include signing time, key identifier, and certificate material and therefore is not required to be byte-identical across signing events.</w:t>
      </w:r>
    </w:p>
    <w:p w:rsidR="00000000" w:rsidDel="00000000" w:rsidP="00000000" w:rsidRDefault="00000000" w:rsidRPr="00000000" ns1:paraId="00000096">
      <w:pPr>
        <w:pStyle w:val="Heading3"/>
        <w:keepNext w:val="0"/>
        <w:keepLines w:val="0"/>
        <w:spacing w:before="280" w:lineRule="auto"/>
        <w:rPr>
          <w:b w:val="1"/>
          <w:bCs w:val="1"/>
          <w:color w:val="000000"/>
          <w:sz w:val="26"/>
          <w:szCs w:val="26"/>
        </w:rPr>
      </w:pPr>
      <w:bookmarkStart w:colFirst="0" w:colLast="0" w:name="_otizq521r1dk" w:id="22"/>
      <w:bookmarkEnd w:id="22"/>
      <w:r w:rsidDel="00000000" w:rsidR="00000000" w:rsidRPr="00000000">
        <w:rPr>
          <w:b w:val="1"/>
          <w:bCs w:val="1"/>
          <w:color w:val="000000"/>
          <w:sz w:val="26"/>
          <w:szCs w:val="26"/>
          <w:rtl w:val="0"/>
        </w:rPr>
        <w:t xml:space="preserve">D. Policy Conflict and Precedence</w:t>
      </w:r>
    </w:p>
    <w:p w:rsidR="00000000" w:rsidDel="00000000" w:rsidP="00000000" w:rsidRDefault="00000000" w:rsidRPr="00000000" ns1:paraId="00000097">
      <w:pPr>
        <w:spacing w:after="240" w:before="240" w:lineRule="auto"/>
        <w:rPr/>
      </w:pPr>
      <w:r w:rsidDel="00000000" w:rsidR="00000000" w:rsidRPr="00000000">
        <w:rPr>
          <w:rtl w:val="0"/>
        </w:rPr>
        <w:t xml:space="preserve">Overlapping predicates are resolved through an explicit precedence relation:</w:t>
      </w:r>
    </w:p>
    <w:p w:rsidR="00000000" w:rsidDel="00000000" w:rsidP="00000000" w:rsidRDefault="00000000" w:rsidRPr="00000000" ns1:paraId="00000098">
      <w:pPr>
        <w:spacing w:after="240" w:before="240" w:lineRule="auto"/>
        <w:rPr/>
      </w:pPr>
      <w:r w:rsidDel="00000000" w:rsidR="00000000" w:rsidRPr="00000000">
        <w:rPr>
          <w:rFonts w:ascii="Arial Unicode MS" w:cs="Arial Unicode MS" w:eastAsia="Arial Unicode MS" w:hAnsi="Arial Unicode MS"/>
          <w:rtl w:val="0"/>
        </w:rPr>
        <w:t xml:space="preserve">mandatory failure ≻ mandatory pass ≻ weighted/advisory result.</w:t>
      </w:r>
    </w:p>
    <w:p w:rsidR="00000000" w:rsidDel="00000000" w:rsidP="00000000" w:rsidRDefault="00000000" w:rsidRPr="00000000" ns1:paraId="00000099">
      <w:pPr>
        <w:spacing w:after="240" w:before="240" w:lineRule="auto"/>
        <w:rPr/>
      </w:pPr>
      <w:r w:rsidDel="00000000" w:rsidR="00000000" w:rsidRPr="00000000">
        <w:rPr>
          <w:rtl w:val="0"/>
        </w:rPr>
        <w:t xml:space="preserve">No weighted or advisory result may override a mandatory failure. Conflicts among applicable mandatory policies are themselves indeterminate and produce SAFE_STATE unless a unique precedence relation is present in the approved policy metadata.</w:t>
      </w:r>
    </w:p>
    <w:p w:rsidR="00000000" w:rsidDel="00000000" w:rsidP="00000000" w:rsidRDefault="00000000" w:rsidRPr="00000000" ns1:paraId="0000009A">
      <w:pPr>
        <w:pStyle w:val="Heading3"/>
        <w:keepNext w:val="0"/>
        <w:keepLines w:val="0"/>
        <w:spacing w:before="280" w:lineRule="auto"/>
        <w:rPr>
          <w:b w:val="1"/>
          <w:bCs w:val="1"/>
          <w:color w:val="000000"/>
          <w:sz w:val="26"/>
          <w:szCs w:val="26"/>
        </w:rPr>
      </w:pPr>
      <w:bookmarkStart w:colFirst="0" w:colLast="0" w:name="_2ds8u4adn89v" w:id="23"/>
      <w:bookmarkEnd w:id="23"/>
      <w:r w:rsidDel="00000000" w:rsidR="00000000" w:rsidRPr="00000000">
        <w:rPr>
          <w:b w:val="1"/>
          <w:bCs w:val="1"/>
          <w:color w:val="000000"/>
          <w:sz w:val="26"/>
          <w:szCs w:val="26"/>
          <w:rtl w:val="0"/>
        </w:rPr>
        <w:t xml:space="preserve">E. Totality Assertion</w:t>
      </w:r>
    </w:p>
    <w:p w:rsidR="00000000" w:rsidDel="00000000" w:rsidP="00000000" w:rsidRDefault="00000000" w:rsidRPr="00000000" ns1:paraId="0000009B">
      <w:pPr>
        <w:spacing w:after="240" w:before="240" w:lineRule="auto"/>
        <w:rPr/>
      </w:pPr>
      <w:r w:rsidDel="00000000" w:rsidR="00000000" w:rsidRPr="00000000">
        <w:rPr>
          <w:rFonts w:ascii="Cardo" w:cs="Cardo" w:eastAsia="Cardo" w:hAnsi="Cardo"/>
          <w:rtl w:val="0"/>
        </w:rPr>
        <w:t xml:space="preserve">The implementation shall assert |{Δᵢ : rᵢ ∈ R}| = |R| and ∀ rᵢ ∈ R, |Δ(rᵢ)| = 1. It shall </w:t>
      </w:r>
      <w:r w:rsidDel="00000000" w:rsidR="00000000" w:rsidRPr="00000000">
        <w:rPr>
          <w:b w:val="1"/>
          <w:bCs w:val="1"/>
          <w:rtl w:val="0"/>
        </w:rPr>
        <w:t xml:space="preserve">not</w:t>
      </w:r>
      <w:r w:rsidDel="00000000" w:rsidR="00000000" w:rsidRPr="00000000">
        <w:rPr>
          <w:rtl w:val="0"/>
        </w:rPr>
        <w:t xml:space="preserve"> assert |P| + |X| = |R|, because one risk may lawfully produce multiple predicates (and compiler invariants produce predicates with no register parent at all — lawfully, via INV).</w:t>
      </w:r>
    </w:p>
    <w:p w:rsidR="00000000" w:rsidDel="00000000" w:rsidP="00000000" w:rsidRDefault="00000000" w:rsidRPr="00000000" ns1:paraId="0000009C">
      <w:pPr>
        <w:pStyle w:val="Heading3"/>
        <w:keepNext w:val="0"/>
        <w:keepLines w:val="0"/>
        <w:spacing w:before="280" w:lineRule="auto"/>
        <w:rPr>
          <w:b w:val="1"/>
          <w:bCs w:val="1"/>
          <w:color w:val="000000"/>
          <w:sz w:val="26"/>
          <w:szCs w:val="26"/>
        </w:rPr>
      </w:pPr>
      <w:bookmarkStart w:colFirst="0" w:colLast="0" w:name="_8mjvywrengsg" w:id="24"/>
      <w:bookmarkEnd w:id="24"/>
      <w:r w:rsidDel="00000000" w:rsidR="00000000" w:rsidRPr="00000000">
        <w:rPr>
          <w:b w:val="1"/>
          <w:bCs w:val="1"/>
          <w:color w:val="000000"/>
          <w:sz w:val="26"/>
          <w:szCs w:val="26"/>
          <w:rtl w:val="0"/>
        </w:rPr>
        <w:t xml:space="preserve">F. Bundle Lifecycle, Immutability, and the Runtime Acceptance Condition</w:t>
      </w:r>
    </w:p>
    <w:p w:rsidR="00000000" w:rsidDel="00000000" w:rsidP="00000000" w:rsidRDefault="00000000" w:rsidRPr="00000000" ns1:paraId="0000009D">
      <w:pPr>
        <w:spacing w:after="240" w:before="240" w:lineRule="auto"/>
        <w:rPr/>
      </w:pPr>
      <w:r w:rsidDel="00000000" w:rsidR="00000000" w:rsidRPr="00000000">
        <w:rPr>
          <w:rtl w:val="0"/>
        </w:rPr>
        <w:t xml:space="preserve">The bundle payload is </w:t>
      </w:r>
      <w:r w:rsidDel="00000000" w:rsidR="00000000" w:rsidRPr="00000000">
        <w:rPr>
          <w:b w:val="1"/>
          <w:bCs w:val="1"/>
          <w:rtl w:val="0"/>
        </w:rPr>
        <w:t xml:space="preserve">immutable after signing</w:t>
      </w:r>
      <w:r w:rsidDel="00000000" w:rsidR="00000000" w:rsidRPr="00000000">
        <w:rPr>
          <w:rtl w:val="0"/>
        </w:rPr>
        <w:t xml:space="preserve">. Retirement, supersession, and emergency revocation are represented by separately signed records in a </w:t>
      </w:r>
      <w:r w:rsidDel="00000000" w:rsidR="00000000" w:rsidRPr="00000000">
        <w:rPr>
          <w:b w:val="1"/>
          <w:bCs w:val="1"/>
          <w:rtl w:val="0"/>
        </w:rPr>
        <w:t xml:space="preserve">lifecycle registry</w:t>
      </w:r>
      <w:r w:rsidDel="00000000" w:rsidR="00000000" w:rsidRPr="00000000">
        <w:rPr>
          <w:rtl w:val="0"/>
        </w:rPr>
        <w:t xml:space="preserve"> REG:</w:t>
      </w:r>
    </w:p>
    <w:p w:rsidR="00000000" w:rsidDel="00000000" w:rsidP="00000000" w:rsidRDefault="00000000" w:rsidRPr="00000000" ns1:paraId="0000009E">
      <w:pPr>
        <w:spacing w:after="240" w:before="240" w:lineRule="auto"/>
        <w:rPr/>
      </w:pPr>
      <w:r w:rsidDel="00000000" w:rsidR="00000000" w:rsidRPr="00000000">
        <w:rPr>
          <w:rFonts w:ascii="Arial Unicode MS" w:cs="Arial Unicode MS" w:eastAsia="Arial Unicode MS" w:hAnsi="Arial Unicode MS"/>
          <w:rtl w:val="0"/>
        </w:rPr>
        <w:t xml:space="preserve">reg_entry = (bundle_hash, action ∈ {retire, supersede, revoke}, effective_time, authority, successor_hash?, signature)</w:t>
      </w:r>
    </w:p>
    <w:p w:rsidR="00000000" w:rsidDel="00000000" w:rsidP="00000000" w:rsidRDefault="00000000" w:rsidRPr="00000000" ns1:paraId="0000009F">
      <w:pPr>
        <w:spacing w:after="240" w:before="240" w:lineRule="auto"/>
        <w:rPr/>
      </w:pPr>
      <w:r w:rsidDel="00000000" w:rsidR="00000000" w:rsidRPr="00000000">
        <w:rPr>
          <w:rtl w:val="0"/>
        </w:rPr>
        <w:t xml:space="preserve">— never by mutating the payload. Validity at a time t is therefore a joint check of the payload hash and the registry (Section VIII): a bundle whose payload hash verifies but which REG retires before t is invalid at t, and a bundle mutated in place fails the hash check outright. This matches the immutability discipline of the consuming enforcement layer, whose hash-chained evidence records likewise never mutate committed state [15]; a trigger event of </w:t>
      </w:r>
      <w:r w:rsidDel="00000000" w:rsidR="00000000" w:rsidRPr="00000000">
        <w:rPr>
          <w:rFonts w:ascii="Roboto Mono" w:cs="Roboto Mono" w:eastAsia="Roboto Mono" w:hAnsi="Roboto Mono"/>
          <w:color w:val="188038"/>
          <w:rtl w:val="0"/>
        </w:rPr>
        <w:t xml:space="preserve">M.triggers</w:t>
      </w:r>
      <w:r w:rsidDel="00000000" w:rsidR="00000000" w:rsidRPr="00000000">
        <w:rPr>
          <w:rtl w:val="0"/>
        </w:rPr>
        <w:t xml:space="preserve"> retires the bundle by appending a signed registry record, not by editing the bundle.</w:t>
      </w:r>
    </w:p>
    <w:p w:rsidR="00000000" w:rsidDel="00000000" w:rsidP="00000000" w:rsidRDefault="00000000" w:rsidRPr="00000000" ns1:paraId="000000A0">
      <w:pPr>
        <w:spacing w:after="240" w:before="240" w:lineRule="auto"/>
        <w:rPr/>
      </w:pPr>
      <w:r w:rsidDel="00000000" w:rsidR="00000000" w:rsidRPr="00000000">
        <w:rPr>
          <w:rtl w:val="0"/>
        </w:rPr>
        <w:t xml:space="preserve">The orphan-control guarantee of Section I-A is, precisely stated, a </w:t>
      </w:r>
      <w:r w:rsidDel="00000000" w:rsidR="00000000" w:rsidRPr="00000000">
        <w:rPr>
          <w:b w:val="1"/>
          <w:bCs w:val="1"/>
          <w:rtl w:val="0"/>
        </w:rPr>
        <w:t xml:space="preserve">compiler guarantee</w:t>
      </w:r>
      <w:r w:rsidDel="00000000" w:rsidR="00000000" w:rsidRPr="00000000">
        <w:rPr>
          <w:rtl w:val="0"/>
        </w:rPr>
        <w:t xml:space="preserve">: within Φ-produced bundles, every predicate has an authorized origin, verified structurally. It extends to a </w:t>
      </w:r>
      <w:r w:rsidDel="00000000" w:rsidR="00000000" w:rsidRPr="00000000">
        <w:rPr>
          <w:i w:val="1"/>
          <w:iCs w:val="1"/>
          <w:rtl w:val="0"/>
        </w:rPr>
        <w:t xml:space="preserve">deployment</w:t>
      </w:r>
      <w:r w:rsidDel="00000000" w:rsidR="00000000" w:rsidRPr="00000000">
        <w:rPr>
          <w:rtl w:val="0"/>
        </w:rPr>
        <w:t xml:space="preserve"> only under an explicit </w:t>
      </w:r>
      <w:r w:rsidDel="00000000" w:rsidR="00000000" w:rsidRPr="00000000">
        <w:rPr>
          <w:b w:val="1"/>
          <w:bCs w:val="1"/>
          <w:rtl w:val="0"/>
        </w:rPr>
        <w:t xml:space="preserve">runtime acceptance condition</w:t>
      </w:r>
      <w:r w:rsidDel="00000000" w:rsidR="00000000" w:rsidRPr="00000000">
        <w:rPr>
          <w:rtl w:val="0"/>
        </w:rPr>
        <w:t xml:space="preserve">: the runtime authority loads only bundles that verify as signed Φ outputs — signature, payload hash, and lifecycle-registry state — and accepts no policy content through any other path. Where an operator can inject controls through a separate policy channel, the guarantee remains scoped to the compiled bundle and the deployment does not inherit it. The acceptance condition is therefore stated as a deployment conformance requirement (Appendix A, constraint 14), not assumed.</w:t>
      </w:r>
    </w:p>
    <w:p w:rsidR="00000000" w:rsidDel="00000000" w:rsidP="00000000" w:rsidRDefault="00000000" w:rsidRPr="00000000" ns1:paraId="000000A1">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A2">
      <w:pPr>
        <w:pStyle w:val="Heading2"/>
        <w:keepNext w:val="0"/>
        <w:keepLines w:val="0"/>
        <w:spacing w:after="80" w:lineRule="auto"/>
        <w:rPr>
          <w:b w:val="1"/>
          <w:bCs w:val="1"/>
          <w:sz w:val="34"/>
          <w:szCs w:val="34"/>
        </w:rPr>
      </w:pPr>
      <w:bookmarkStart w:colFirst="0" w:colLast="0" w:name="_209edqlucpol" w:id="25"/>
      <w:bookmarkEnd w:id="25"/>
      <w:r w:rsidDel="00000000" w:rsidR="00000000" w:rsidRPr="00000000">
        <w:rPr>
          <w:b w:val="1"/>
          <w:bCs w:val="1"/>
          <w:sz w:val="34"/>
          <w:szCs w:val="34"/>
          <w:rtl w:val="0"/>
        </w:rPr>
        <w:t xml:space="preserve">VII. CONSEQUENCE-CLASS GATE COVERAGE</w:t>
      </w:r>
    </w:p>
    <w:p w:rsidR="00000000" w:rsidDel="00000000" w:rsidP="00000000" w:rsidRDefault="00000000" w:rsidRPr="00000000" ns1:paraId="000000A3">
      <w:pPr>
        <w:spacing w:after="240" w:before="240" w:lineRule="auto"/>
        <w:rPr/>
      </w:pPr>
      <w:r w:rsidDel="00000000" w:rsidR="00000000" w:rsidRPr="00000000">
        <w:rPr>
          <w:b w:val="1"/>
          <w:bCs w:val="1"/>
          <w:rtl w:val="0"/>
        </w:rPr>
        <w:t xml:space="preserve">The problem.</w:t>
      </w:r>
      <w:r w:rsidDel="00000000" w:rsidR="00000000" w:rsidRPr="00000000">
        <w:rPr>
          <w:rFonts w:ascii="Arial Unicode MS" w:cs="Arial Unicode MS" w:eastAsia="Arial Unicode MS" w:hAnsi="Arial Unicode MS"/>
          <w:rtl w:val="0"/>
        </w:rPr>
        <w:t xml:space="preserve"> Enterprise practice rates risks by likelihood × impact and prioritizes by the product. But authorization is not prioritization. A rare unauthorized trade may score L=2, I=5 → 10, landing mid-matrix; its consequence is nonetheless non-negotiable.</w:t>
      </w:r>
    </w:p>
    <w:p w:rsidR="00000000" w:rsidDel="00000000" w:rsidP="00000000" w:rsidRDefault="00000000" w:rsidRPr="00000000" ns1:paraId="000000A4">
      <w:pPr>
        <w:pStyle w:val="Heading3"/>
        <w:keepNext w:val="0"/>
        <w:keepLines w:val="0"/>
        <w:spacing w:before="280" w:lineRule="auto"/>
        <w:rPr>
          <w:b w:val="1"/>
          <w:bCs w:val="1"/>
          <w:color w:val="000000"/>
          <w:sz w:val="26"/>
          <w:szCs w:val="26"/>
        </w:rPr>
      </w:pPr>
      <w:bookmarkStart w:colFirst="0" w:colLast="0" w:name="_nd16wgbhr8ft" w:id="26"/>
      <w:bookmarkEnd w:id="26"/>
      <w:r w:rsidDel="00000000" w:rsidR="00000000" w:rsidRPr="00000000">
        <w:rPr>
          <w:b w:val="1"/>
          <w:bCs w:val="1"/>
          <w:color w:val="000000"/>
          <w:sz w:val="26"/>
          <w:szCs w:val="26"/>
          <w:rtl w:val="0"/>
        </w:rPr>
        <w:t xml:space="preserve">A. Operational Consequence Descriptor and the Coverage Rule</w:t>
      </w:r>
    </w:p>
    <w:p w:rsidR="00000000" w:rsidDel="00000000" w:rsidP="00000000" w:rsidRDefault="00000000" w:rsidRPr="00000000" ns1:paraId="000000A5">
      <w:pPr>
        <w:spacing w:after="240" w:before="240" w:lineRule="auto"/>
        <w:rPr/>
      </w:pPr>
      <w:r w:rsidDel="00000000" w:rsidR="00000000" w:rsidRPr="00000000">
        <w:rPr>
          <w:rFonts w:ascii="Cardo" w:cs="Cardo" w:eastAsia="Cardo" w:hAnsi="Cardo"/>
          <w:rtl w:val="0"/>
        </w:rPr>
        <w:t xml:space="preserve">A consequence descriptor is cᵢ = (kindᵢ, materialityᵢ, reversibilityᵢ, authorityᵢ), and the approved mandatory-class predicate is C*(cᵢ) ∈ {0, 1}. The base profile used in the worked cases is limited to:</w:t>
      </w:r>
    </w:p>
    <w:p w:rsidR="00000000" w:rsidDel="00000000" w:rsidP="00000000" w:rsidRDefault="00000000" w:rsidRPr="00000000" ns1:paraId="000000A6">
      <w:pPr>
        <w:spacing w:after="240" w:before="240" w:lineRule="auto"/>
        <w:rPr/>
      </w:pPr>
      <w:r w:rsidDel="00000000" w:rsidR="00000000" w:rsidRPr="00000000">
        <w:rPr>
          <w:rtl w:val="0"/>
        </w:rPr>
        <w:t xml:space="preserve">C* = { material_statutory_prohibition, unauthorized_authority_exercise, material_information_barrier_breach, irreversible_external_effect_above_approved_bound }.</w:t>
      </w:r>
    </w:p>
    <w:p w:rsidR="00000000" w:rsidDel="00000000" w:rsidP="00000000" w:rsidRDefault="00000000" w:rsidRPr="00000000" ns1:paraId="000000A7">
      <w:pPr>
        <w:spacing w:after="240" w:before="240" w:lineRule="auto"/>
        <w:rPr/>
      </w:pPr>
      <w:r w:rsidDel="00000000" w:rsidR="00000000" w:rsidRPr="00000000">
        <w:rPr>
          <w:rFonts w:ascii="Cardo" w:cs="Cardo" w:eastAsia="Cardo" w:hAnsi="Cardo"/>
          <w:rtl w:val="0"/>
        </w:rPr>
        <w:t xml:space="preserve">A documentation defect or other immaterial technical non-conformance does not enter C* solely because its source is statutory — materiality qualifies membership. Each classification records the approving authority, rationale, materiality boundary, effective date, and any authorized emergency-override procedure. The C*-derived gate is gᵢ^C = C*(cᵢ); the final approved gate may also reflect other mandatory policies: gᵢ = gᵢ^C ∨ gᵢ^other. The compiler records </w:t>
      </w:r>
      <w:r w:rsidDel="00000000" w:rsidR="00000000" w:rsidRPr="00000000">
        <w:rPr>
          <w:rFonts w:ascii="Roboto Mono" w:cs="Roboto Mono" w:eastAsia="Roboto Mono" w:hAnsi="Roboto Mono"/>
          <w:color w:val="188038"/>
          <w:rtl w:val="0"/>
        </w:rPr>
        <w:t xml:space="preserve">gate_source</w:t>
      </w:r>
      <w:r w:rsidDel="00000000" w:rsidR="00000000" w:rsidRPr="00000000">
        <w:rPr>
          <w:rtl w:val="0"/>
        </w:rPr>
        <w:t xml:space="preserve"> so C*-selected gates remain distinguishable from mandatory gates created for other approved reasons. Enterprises may extend C* (the profile is a governance object, versioned with M), but contraction within an active assessment is itself a trigger event requiring re-approval.</w:t>
      </w:r>
    </w:p>
    <w:p w:rsidR="00000000" w:rsidDel="00000000" w:rsidP="00000000" w:rsidRDefault="00000000" w:rsidRPr="00000000" ns1:paraId="000000A8">
      <w:pPr>
        <w:spacing w:after="240" w:before="240" w:lineRule="auto"/>
        <w:ind w:left="600" w:right="600" w:firstLine="0"/>
        <w:rPr/>
      </w:pPr>
      <w:r w:rsidDel="00000000" w:rsidR="00000000" w:rsidRPr="00000000">
        <w:rPr>
          <w:b w:val="1"/>
          <w:bCs w:val="1"/>
          <w:rtl w:val="0"/>
        </w:rPr>
        <w:t xml:space="preserve">Coverage rule (CV).</w:t>
      </w:r>
      <w:r w:rsidDel="00000000" w:rsidR="00000000" w:rsidRPr="00000000">
        <w:rPr>
          <w:rtl w:val="0"/>
        </w:rPr>
        <w:t xml:space="preserve"> For any risk rᵢ with C*(cᵢ) = 1, the approved specification set Dᵢ must contain at least one mandatory gate — or mandatory gate set — covering </w:t>
      </w:r>
      <w:r w:rsidDel="00000000" w:rsidR="00000000" w:rsidRPr="00000000">
        <w:rPr>
          <w:b w:val="1"/>
          <w:bCs w:val="1"/>
          <w:rtl w:val="0"/>
        </w:rPr>
        <w:t xml:space="preserve">each authorized hazardous action path</w:t>
      </w:r>
      <w:r w:rsidDel="00000000" w:rsidR="00000000" w:rsidRPr="00000000">
        <w:rPr>
          <w:rtl w:val="0"/>
        </w:rPr>
        <w:t xml:space="preserve"> associated with rᵢ, </w:t>
      </w:r>
      <w:r w:rsidDel="00000000" w:rsidR="00000000" w:rsidRPr="00000000">
        <w:rPr>
          <w:b w:val="1"/>
          <w:bCs w:val="1"/>
          <w:rtl w:val="0"/>
        </w:rPr>
        <w:t xml:space="preserve">irrespective of</w:t>
      </w:r>
      <w:r w:rsidDel="00000000" w:rsidR="00000000" w:rsidRPr="00000000">
        <w:rPr>
          <w:rtl w:val="0"/>
        </w:rPr>
        <w:t xml:space="preserve"> L × I. A C* risk may, in addition, generate supporting advisory or weighted predicates: C* membership mandates </w:t>
      </w:r>
      <w:r w:rsidDel="00000000" w:rsidR="00000000" w:rsidRPr="00000000">
        <w:rPr>
          <w:i w:val="1"/>
          <w:iCs w:val="1"/>
          <w:rtl w:val="0"/>
        </w:rPr>
        <w:t xml:space="preserve">coverage</w:t>
      </w:r>
      <w:r w:rsidDel="00000000" w:rsidR="00000000" w:rsidRPr="00000000">
        <w:rPr>
          <w:rtl w:val="0"/>
        </w:rPr>
        <w:t xml:space="preserve">, not mandatory status for every predicate derived from rᵢ (the ACS </w:t>
      </w:r>
      <w:r w:rsidDel="00000000" w:rsidR="00000000" w:rsidRPr="00000000">
        <w:rPr>
          <w:rFonts w:ascii="Roboto Mono" w:cs="Roboto Mono" w:eastAsia="Roboto Mono" w:hAnsi="Roboto Mono"/>
          <w:color w:val="188038"/>
          <w:rtl w:val="0"/>
        </w:rPr>
        <w:t xml:space="preserve">mandatory_role</w:t>
      </w:r>
      <w:r w:rsidDel="00000000" w:rsidR="00000000" w:rsidRPr="00000000">
        <w:rPr>
          <w:rtl w:val="0"/>
        </w:rPr>
        <w:t xml:space="preserve"> field records which specifications are decisive and which are supporting). Φ verifies CV structurally and rejects non-covering bundles. Heat-map score continues to govern review priority, monitoring depth, and treatment sequencing — never gate membership.</w:t>
      </w:r>
    </w:p>
    <w:p w:rsidR="00000000" w:rsidDel="00000000" w:rsidP="00000000" w:rsidRDefault="00000000" w:rsidRPr="00000000" ns1:paraId="000000A9">
      <w:pPr>
        <w:spacing w:after="240" w:before="240" w:lineRule="auto"/>
        <w:rPr/>
      </w:pPr>
      <w:r w:rsidDel="00000000" w:rsidR="00000000" w:rsidRPr="00000000">
        <w:rPr>
          <w:rtl w:val="0"/>
        </w:rPr>
        <w:t xml:space="preserve">In the propositions below, gᵢ = 1 denotes that risk rᵢ carries mandatory-gate coverage under the approved assignment.</w:t>
      </w:r>
    </w:p>
    <w:p w:rsidR="00000000" w:rsidDel="00000000" w:rsidP="00000000" w:rsidRDefault="00000000" w:rsidRPr="00000000" ns1:paraId="000000AA">
      <w:pPr>
        <w:pStyle w:val="Heading3"/>
        <w:keepNext w:val="0"/>
        <w:keepLines w:val="0"/>
        <w:spacing w:before="280" w:lineRule="auto"/>
        <w:rPr>
          <w:b w:val="1"/>
          <w:bCs w:val="1"/>
          <w:color w:val="000000"/>
          <w:sz w:val="26"/>
          <w:szCs w:val="26"/>
        </w:rPr>
      </w:pPr>
      <w:bookmarkStart w:colFirst="0" w:colLast="0" w:name="_66ktv93z9bab" w:id="27"/>
      <w:bookmarkEnd w:id="27"/>
      <w:r w:rsidDel="00000000" w:rsidR="00000000" w:rsidRPr="00000000">
        <w:rPr>
          <w:b w:val="1"/>
          <w:bCs w:val="1"/>
          <w:color w:val="000000"/>
          <w:sz w:val="26"/>
          <w:szCs w:val="26"/>
          <w:rtl w:val="0"/>
        </w:rPr>
        <w:t xml:space="preserve">B. Comparison With a Declared Heat-Map Rule</w:t>
      </w:r>
    </w:p>
    <w:p w:rsidR="00000000" w:rsidDel="00000000" w:rsidP="00000000" w:rsidRDefault="00000000" w:rsidRPr="00000000" ns1:paraId="000000AB">
      <w:pPr>
        <w:spacing w:after="240" w:before="240" w:lineRule="auto"/>
        <w:rPr/>
      </w:pPr>
      <w:r w:rsidDel="00000000" w:rsidR="00000000" w:rsidRPr="00000000">
        <w:rPr>
          <w:rtl w:val="0"/>
        </w:rPr>
        <w:t xml:space="preserve">Let sᵢ = LᵢIᵢ and let the enterprise's predeclared heat-map gate rule be h_{T_H}(i) = 𝟙[sᵢ ≥ T_H]. Divergence against that declared rule is GD(T_H) = Σᵢ 𝟙[gᵢ ≠ h_{T_H}(i)]. To determine whether </w:t>
      </w:r>
      <w:r w:rsidDel="00000000" w:rsidR="00000000" w:rsidRPr="00000000">
        <w:rPr>
          <w:i w:val="1"/>
          <w:iCs w:val="1"/>
          <w:rtl w:val="0"/>
        </w:rPr>
        <w:t xml:space="preserve">any</w:t>
      </w:r>
      <w:r w:rsidDel="00000000" w:rsidR="00000000" w:rsidRPr="00000000">
        <w:rPr>
          <w:rtl w:val="0"/>
        </w:rPr>
        <w:t xml:space="preserve"> scalar threshold can reproduce the approved gate map, define:</w:t>
      </w:r>
    </w:p>
    <w:p w:rsidR="00000000" w:rsidDel="00000000" w:rsidP="00000000" w:rsidRDefault="00000000" w:rsidRPr="00000000" ns1:paraId="000000AC">
      <w:pPr>
        <w:spacing w:after="240" w:before="240" w:lineRule="auto"/>
        <w:rPr/>
      </w:pPr>
      <w:r w:rsidDel="00000000" w:rsidR="00000000" w:rsidRPr="00000000">
        <w:rPr>
          <w:rtl w:val="0"/>
        </w:rPr>
        <w:t xml:space="preserve">GD_min = min_{t ∈ 𝒯} Σᵢ 𝟙[gᵢ ≠ 𝟙[sᵢ ≥ t]],</w:t>
      </w:r>
    </w:p>
    <w:p w:rsidR="00000000" w:rsidDel="00000000" w:rsidP="00000000" w:rsidRDefault="00000000" w:rsidRPr="00000000" ns1:paraId="000000AD">
      <w:pPr>
        <w:spacing w:after="240" w:before="240" w:lineRule="auto"/>
        <w:rPr/>
      </w:pPr>
      <w:r w:rsidDel="00000000" w:rsidR="00000000" w:rsidRPr="00000000">
        <w:rPr>
          <w:rtl w:val="0"/>
        </w:rPr>
        <w:t xml:space="preserve">where 𝒯 contains the distinct observed scores and boundary values immediately above and below them.</w:t>
      </w:r>
    </w:p>
    <w:p w:rsidR="00000000" w:rsidDel="00000000" w:rsidP="00000000" w:rsidRDefault="00000000" w:rsidRPr="00000000" ns1:paraId="000000AE">
      <w:pPr>
        <w:pStyle w:val="Heading3"/>
        <w:keepNext w:val="0"/>
        <w:keepLines w:val="0"/>
        <w:spacing w:before="280" w:lineRule="auto"/>
        <w:rPr>
          <w:b w:val="1"/>
          <w:bCs w:val="1"/>
          <w:color w:val="000000"/>
          <w:sz w:val="26"/>
          <w:szCs w:val="26"/>
        </w:rPr>
      </w:pPr>
      <w:bookmarkStart w:colFirst="0" w:colLast="0" w:name="_wewwvtfcjm77" w:id="28"/>
      <w:bookmarkEnd w:id="28"/>
      <w:r w:rsidDel="00000000" w:rsidR="00000000" w:rsidRPr="00000000">
        <w:rPr>
          <w:b w:val="1"/>
          <w:bCs w:val="1"/>
          <w:color w:val="000000"/>
          <w:sz w:val="26"/>
          <w:szCs w:val="26"/>
          <w:rtl w:val="0"/>
        </w:rPr>
        <w:t xml:space="preserve">C. Threshold-Separation Proposition</w:t>
      </w:r>
    </w:p>
    <w:p w:rsidR="00000000" w:rsidDel="00000000" w:rsidP="00000000" w:rsidRDefault="00000000" w:rsidRPr="00000000" ns1:paraId="000000AF">
      <w:pPr>
        <w:spacing w:after="240" w:before="240" w:lineRule="auto"/>
        <w:rPr/>
      </w:pPr>
      <w:r w:rsidDel="00000000" w:rsidR="00000000" w:rsidRPr="00000000">
        <w:rPr>
          <w:b w:val="1"/>
          <w:bCs w:val="1"/>
          <w:rtl w:val="0"/>
        </w:rPr>
        <w:t xml:space="preserve">Proposition 1.</w:t>
      </w:r>
      <w:r w:rsidDel="00000000" w:rsidR="00000000" w:rsidRPr="00000000">
        <w:rPr>
          <w:rtl w:val="0"/>
        </w:rPr>
        <w:t xml:space="preserve"> If there exist risks rᵢ, r_j such that sᵢ &lt; s_j, gᵢ = 1, and g_j = 0, then no monotone threshold rule h_t(s) = 𝟙[s ≥ t] reproduces both assignments, and therefore GD_min ≥ 1.</w:t>
      </w:r>
    </w:p>
    <w:p w:rsidR="00000000" w:rsidDel="00000000" w:rsidP="00000000" w:rsidRDefault="00000000" w:rsidRPr="00000000" ns1:paraId="000000B0">
      <w:pPr>
        <w:spacing w:after="240" w:before="240" w:lineRule="auto"/>
        <w:rPr/>
      </w:pPr>
      <w:r w:rsidDel="00000000" w:rsidR="00000000" w:rsidRPr="00000000">
        <w:rPr>
          <w:i w:val="1"/>
          <w:iCs w:val="1"/>
          <w:rtl w:val="0"/>
        </w:rPr>
        <w:t xml:space="preserve">Proof.</w:t>
      </w:r>
      <w:r w:rsidDel="00000000" w:rsidR="00000000" w:rsidRPr="00000000">
        <w:rPr>
          <w:rFonts w:ascii="Caudex" w:cs="Caudex" w:eastAsia="Caudex" w:hAnsi="Caudex"/>
          <w:rtl w:val="0"/>
        </w:rPr>
        <w:t xml:space="preserve"> If t ≤ sᵢ, then s_j &gt; sᵢ ≥ t, so h_t(s_j) = 1, contradicting g_j = 0. If t &gt; sᵢ, then h_t(sᵢ) = 0, contradicting gᵢ = 1. Thus every t misclassifies at least one of the pair. ∎</w:t>
      </w:r>
    </w:p>
    <w:p w:rsidR="00000000" w:rsidDel="00000000" w:rsidP="00000000" w:rsidRDefault="00000000" w:rsidRPr="00000000" ns1:paraId="000000B1">
      <w:pPr>
        <w:spacing w:after="240" w:before="240" w:lineRule="auto"/>
        <w:rPr/>
      </w:pPr>
      <w:r w:rsidDel="00000000" w:rsidR="00000000" w:rsidRPr="00000000">
        <w:rPr>
          <w:rtl w:val="0"/>
        </w:rPr>
        <w:t xml:space="preserve">Case A contains such an inversion: R-10 is gated at score 10 while R-04 and R-12 are not gated at score 12. Case B demonstrates consequence-based selection but, because all listed rows are mandatory, is not used by itself to prove GD_min &gt; 0 (Section X).</w:t>
      </w:r>
    </w:p>
    <w:p w:rsidR="00000000" w:rsidDel="00000000" w:rsidP="00000000" w:rsidRDefault="00000000" w:rsidRPr="00000000" ns1:paraId="000000B2">
      <w:pPr>
        <w:pStyle w:val="Heading3"/>
        <w:keepNext w:val="0"/>
        <w:keepLines w:val="0"/>
        <w:spacing w:before="280" w:lineRule="auto"/>
        <w:rPr>
          <w:b w:val="1"/>
          <w:bCs w:val="1"/>
          <w:color w:val="000000"/>
          <w:sz w:val="26"/>
          <w:szCs w:val="26"/>
        </w:rPr>
      </w:pPr>
      <w:bookmarkStart w:colFirst="0" w:colLast="0" w:name="_uf72ufi81n9i" w:id="29"/>
      <w:bookmarkEnd w:id="29"/>
      <w:r w:rsidDel="00000000" w:rsidR="00000000" w:rsidRPr="00000000">
        <w:rPr>
          <w:b w:val="1"/>
          <w:bCs w:val="1"/>
          <w:color w:val="000000"/>
          <w:sz w:val="26"/>
          <w:szCs w:val="26"/>
          <w:rtl w:val="0"/>
        </w:rPr>
        <w:t xml:space="preserve">D. Score-Collision Non-Representability</w:t>
      </w:r>
    </w:p>
    <w:p w:rsidR="00000000" w:rsidDel="00000000" w:rsidP="00000000" w:rsidRDefault="00000000" w:rsidRPr="00000000" ns1:paraId="000000B3">
      <w:pPr>
        <w:spacing w:after="240" w:before="240" w:lineRule="auto"/>
        <w:rPr/>
      </w:pPr>
      <w:r w:rsidDel="00000000" w:rsidR="00000000" w:rsidRPr="00000000">
        <w:rPr>
          <w:b w:val="1"/>
          <w:bCs w:val="1"/>
          <w:rtl w:val="0"/>
        </w:rPr>
        <w:t xml:space="preserve">Proposition 2.</w:t>
      </w:r>
      <w:r w:rsidDel="00000000" w:rsidR="00000000" w:rsidRPr="00000000">
        <w:rPr>
          <w:rFonts w:ascii="Cardo" w:cs="Cardo" w:eastAsia="Cardo" w:hAnsi="Cardo"/>
          <w:rtl w:val="0"/>
        </w:rPr>
        <w:t xml:space="preserve"> If there exist risks rᵢ, r_j with sᵢ = s_j and gᵢ ≠ g_j, then no rule h(s) that is a function of the scalar score alone — monotone or otherwise — reproduces the approved gate assignment.</w:t>
      </w:r>
    </w:p>
    <w:p w:rsidR="00000000" w:rsidDel="00000000" w:rsidP="00000000" w:rsidRDefault="00000000" w:rsidRPr="00000000" ns1:paraId="000000B4">
      <w:pPr>
        <w:spacing w:after="240" w:before="240" w:lineRule="auto"/>
        <w:rPr/>
      </w:pPr>
      <w:r w:rsidDel="00000000" w:rsidR="00000000" w:rsidRPr="00000000">
        <w:rPr>
          <w:i w:val="1"/>
          <w:iCs w:val="1"/>
          <w:rtl w:val="0"/>
        </w:rPr>
        <w:t xml:space="preserve">Proof.</w:t>
      </w:r>
      <w:r w:rsidDel="00000000" w:rsidR="00000000" w:rsidRPr="00000000">
        <w:rPr>
          <w:rFonts w:ascii="Cardo" w:cs="Cardo" w:eastAsia="Cardo" w:hAnsi="Cardo"/>
          <w:rtl w:val="0"/>
        </w:rPr>
        <w:t xml:space="preserve"> Any function of s satisfies h(sᵢ) = h(s_j) whenever sᵢ = s_j; the approved assignment has gᵢ ≠ g_j, so h disagrees with it on at least one of the pair. ∎</w:t>
      </w:r>
    </w:p>
    <w:p w:rsidR="00000000" w:rsidDel="00000000" w:rsidP="00000000" w:rsidRDefault="00000000" w:rsidRPr="00000000" ns1:paraId="000000B5">
      <w:pPr>
        <w:spacing w:after="240" w:before="240" w:lineRule="auto"/>
        <w:rPr/>
      </w:pPr>
      <w:r w:rsidDel="00000000" w:rsidR="00000000" w:rsidRPr="00000000">
        <w:rPr>
          <w:rtl w:val="0"/>
        </w:rPr>
        <w:t xml:space="preserve">Proposition 1 excludes monotone thresholds; Proposition 2 is stronger on its narrower premise: under a score collision with divergent gates, class-dependent gating is not representable by </w:t>
      </w:r>
      <w:r w:rsidDel="00000000" w:rsidR="00000000" w:rsidRPr="00000000">
        <w:rPr>
          <w:i w:val="1"/>
          <w:iCs w:val="1"/>
          <w:rtl w:val="0"/>
        </w:rPr>
        <w:t xml:space="preserve">any</w:t>
      </w:r>
      <w:r w:rsidDel="00000000" w:rsidR="00000000" w:rsidRPr="00000000">
        <w:rPr>
          <w:rtl w:val="0"/>
        </w:rPr>
        <w:t xml:space="preserve"> function of the score, because the information that separates the two risks — the consequence descriptor — is not present in the score at all. Case A instantiates the collision directly: R-09 (s = 12) is gated by class membership while R-04 and R-12 (s = 12) are not.</w:t>
      </w:r>
    </w:p>
    <w:p w:rsidR="00000000" w:rsidDel="00000000" w:rsidP="00000000" w:rsidRDefault="00000000" w:rsidRPr="00000000" ns1:paraId="000000B6">
      <w:pPr>
        <w:pStyle w:val="Heading3"/>
        <w:keepNext w:val="0"/>
        <w:keepLines w:val="0"/>
        <w:spacing w:before="280" w:lineRule="auto"/>
        <w:rPr>
          <w:b w:val="1"/>
          <w:bCs w:val="1"/>
          <w:color w:val="000000"/>
          <w:sz w:val="26"/>
          <w:szCs w:val="26"/>
        </w:rPr>
      </w:pPr>
      <w:bookmarkStart w:colFirst="0" w:colLast="0" w:name="_3krmmrqxi692" w:id="30"/>
      <w:bookmarkEnd w:id="30"/>
      <w:r w:rsidDel="00000000" w:rsidR="00000000" w:rsidRPr="00000000">
        <w:rPr>
          <w:b w:val="1"/>
          <w:bCs w:val="1"/>
          <w:color w:val="000000"/>
          <w:sz w:val="26"/>
          <w:szCs w:val="26"/>
          <w:rtl w:val="0"/>
        </w:rPr>
        <w:t xml:space="preserve">E. Qualified Gate-Invariance Proposition</w:t>
      </w:r>
    </w:p>
    <w:p w:rsidR="00000000" w:rsidDel="00000000" w:rsidP="00000000" w:rsidRDefault="00000000" w:rsidRPr="00000000" ns1:paraId="000000B7">
      <w:pPr>
        <w:spacing w:after="240" w:before="240" w:lineRule="auto"/>
        <w:rPr/>
      </w:pPr>
      <w:r w:rsidDel="00000000" w:rsidR="00000000" w:rsidRPr="00000000">
        <w:rPr>
          <w:b w:val="1"/>
          <w:bCs w:val="1"/>
          <w:rtl w:val="0"/>
        </w:rPr>
        <w:t xml:space="preserve">Proposition 3.</w:t>
      </w:r>
      <w:r w:rsidDel="00000000" w:rsidR="00000000" w:rsidRPr="00000000">
        <w:rPr>
          <w:rtl w:val="0"/>
        </w:rPr>
        <w:t xml:space="preserve"> Conditional on an unchanged action model, consequence descriptor, C* definition, and approved mandatory-policy set, gate membership is invariant under changes to likelihood, impact ratings, or ordinary control-effectiveness estimates: gᵢ(L, I, e) = gᵢ for all admissible (L, I, e) that do not trigger approved consequence reclassification.</w:t>
      </w:r>
    </w:p>
    <w:p w:rsidR="00000000" w:rsidDel="00000000" w:rsidP="00000000" w:rsidRDefault="00000000" w:rsidRPr="00000000" ns1:paraId="000000B8">
      <w:pPr>
        <w:spacing w:after="240" w:before="240" w:lineRule="auto"/>
        <w:rPr/>
      </w:pPr>
      <w:r w:rsidDel="00000000" w:rsidR="00000000" w:rsidRPr="00000000">
        <w:rPr>
          <w:rtl w:val="0"/>
        </w:rPr>
        <w:t xml:space="preserve">This does not claim that consequence class can never change. A control that changes the action </w:t>
      </w:r>
      <w:r w:rsidDel="00000000" w:rsidR="00000000" w:rsidRPr="00000000">
        <w:rPr>
          <w:i w:val="1"/>
          <w:iCs w:val="1"/>
          <w:rtl w:val="0"/>
        </w:rPr>
        <w:t xml:space="preserve">pathway</w:t>
      </w:r>
      <w:r w:rsidDel="00000000" w:rsidR="00000000" w:rsidRPr="00000000">
        <w:rPr>
          <w:rtl w:val="0"/>
        </w:rPr>
        <w:t xml:space="preserve"> — for example, replacing irreversible actuation with a reversible queue — may justify formal reclassification. Such a reclassification is a governance decision and version-trigger event, not an automatic consequence of a lower residual-risk score. The contrast with a heat-map rule is the point: under any L×I threshold, improving controls lowers residual L, the product falls below the threshold, and the gate silently disappears exactly when confidence in the control environment is highest — gates decaying as a function of their own past success. Under the C* rule, the gate survives every re-rating and disappears only through an explicit, attributable reclassification decision.</w:t>
      </w:r>
    </w:p>
    <w:p w:rsidR="00000000" w:rsidDel="00000000" w:rsidP="00000000" w:rsidRDefault="00000000" w:rsidRPr="00000000" ns1:paraId="000000B9">
      <w:pPr>
        <w:pStyle w:val="Heading3"/>
        <w:keepNext w:val="0"/>
        <w:keepLines w:val="0"/>
        <w:spacing w:before="280" w:lineRule="auto"/>
        <w:rPr>
          <w:b w:val="1"/>
          <w:bCs w:val="1"/>
          <w:color w:val="000000"/>
          <w:sz w:val="26"/>
          <w:szCs w:val="26"/>
        </w:rPr>
      </w:pPr>
      <w:bookmarkStart w:colFirst="0" w:colLast="0" w:name="_w0ylm2j4t6tz" w:id="31"/>
      <w:bookmarkEnd w:id="31"/>
      <w:r w:rsidDel="00000000" w:rsidR="00000000" w:rsidRPr="00000000">
        <w:rPr>
          <w:b w:val="1"/>
          <w:bCs w:val="1"/>
          <w:color w:val="000000"/>
          <w:sz w:val="26"/>
          <w:szCs w:val="26"/>
          <w:rtl w:val="0"/>
        </w:rPr>
        <w:t xml:space="preserve">F. Rating-Sensitivity Bound</w:t>
      </w:r>
    </w:p>
    <w:p w:rsidR="00000000" w:rsidDel="00000000" w:rsidP="00000000" w:rsidRDefault="00000000" w:rsidRPr="00000000" ns1:paraId="000000BA">
      <w:pPr>
        <w:spacing w:after="240" w:before="240" w:lineRule="auto"/>
        <w:rPr/>
      </w:pPr>
      <w:r w:rsidDel="00000000" w:rsidR="00000000" w:rsidRPr="00000000">
        <w:rPr>
          <w:rtl w:val="0"/>
        </w:rPr>
        <w:t xml:space="preserve">For the continuous surrogate s(L, I) = L·I, the multivariate mean-value theorem gives, for perturbation δ = (δ_L, δ_I):</w:t>
      </w:r>
    </w:p>
    <w:p w:rsidR="00000000" w:rsidDel="00000000" w:rsidP="00000000" w:rsidRDefault="00000000" w:rsidRPr="00000000" ns1:paraId="000000BB">
      <w:pPr>
        <w:spacing w:after="240" w:before="240" w:lineRule="auto"/>
        <w:rPr/>
      </w:pPr>
      <w:r w:rsidDel="00000000" w:rsidR="00000000" w:rsidRPr="00000000">
        <w:rPr>
          <w:rFonts w:ascii="Arial Unicode MS" w:cs="Arial Unicode MS" w:eastAsia="Arial Unicode MS" w:hAnsi="Arial Unicode MS"/>
          <w:rtl w:val="0"/>
        </w:rPr>
        <w:t xml:space="preserve">|s(z + δ) − s(z)| ≤ sup_{ξ ∈ [z, z+δ]} ‖∇s(ξ)‖₂ ‖δ‖₂, with ∇s(ξ) = (ξ_I, ξ_L),</w:t>
      </w:r>
    </w:p>
    <w:p w:rsidR="00000000" w:rsidDel="00000000" w:rsidP="00000000" w:rsidRDefault="00000000" w:rsidRPr="00000000" ns1:paraId="000000BC">
      <w:pPr>
        <w:spacing w:after="240" w:before="240" w:lineRule="auto"/>
        <w:rPr/>
      </w:pPr>
      <w:r w:rsidDel="00000000" w:rsidR="00000000" w:rsidRPr="00000000">
        <w:rPr>
          <w:rFonts w:ascii="Arial Unicode MS" w:cs="Arial Unicode MS" w:eastAsia="Arial Unicode MS" w:hAnsi="Arial Unicode MS"/>
          <w:rtl w:val="0"/>
        </w:rPr>
        <w:t xml:space="preserve">hence |s(z + δ) − s(z)| ≤ sup_{ξ} √(ξ_L² + ξ_I²) · ‖δ‖₂. This bound explains why scalar gate membership can be unstable for risks close to a threshold: small rating changes may cross the authorization boundary even when the underlying consequence class is unchanged. Because enterprise ratings are ordinal rather than truly continuous, the bound is explanatory; the empirical robustness analysis uses discrete Monte Carlo sampling (Section XI-G).</w:t>
      </w:r>
    </w:p>
    <w:p w:rsidR="00000000" w:rsidDel="00000000" w:rsidP="00000000" w:rsidRDefault="00000000" w:rsidRPr="00000000" ns1:paraId="000000BD">
      <w:pPr>
        <w:pStyle w:val="Heading3"/>
        <w:keepNext w:val="0"/>
        <w:keepLines w:val="0"/>
        <w:spacing w:before="280" w:lineRule="auto"/>
        <w:rPr>
          <w:b w:val="1"/>
          <w:bCs w:val="1"/>
          <w:color w:val="000000"/>
          <w:sz w:val="26"/>
          <w:szCs w:val="26"/>
        </w:rPr>
      </w:pPr>
      <w:bookmarkStart w:colFirst="0" w:colLast="0" w:name="_y9zbjxar80y8" w:id="32"/>
      <w:bookmarkEnd w:id="32"/>
      <w:r w:rsidDel="00000000" w:rsidR="00000000" w:rsidRPr="00000000">
        <w:rPr>
          <w:b w:val="1"/>
          <w:bCs w:val="1"/>
          <w:color w:val="000000"/>
          <w:sz w:val="26"/>
          <w:szCs w:val="26"/>
          <w:rtl w:val="0"/>
        </w:rPr>
        <w:t xml:space="preserve">G. Normalized Non-Compensatory Evaluation</w:t>
      </w:r>
    </w:p>
    <w:p w:rsidR="00000000" w:rsidDel="00000000" w:rsidP="00000000" w:rsidRDefault="00000000" w:rsidRPr="00000000" ns1:paraId="000000BE">
      <w:pPr>
        <w:spacing w:after="240" w:before="240" w:lineRule="auto"/>
        <w:rPr/>
      </w:pPr>
      <w:r w:rsidDel="00000000" w:rsidR="00000000" w:rsidRPr="00000000">
        <w:rPr>
          <w:rFonts w:ascii="Cardo" w:cs="Cardo" w:eastAsia="Cardo" w:hAnsi="Cardo"/>
          <w:rtl w:val="0"/>
        </w:rPr>
        <w:t xml:space="preserve">Each mandatory condition has a nonnegative violation function dᵢ = vᵢ(mᵢ, θᵢ) ≥ 0, where vᵢ = 0 means satisfaction and vᵢ &gt; 0 means violation; this general form supports upper bounds, lower bounds, equalities, set relations, and Boolean conditions. The mandatory aggregate is Γ = maxᵢ dᵢ, with PERMIT ⇔ Γ = 0. A weighted aggregate with positive tolerance τ &gt; 0 can admit a sufficiently small individual violation; this statement does not apply to every conceivable weighted rule — a positive-weight sum authorized only when its value is exactly zero is also non-compensatory for nonnegative deficits. The claim is therefore limited to compensatory weighted schemes with positive authorization tolerance, and compensation is admissible only inside an approved aggregation group whose boundary result enters Γ as a single deficit (Section V, commitment 3). That structural non-compensation is necessary at the enforcement layer, and its empirical weight (a 32.98% false-permit rate under gate ablation on a 360,000-item adversarial corpus), are established in [15], [16] and taken as given; this paper's contribution is strictly upstream — the coverage rule determining which conditions feed that aggregation.</w:t>
      </w:r>
    </w:p>
    <w:p w:rsidR="00000000" w:rsidDel="00000000" w:rsidP="00000000" w:rsidRDefault="00000000" w:rsidRPr="00000000" ns1:paraId="000000B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BF">
      <w:pPr>
        <w:pStyle w:val="Heading3"/>
        <w:rPr/>
      </w:pPr>
      <w:r>
        <w:rPr>
          <w:b/>
        </w:rPr>
        <w:t>H. Cumulative Decision Influence (Boundary Case)</w:t>
      </w:r>
      <w:r/>
    </w:p>
    <w:p w:rsidR="00000000" w:rsidDel="00000000" w:rsidP="00000000" w:rsidRDefault="00000000" w:rsidRPr="00000000" ns1:paraId="000000BF">
      <w:pPr>
        <w:rPr/>
      </w:pPr>
      <w:r>
        <w:t>The coverage rule of Section VII-A attaches to a risk whose authorized action path crosses the execution boundary. A distinct case arises where no single artifact crosses it and the aggregate does. A sequence of individually reviewable, individually reversible outputs — briefing summaries, situational updates, intermediate analyses — assembles into the operational picture on which a consequential decision is then taken. Each artifact is externally ineffective and rescindable on its own; the decision they jointly inform is neither.</w:t>
      </w:r>
    </w:p>
    <w:p w:rsidR="00000000" w:rsidDel="00000000" w:rsidP="00000000" w:rsidRDefault="00000000" w:rsidRPr="00000000" ns1:paraId="000000BF">
      <w:pPr>
        <w:rPr/>
      </w:pPr>
      <w:r>
        <w:t>Two criteria are therefore kept separate. A discrete artifact becomes governable when it is externally effective or non-rescindable — propagation into action, the criterion this paper has used throughout. An accumulated set becomes governable when its combined effect materially shapes a consequential decision — cumulative decision influence. Conflating them is a design error in both directions: gating each artifact imposes per-item review burden while leaving the aggregate ungoverned, and widening the execution boundary to absorb the aggregate destroys the property that makes the boundary useful, namely that it identifies one transition rather than instrumenting an entire pipeline.</w:t>
      </w:r>
    </w:p>
    <w:p w:rsidR="00000000" w:rsidDel="00000000" w:rsidP="00000000" w:rsidRDefault="00000000" w:rsidRPr="00000000" ns1:paraId="000000BF">
      <w:pPr>
        <w:rPr/>
      </w:pPr>
      <w:r>
        <w:t>The second criterion is bounded here by inheritance: aggregation is in scope only where the consuming decision is already designated consequential under the approved impact tiering, so the criterion does not expand to every upstream input. The control that follows attaches to that decision — which is externally effective and already gated — as a declared input-provenance field in the Approved Control Specification, enumerating the AI-generated contributions on which the decision rests, with the evidence producer for each named as Section IV-C already requires. Re-auditing an accumulated picture at authorization time is not tractable; checking a declared input set against the approved enumeration is. The residual — that a declared set is complete as declared but incomplete in fact — is an evidence-production exposure (RC-03 in the reason-code family), routed to a non-runtime disposition and stated in the warrant boundary rather than absorbed silently.</w:t>
      </w:r>
    </w:p>
    <w:p w:rsidR="00000000" w:rsidDel="00000000" w:rsidP="00000000" w:rsidRDefault="00000000" w:rsidRPr="00000000" ns1:paraId="000000BF">
      <w:pPr>
        <w:rPr/>
      </w:pPr>
      <w:r>
        <w:t>This subsection states the case and the disposition rule; it asserts no proposition. Whether cumulative influence warrants its own consequence class, or is adequately handled as an input-provenance requirement on an already-classified decision, is open and is recorded as such in Section XII.</w:t>
      </w:r>
    </w:p>
    <w:p w:rsidR="00000000" w:rsidDel="00000000" w:rsidP="00000000" w:rsidRDefault="00000000" w:rsidRPr="00000000" ns1:paraId="000000C0">
      <w:pPr>
        <w:pStyle w:val="Heading2"/>
        <w:keepNext w:val="0"/>
        <w:keepLines w:val="0"/>
        <w:spacing w:after="80" w:lineRule="auto"/>
        <w:rPr>
          <w:b w:val="1"/>
          <w:bCs w:val="1"/>
          <w:sz w:val="34"/>
          <w:szCs w:val="34"/>
        </w:rPr>
      </w:pPr>
      <w:bookmarkStart w:colFirst="0" w:colLast="0" w:name="_vectsmlqffw8" w:id="33"/>
      <w:bookmarkEnd w:id="33"/>
      <w:r w:rsidDel="00000000" w:rsidR="00000000" w:rsidRPr="00000000">
        <w:rPr>
          <w:b w:val="1"/>
          <w:bCs w:val="1"/>
          <w:sz w:val="34"/>
          <w:szCs w:val="34"/>
          <w:rtl w:val="0"/>
        </w:rPr>
        <w:t xml:space="preserve">VIII. TEMPORAL TRACEABILITY AND EVIDENCE BINDING</w:t>
      </w:r>
    </w:p>
    <w:p w:rsidR="00000000" w:rsidDel="00000000" w:rsidP="00000000" w:rsidRDefault="00000000" w:rsidRPr="00000000" ns1:paraId="000000C1">
      <w:pPr>
        <w:spacing w:after="240" w:before="240" w:lineRule="auto"/>
        <w:rPr/>
      </w:pPr>
      <w:r w:rsidDel="00000000" w:rsidR="00000000" w:rsidRPr="00000000">
        <w:rPr>
          <w:rtl w:val="0"/>
        </w:rPr>
        <w:t xml:space="preserve">The authorized-origin chain is:</w:t>
      </w:r>
    </w:p>
    <w:p w:rsidR="00000000" w:rsidDel="00000000" w:rsidP="00000000" w:rsidRDefault="00000000" w:rsidRPr="00000000" ns1: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(obligation or internal requirement) → risk/disposition → ACS or compiler invariant → predicate → receipt.</w:t>
      </w:r>
    </w:p>
    <w:p w:rsidR="00000000" w:rsidDel="00000000" w:rsidP="00000000" w:rsidRDefault="00000000" w:rsidRPr="00000000" ns1:paraId="000000C3">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0C3">
      <w:pPr>
        <w:spacing w:after="240" w:before="240" w:lineRule="auto"/>
        <w:jc w:val="center"/>
        <w:rPr>
          <w:i w:val="1"/>
          <w:iCs w:val="1"/>
        </w:rPr>
      </w:pPr>
      <w:r>
        <w:drawing>
          <ns4:inline>
            <ns4:extent cx="5852160" cy="2462868"/>
            <ns4:docPr id="2" name="Picture 2"/>
            <ns4:cNvGraphicFramePr>
              <ns5:graphicFrameLocks noChangeAspect="1"/>
            </ns4:cNvGraphicFramePr>
            <ns5:graphic>
              <ns5:graphicData uri="http://schemas.openxmlformats.org/drawingml/2006/picture">
                <ns6:pic>
                  <ns6:nvPicPr>
                    <ns6:cNvPr id="0" name="fig2.png"/>
                    <ns6:cNvPicPr/>
                  </ns6:nvPicPr>
                  <ns6:blipFill>
                    <ns5:blip ns7:embed="rId7"/>
                    <ns5:stretch>
                      <ns5:fillRect/>
                    </ns5:stretch>
                  </ns6:blipFill>
                  <ns6:spPr>
                    <ns5:xfrm>
                      <ns5:off x="0" y="0"/>
                      <ns5:ext cx="5852160" cy="2462868"/>
                    </ns5:xfrm>
                    <ns5:prstGeom prst="rect"/>
                  </ns6:spPr>
                </ns6:pic>
              </ns5:graphicData>
            </ns5:graphic>
          </ns4:inline>
        </w:drawing>
      </w:r>
    </w:p>
    <w:p w:rsidR="00000000" w:rsidDel="00000000" w:rsidP="00000000" w:rsidRDefault="00000000" w:rsidRPr="00000000" ns1:paraId="000000C3">
      <w:pPr>
        <w:spacing w:after="240" w:before="240" w:lineRule="auto"/>
        <w:jc w:val="center"/>
        <w:rPr>
          <w:i w:val="1"/>
          <w:iCs w:val="1"/>
        </w:rPr>
      </w:pPr>
      <w:r>
        <w:rPr>
          <w:sz w:val="18"/>
        </w:rPr>
        <w:t>FIGURE 2. The authorized-origin chain and its temporal validity condition. A risk disposed as non-runtime or accepted remains traceable without producing a predicate; receipt validity is evaluated at decision time against the immutable payload and the signed lifecycle registry REG.</w:t>
      </w:r>
    </w:p>
    <w:p w:rsidR="00000000" w:rsidDel="00000000" w:rsidP="00000000" w:rsidRDefault="00000000" w:rsidRPr="00000000" ns1:paraId="000000C4">
      <w:pPr>
        <w:spacing w:after="240" w:before="240" w:lineRule="auto"/>
        <w:rPr/>
      </w:pPr>
      <w:r w:rsidDel="00000000" w:rsidR="00000000" w:rsidRPr="00000000">
        <w:rPr>
          <w:rtl w:val="0"/>
        </w:rPr>
        <w:t xml:space="preserve">An obligation that cannot be represented by a runtime predicate remains traceable through its approved non-runtime or accepted-risk disposition. Traceability completeness does not require every obligation to produce a predicate.</w:t>
      </w:r>
    </w:p>
    <w:p w:rsidR="00000000" w:rsidDel="00000000" w:rsidP="00000000" w:rsidRDefault="00000000" w:rsidRPr="00000000" ns1:paraId="000000C5">
      <w:pPr>
        <w:spacing w:after="240" w:before="240" w:lineRule="auto"/>
        <w:rPr/>
      </w:pPr>
      <w:r w:rsidDel="00000000" w:rsidR="00000000" w:rsidRPr="00000000">
        <w:rPr>
          <w:rtl w:val="0"/>
        </w:rPr>
        <w:t xml:space="preserve">For receipt t, bundle b, and lifecycle registry REG, define:</w:t>
      </w:r>
    </w:p>
    <w:p w:rsidR="00000000" w:rsidDel="00000000" w:rsidP="00000000" w:rsidRDefault="00000000" w:rsidRPr="00000000" ns1:paraId="000000C6">
      <w:pPr>
        <w:spacing w:after="240" w:before="240" w:lineRule="auto"/>
        <w:rPr/>
      </w:pPr>
      <w:r w:rsidDel="00000000" w:rsidR="00000000" w:rsidRPr="00000000">
        <w:rPr>
          <w:rFonts w:ascii="Arial Unicode MS" w:cs="Arial Unicode MS" w:eastAsia="Arial Unicode MS" w:hAnsi="Arial Unicode MS"/>
          <w:rtl w:val="0"/>
        </w:rPr>
        <w:t xml:space="preserve">ValidAt(t, b, REG) = SignatureValid(t) ∧ t.bundle_hash = H(b.payload) ∧ b.effective_from ≤ t.decision_time ∧ ¬Retired(REG, H(b.payload), t.decision_time),</w:t>
      </w:r>
    </w:p>
    <w:p w:rsidR="00000000" w:rsidDel="00000000" w:rsidP="00000000" w:rsidRDefault="00000000" w:rsidRPr="00000000" ns1:paraId="000000C7">
      <w:pPr>
        <w:spacing w:after="240" w:before="240" w:lineRule="auto"/>
        <w:rPr/>
      </w:pPr>
      <w:r w:rsidDel="00000000" w:rsidR="00000000" w:rsidRPr="00000000">
        <w:rPr>
          <w:rFonts w:ascii="Arial Unicode MS" w:cs="Arial Unicode MS" w:eastAsia="Arial Unicode MS" w:hAnsi="Arial Unicode MS"/>
          <w:rtl w:val="0"/>
        </w:rPr>
        <w:t xml:space="preserve">where Retired(REG, h, τ) holds iff REG contains a validly signed retirement, supersession, or revocation record for h with effective_time ≤ τ. Because the payload is immutable (Section VI-F), the hash check binds the receipt to exactly the policy content in force, and the registry check supplies the lifecycle state without ever touching that content. A historical receipt is not drift merely because its bundle is now retired. Drift occurs when the bundle was not valid at the decision time, or when actuation used a bundle after its registry-effective retirement.</w:t>
      </w:r>
    </w:p>
    <w:p w:rsidR="00000000" w:rsidDel="00000000" w:rsidP="00000000" w:rsidRDefault="00000000" w:rsidRPr="00000000" ns1:paraId="000000C8">
      <w:pPr>
        <w:spacing w:after="240" w:before="240" w:lineRule="auto"/>
        <w:rPr/>
      </w:pPr>
      <w:r w:rsidDel="00000000" w:rsidR="00000000" w:rsidRPr="00000000">
        <w:rPr>
          <w:rtl w:val="0"/>
        </w:rPr>
        <w:t xml:space="preserve">Where commit-before-actuate is claimed, the temporal predicate is:</w:t>
      </w:r>
    </w:p>
    <w:p w:rsidR="00000000" w:rsidDel="00000000" w:rsidP="00000000" w:rsidRDefault="00000000" w:rsidRPr="00000000" ns1:paraId="000000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t.authorization_time ≤ t.evidence_commit_time &lt; t.actuation_time</w:t>
      </w:r>
    </w:p>
    <w:p w:rsidR="00000000" w:rsidDel="00000000" w:rsidP="00000000" w:rsidRDefault="00000000" w:rsidRPr="00000000" ns1:paraId="000000CA">
      <w:pPr>
        <w:spacing w:after="240" w:before="240" w:lineRule="auto"/>
        <w:rPr/>
      </w:pPr>
      <w:r w:rsidDel="00000000" w:rsidR="00000000" w:rsidRPr="00000000">
        <w:rPr>
          <w:rtl w:val="0"/>
        </w:rPr>
        <w:t xml:space="preserve">— the authorization decision is taken, the receipt recording that decision is committed to the evidence chain, and only then may actuation occur. This matches the enforcement pipeline of [15], in which permit issuance precedes the trace-record commit that precedes interlock release; a receipt cannot ordinarily be committed before the authorization decision that creates it.</w:t>
      </w:r>
    </w:p>
    <w:p w:rsidR="00000000" w:rsidDel="00000000" w:rsidP="00000000" w:rsidRDefault="00000000" w:rsidRPr="00000000" ns1:paraId="000000CB">
      <w:pPr>
        <w:spacing w:after="240" w:before="240" w:lineRule="auto"/>
        <w:rPr/>
      </w:pPr>
      <w:r w:rsidDel="00000000" w:rsidR="00000000" w:rsidRPr="00000000">
        <w:rPr>
          <w:rtl w:val="0"/>
        </w:rPr>
        <w:t xml:space="preserve">The audit queries therefore test:</w:t>
      </w:r>
    </w:p>
    <w:p w:rsidR="00000000" w:rsidDel="00000000" w:rsidP="00000000" w:rsidRDefault="00000000" w:rsidRPr="00000000" ns1:paraId="000000CC">
      <w:pPr>
        <w:numPr>
          <w:ilvl w:val="0"/>
          <w:numId w:val="6"/>
        </w:numPr>
        <w:spacing w:after="0" w:afterAutospacing="0" w:before="240" w:lineRule="auto"/>
        <w:ind w:left="720" w:hanging="360"/>
      </w:pPr>
      <w:r w:rsidDel="00000000" w:rsidR="00000000" w:rsidRPr="00000000">
        <w:rPr>
          <w:rtl w:val="0"/>
        </w:rPr>
        <w:t xml:space="preserve">obligations without an approved disposition;</w:t>
      </w:r>
    </w:p>
    <w:p w:rsidR="00000000" w:rsidDel="00000000" w:rsidP="00000000" w:rsidRDefault="00000000" w:rsidRPr="00000000" ns1:paraId="000000CD">
      <w:pPr>
        <w:numPr>
          <w:ilvl w:val="0"/>
          <w:numId w:val="6"/>
        </w:numPr>
        <w:spacing w:after="0" w:afterAutospacing="0" w:before="0" w:beforeAutospacing="0" w:lineRule="auto"/>
        <w:ind w:left="720" w:hanging="360"/>
      </w:pPr>
      <w:r w:rsidDel="00000000" w:rsidR="00000000" w:rsidRPr="00000000">
        <w:rPr>
          <w:rtl w:val="0"/>
        </w:rPr>
        <w:t xml:space="preserve">risks without exactly one disposition;</w:t>
      </w:r>
    </w:p>
    <w:p w:rsidR="00000000" w:rsidDel="00000000" w:rsidP="00000000" w:rsidRDefault="00000000" w:rsidRPr="00000000" ns1:paraId="000000CE">
      <w:pPr>
        <w:numPr>
          <w:ilvl w:val="0"/>
          <w:numId w:val="6"/>
        </w:numPr>
        <w:spacing w:after="0" w:afterAutospacing="0" w:before="0" w:beforeAutospacing="0" w:lineRule="auto"/>
        <w:ind w:left="720" w:hanging="360"/>
      </w:pPr>
      <w:r w:rsidDel="00000000" w:rsidR="00000000" w:rsidRPr="00000000">
        <w:rPr>
          <w:rtl w:val="0"/>
        </w:rPr>
        <w:t xml:space="preserve">predicates without a risk or compiler-invariant origin;</w:t>
      </w:r>
    </w:p>
    <w:p w:rsidR="00000000" w:rsidDel="00000000" w:rsidP="00000000" w:rsidRDefault="00000000" w:rsidRPr="00000000" ns1:paraId="000000CF">
      <w:pPr>
        <w:numPr>
          <w:ilvl w:val="0"/>
          <w:numId w:val="6"/>
        </w:numPr>
        <w:spacing w:after="0" w:afterAutospacing="0" w:before="0" w:beforeAutospacing="0" w:lineRule="auto"/>
        <w:ind w:left="720" w:hanging="360"/>
      </w:pPr>
      <w:r w:rsidDel="00000000" w:rsidR="00000000" w:rsidRPr="00000000">
        <w:rPr>
          <w:rtl w:val="0"/>
        </w:rPr>
        <w:t xml:space="preserve">receipts whose bundle was not valid at decision time (payload hash or registry state);</w:t>
      </w:r>
    </w:p>
    <w:p w:rsidR="00000000" w:rsidDel="00000000" w:rsidP="00000000" w:rsidRDefault="00000000" w:rsidRPr="00000000" ns1:paraId="000000D0">
      <w:pPr>
        <w:numPr>
          <w:ilvl w:val="0"/>
          <w:numId w:val="6"/>
        </w:numPr>
        <w:spacing w:after="0" w:afterAutospacing="0" w:before="0" w:beforeAutospacing="0" w:lineRule="auto"/>
        <w:ind w:left="720" w:hanging="360"/>
      </w:pPr>
      <w:r w:rsidDel="00000000" w:rsidR="00000000" w:rsidRPr="00000000">
        <w:rPr>
          <w:rtl w:val="0"/>
        </w:rPr>
        <w:t xml:space="preserve">actuation records lacking a temporally prior committed receipt whose authorization time is not later than its commit time;</w:t>
      </w:r>
    </w:p>
    <w:p w:rsidR="00000000" w:rsidDel="00000000" w:rsidP="00000000" w:rsidRDefault="00000000" w:rsidRPr="00000000" ns1:paraId="000000D1">
      <w:pPr>
        <w:numPr>
          <w:ilvl w:val="0"/>
          <w:numId w:val="6"/>
        </w:numPr>
        <w:spacing w:after="240" w:before="0" w:beforeAutospacing="0" w:lineRule="auto"/>
        <w:ind w:left="720" w:hanging="360"/>
      </w:pPr>
      <w:r w:rsidDel="00000000" w:rsidR="00000000" w:rsidRPr="00000000">
        <w:rPr>
          <w:rtl w:val="0"/>
        </w:rPr>
        <w:t xml:space="preserve">lifecycle-registry records lacking a valid signing authority.</w:t>
      </w:r>
    </w:p>
    <w:p w:rsidR="00000000" w:rsidDel="00000000" w:rsidP="00000000" w:rsidRDefault="00000000" w:rsidRPr="00000000" ns1:paraId="000000D2">
      <w:pPr>
        <w:spacing w:after="240" w:before="240" w:lineRule="auto"/>
        <w:rPr/>
      </w:pPr>
      <w:r w:rsidDel="00000000" w:rsidR="00000000" w:rsidRPr="00000000">
        <w:rPr>
          <w:rtl w:val="0"/>
        </w:rPr>
        <w:t xml:space="preserve">Empty result sets demonstrate linkage and temporal-integrity completeness under the declared data model. They do not, by themselves, establish legal compliance, semantic correctness, or control effectiveness. The permit-binding and single-use semantics that make an unbound, replayed, or substituted authorization detectable are specified in [15] and consumed here unchanged; what this paper adds is the requirement-reference and disposition content that conformant receipts must carry (Section II; Appendix A, constraint 14).</w:t>
      </w:r>
    </w:p>
    <w:p w:rsidR="00000000" w:rsidDel="00000000" w:rsidP="00000000" w:rsidRDefault="00000000" w:rsidRPr="00000000" ns1:paraId="000000D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D4">
      <w:pPr>
        <w:pStyle w:val="Heading2"/>
        <w:keepNext w:val="0"/>
        <w:keepLines w:val="0"/>
        <w:spacing w:after="80" w:lineRule="auto"/>
        <w:rPr>
          <w:b w:val="1"/>
          <w:bCs w:val="1"/>
          <w:sz w:val="34"/>
          <w:szCs w:val="34"/>
        </w:rPr>
      </w:pPr>
      <w:bookmarkStart w:colFirst="0" w:colLast="0" w:name="_chzmoad8vjjd" w:id="34"/>
      <w:bookmarkEnd w:id="34"/>
      <w:r w:rsidDel="00000000" w:rsidR="00000000" w:rsidRPr="00000000">
        <w:rPr>
          <w:b w:val="1"/>
          <w:bCs w:val="1"/>
          <w:sz w:val="34"/>
          <w:szCs w:val="34"/>
          <w:rtl w:val="0"/>
        </w:rPr>
        <w:t xml:space="preserve">IX. CASE STUDY A — INVESTMENT RESEARCH AGENT (FINANCIAL SERVICES)</w:t>
      </w:r>
    </w:p>
    <w:p w:rsidR="00000000" w:rsidDel="00000000" w:rsidP="00000000" w:rsidRDefault="00000000" w:rsidRPr="00000000" ns1:paraId="000000D5">
      <w:pPr>
        <w:spacing w:after="240" w:before="240" w:lineRule="auto"/>
        <w:rPr>
          <w:i w:val="1"/>
          <w:iCs w:val="1"/>
        </w:rPr>
      </w:pPr>
      <w:r w:rsidDel="00000000" w:rsidR="00000000" w:rsidRPr="00000000">
        <w:rPr>
          <w:i w:val="1"/>
          <w:iCs w:val="1"/>
          <w:rtl w:val="0"/>
        </w:rPr>
        <w:t xml:space="preserve">(Condensed here; the full Step 1–5 artifact set, catalog, specifications, judgment record, and dispositions ship machine-readable in the repository. Case is synthetic but fully specified: every field required by Sections III–IV is populated, and the artifact is hash-pinned so refinement and compilation are reproducible by reviewers: the SHA-256 of the RFC 8785 canonical bundle payload is f5cbc3a8016159d2074005fa021bf76ca04fb7aed1408f5ec845418460a43536.)</w:t>
      </w:r>
    </w:p>
    <w:p w:rsidR="00000000" w:rsidDel="00000000" w:rsidP="00000000" w:rsidRDefault="00000000" w:rsidRPr="00000000" ns1:paraId="000000D6">
      <w:pPr>
        <w:spacing w:after="240" w:before="240" w:lineRule="auto"/>
        <w:rPr/>
      </w:pPr>
      <w:r w:rsidDel="00000000" w:rsidR="00000000" w:rsidRPr="00000000">
        <w:rPr>
          <w:b w:val="1"/>
          <w:bCs w:val="1"/>
          <w:rtl w:val="0"/>
        </w:rPr>
        <w:t xml:space="preserve">Profile highlights.</w:t>
      </w:r>
      <w:r w:rsidDel="00000000" w:rsidR="00000000" w:rsidRPr="00000000">
        <w:rPr>
          <w:rtl w:val="0"/>
        </w:rPr>
        <w:t xml:space="preserve"> RAG summarizer over an approved research library; ~220 analysts, ~3,200 briefs/month; draft-only authority (analyst approval required); no trading connectivity in scope; exclusions explicit. Obligations (Step 3, Canadian dealer): OSFI B-13/E-21/B-10/E-23-readiness; CIRO Rule 3600 research supervision [6], with individual predicates citing the applicable sections (notably ss. 3608–3622) rather than the rule number alone; privacy statutes; securities/information-barrier requirements.</w:t>
      </w:r>
    </w:p>
    <w:p w:rsidR="00000000" w:rsidDel="00000000" w:rsidP="00000000" w:rsidRDefault="00000000" w:rsidRPr="00000000" ns1: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Register → disposition → predicate (excerpt).</w:t>
      </w:r>
      <w:r w:rsidDel="00000000" w:rsidR="00000000" w:rsidRPr="00000000">
        <w:rPr>
          <w:rtl w:val="0"/>
        </w:rPr>
        <w:t xml:space="preserve"> Thirteen rows receive runtime dispositions; three receive non-runtime dispositions. L×I values are residual ratings.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60130986492"/>
        <w:gridCol w:w="1716.4469914040114"/>
        <w:gridCol w:w="1613.0004093327875"/>
        <w:gridCol w:w="475.08800654932463"/>
        <w:gridCol w:w="1210.7081457224724"/>
        <w:gridCol w:w="1727.9410560785918"/>
        <w:gridCol w:w="1199.214081047892"/>
        <w:tblGridChange w:id="0">
          <w:tblGrid>
            <w:gridCol w:w="1417.60130986492"/>
            <w:gridCol w:w="1716.4469914040114"/>
            <w:gridCol w:w="1613.0004093327875"/>
            <w:gridCol w:w="475.08800654932463"/>
            <w:gridCol w:w="1210.7081457224724"/>
            <w:gridCol w:w="1727.9410560785918"/>
            <w:gridCol w:w="1199.214081047892"/>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8">
            <w:pPr>
              <w:jc w:val="center"/>
              <w:rPr/>
            </w:pPr>
            <w:r w:rsidDel="00000000" w:rsidR="00000000" w:rsidRPr="00000000">
              <w:rPr>
                <w:b w:val="1"/>
                <w:bCs w:val="1"/>
                <w:rtl w:val="0"/>
              </w:rPr>
              <w:t xml:space="preserve">risk_id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9">
            <w:pPr>
              <w:jc w:val="center"/>
              <w:rPr/>
            </w:pPr>
            <w:r w:rsidDel="00000000" w:rsidR="00000000" w:rsidRPr="00000000">
              <w:rPr>
                <w:rFonts w:ascii="Arial Unicode MS" w:cs="Arial Unicode MS" w:eastAsia="Arial Unicode MS" w:hAnsi="Arial Unicode MS"/>
                <w:b w:val="1"/>
                <w:bCs w:val="1"/>
                <w:rtl w:val="0"/>
              </w:rPr>
              <w:t xml:space="preserve">Event (phenomenon → approved observable)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A">
            <w:pPr>
              <w:jc w:val="center"/>
              <w:rPr/>
            </w:pPr>
            <w:r w:rsidDel="00000000" w:rsidR="00000000" w:rsidRPr="00000000">
              <w:rPr>
                <w:b w:val="1"/>
                <w:bCs w:val="1"/>
                <w:rtl w:val="0"/>
              </w:rPr>
              <w:t xml:space="preserve">consequence_class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B">
            <w:pPr>
              <w:jc w:val="center"/>
              <w:rPr/>
            </w:pPr>
            <w:r w:rsidDel="00000000" w:rsidR="00000000" w:rsidRPr="00000000">
              <w:rPr>
                <w:b w:val="1"/>
                <w:bCs w:val="1"/>
                <w:rtl w:val="0"/>
              </w:rPr>
              <w:t xml:space="preserv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C">
            <w:pPr>
              <w:jc w:val="center"/>
              <w:rPr/>
            </w:pPr>
            <w:r w:rsidDel="00000000" w:rsidR="00000000" w:rsidRPr="00000000">
              <w:rPr>
                <w:b w:val="1"/>
                <w:bCs w:val="1"/>
                <w:rtl w:val="0"/>
              </w:rPr>
              <w:t xml:space="preserve">Disposition / gate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D">
            <w:pPr>
              <w:jc w:val="center"/>
              <w:rPr/>
            </w:pPr>
            <w:r w:rsidDel="00000000" w:rsidR="00000000" w:rsidRPr="00000000">
              <w:rPr>
                <w:b w:val="1"/>
                <w:bCs w:val="1"/>
                <w:rtl w:val="0"/>
              </w:rPr>
              <w:t xml:space="preserve">Predicate sketch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E">
            <w:pPr>
              <w:jc w:val="center"/>
              <w:rPr/>
            </w:pPr>
            <w:r w:rsidDel="00000000" w:rsidR="00000000" w:rsidRPr="00000000">
              <w:rPr>
                <w:b w:val="1"/>
                <w:bCs w:val="1"/>
                <w:rtl w:val="0"/>
              </w:rPr>
              <w:t xml:space="preserve">on_unknown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F">
            <w:pPr>
              <w:rPr/>
            </w:pPr>
            <w:r w:rsidDel="00000000" w:rsidR="00000000" w:rsidRPr="00000000">
              <w:rPr>
                <w:rtl w:val="0"/>
              </w:rPr>
              <w:t xml:space="preserve">R-01 hallucinated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0">
            <w:pPr>
              <w:rPr/>
            </w:pPr>
            <w:r w:rsidDel="00000000" w:rsidR="00000000" w:rsidRPr="00000000">
              <w:rPr>
                <w:rtl w:val="0"/>
              </w:rPr>
              <w:t xml:space="preserve">typed claim object lacks resolving source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1">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2">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3">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4">
            <w:pPr>
              <w:rPr/>
            </w:pPr>
            <w:r w:rsidDel="00000000" w:rsidR="00000000" w:rsidRPr="00000000">
              <w:rPr>
                <w:rtl w:val="0"/>
              </w:rPr>
              <w:t xml:space="preserve">every typed claim object in the output schema resolves to an approved-library source hash (structural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5">
            <w:pPr>
              <w:rPr/>
            </w:pPr>
            <w:r w:rsidDel="00000000" w:rsidR="00000000" w:rsidRPr="00000000">
              <w:rPr>
                <w:rtl w:val="0"/>
              </w:rPr>
              <w:t xml:space="preserve">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6">
            <w:pPr>
              <w:rPr/>
            </w:pPr>
            <w:r w:rsidDel="00000000" w:rsidR="00000000" w:rsidRPr="00000000">
              <w:rPr>
                <w:rtl w:val="0"/>
              </w:rPr>
              <w:t xml:space="preserve">R-02 citation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7">
            <w:pPr>
              <w:rPr/>
            </w:pPr>
            <w:r w:rsidDel="00000000" w:rsidR="00000000" w:rsidRPr="00000000">
              <w:rPr>
                <w:rFonts w:ascii="Arial Unicode MS" w:cs="Arial Unicode MS" w:eastAsia="Arial Unicode MS" w:hAnsi="Arial Unicode MS"/>
                <w:rtl w:val="0"/>
              </w:rPr>
              <w:t xml:space="preserve">cited source ∉ approved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8">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9">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A">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B">
            <w:pPr>
              <w:rPr/>
            </w:pPr>
            <w:r w:rsidDel="00000000" w:rsidR="00000000" w:rsidRPr="00000000">
              <w:rPr>
                <w:rFonts w:ascii="Arial Unicode MS" w:cs="Arial Unicode MS" w:eastAsia="Arial Unicode MS" w:hAnsi="Arial Unicode MS"/>
                <w:rtl w:val="0"/>
              </w:rPr>
              <w:t xml:space="preserve">citation set ⊆ approved library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C">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D">
            <w:pPr>
              <w:rPr/>
            </w:pPr>
            <w:r w:rsidDel="00000000" w:rsidR="00000000" w:rsidRPr="00000000">
              <w:rPr>
                <w:rtl w:val="0"/>
              </w:rPr>
              <w:t xml:space="preserve">R-03 stale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E">
            <w:pPr>
              <w:rPr/>
            </w:pPr>
            <w:r w:rsidDel="00000000" w:rsidR="00000000" w:rsidRPr="00000000">
              <w:rPr>
                <w:rtl w:val="0"/>
              </w:rPr>
              <w:t xml:space="preserve">source timestamp &gt; freshness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F">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1">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2">
            <w:pPr>
              <w:rPr/>
            </w:pPr>
            <w:r w:rsidDel="00000000" w:rsidR="00000000" w:rsidRPr="00000000">
              <w:rPr>
                <w:rFonts w:ascii="Arial Unicode MS" w:cs="Arial Unicode MS" w:eastAsia="Arial Unicode MS" w:hAnsi="Arial Unicode MS"/>
                <w:rtl w:val="0"/>
              </w:rPr>
              <w:t xml:space="preserve">max source age ≤ policy bound per asset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3">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4">
            <w:pPr>
              <w:rPr/>
            </w:pPr>
            <w:r w:rsidDel="00000000" w:rsidR="00000000" w:rsidRPr="00000000">
              <w:rPr>
                <w:rtl w:val="0"/>
              </w:rPr>
              <w:t xml:space="preserve">R-04 biased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5">
            <w:pPr>
              <w:rPr/>
            </w:pPr>
            <w:r w:rsidDel="00000000" w:rsidR="00000000" w:rsidRPr="00000000">
              <w:rPr>
                <w:rtl w:val="0"/>
              </w:rPr>
              <w:t xml:space="preserve">coverage skew metric &gt;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6">
            <w:pPr>
              <w:rPr/>
            </w:pPr>
            <w:r w:rsidDel="00000000" w:rsidR="00000000" w:rsidRPr="00000000">
              <w:rPr>
                <w:rtl w:val="0"/>
              </w:rPr>
              <w:t xml:space="preserve">conduct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8">
            <w:pPr>
              <w:rPr/>
            </w:pPr>
            <w:r w:rsidDel="00000000" w:rsidR="00000000" w:rsidRPr="00000000">
              <w:rPr>
                <w:rtl w:val="0"/>
              </w:rPr>
              <w:t xml:space="preserve">runtime · weighted + advisory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9">
            <w:pPr>
              <w:rPr/>
            </w:pPr>
            <w:r w:rsidDel="00000000" w:rsidR="00000000" w:rsidRPr="00000000">
              <w:rPr>
                <w:rFonts w:ascii="Arial Unicode MS" w:cs="Arial Unicode MS" w:eastAsia="Arial Unicode MS" w:hAnsi="Arial Unicode MS"/>
                <w:rtl w:val="0"/>
              </w:rPr>
              <w:t xml:space="preserve">measured skew ≤ threshold (contract; aggregation_group)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A">
            <w:pPr>
              <w:rPr/>
            </w:pPr>
            <w:r w:rsidDel="00000000" w:rsidR="00000000" w:rsidRPr="00000000">
              <w:rPr>
                <w:rtl w:val="0"/>
              </w:rPr>
              <w:t xml:space="preserve">warn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B">
            <w:pPr>
              <w:rPr/>
            </w:pPr>
            <w:r w:rsidDel="00000000" w:rsidR="00000000" w:rsidRPr="00000000">
              <w:rPr>
                <w:rtl w:val="0"/>
              </w:rPr>
              <w:t xml:space="preserve">R-05 MNPI leakage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C">
            <w:pPr>
              <w:rPr/>
            </w:pPr>
            <w:r w:rsidDel="00000000" w:rsidR="00000000" w:rsidRPr="00000000">
              <w:rPr>
                <w:rtl w:val="0"/>
              </w:rPr>
              <w:t xml:space="preserve">restricted-list match in context/output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D">
            <w:pPr>
              <w:rPr/>
            </w:pPr>
            <w:r w:rsidDel="00000000" w:rsidR="00000000" w:rsidRPr="00000000">
              <w:rPr>
                <w:b w:val="1"/>
                <w:bCs w:val="1"/>
                <w:rtl w:val="0"/>
              </w:rPr>
              <w:t xml:space="preserve">C*: info-barrier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F">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0">
            <w:pPr>
              <w:rPr/>
            </w:pPr>
            <w:r w:rsidDel="00000000" w:rsidR="00000000" w:rsidRPr="00000000">
              <w:rPr>
                <w:rtl w:val="0"/>
              </w:rPr>
              <w:t xml:space="preserve">signed entity-resolution artifact reports restricted_list_match ==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1">
            <w:pPr>
              <w:rPr/>
            </w:pPr>
            <w:r w:rsidDel="00000000" w:rsidR="00000000" w:rsidRPr="00000000">
              <w:rPr>
                <w:rtl w:val="0"/>
              </w:rPr>
              <w:t xml:space="preserve">fail + escalate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2">
            <w:pPr>
              <w:rPr/>
            </w:pPr>
            <w:r w:rsidDel="00000000" w:rsidR="00000000" w:rsidRPr="00000000">
              <w:rPr>
                <w:rtl w:val="0"/>
              </w:rPr>
              <w:t xml:space="preserve">R-06 missing conflict disclosures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3">
            <w:pPr>
              <w:rPr/>
            </w:pPr>
            <w:r w:rsidDel="00000000" w:rsidR="00000000" w:rsidRPr="00000000">
              <w:rPr>
                <w:rtl w:val="0"/>
              </w:rPr>
              <w:t xml:space="preserve">mandatory disclosure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4">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6">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7">
            <w:pPr>
              <w:rPr/>
            </w:pPr>
            <w:r w:rsidDel="00000000" w:rsidR="00000000" w:rsidRPr="00000000">
              <w:rPr>
                <w:rtl w:val="0"/>
              </w:rPr>
              <w:t xml:space="preserve">disclosure checklist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8">
            <w:pPr>
              <w:rPr/>
            </w:pPr>
            <w:r w:rsidDel="00000000" w:rsidR="00000000" w:rsidRPr="00000000">
              <w:rPr>
                <w:rtl w:val="0"/>
              </w:rPr>
              <w:t xml:space="preserve">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9">
            <w:pPr>
              <w:rPr/>
            </w:pPr>
            <w:r w:rsidDel="00000000" w:rsidR="00000000" w:rsidRPr="00000000">
              <w:rPr>
                <w:rtl w:val="0"/>
              </w:rPr>
              <w:t xml:space="preserve">R-07 prompt injection / poisoning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A">
            <w:pPr>
              <w:rPr/>
            </w:pPr>
            <w:r w:rsidDel="00000000" w:rsidR="00000000" w:rsidRPr="00000000">
              <w:rPr>
                <w:rtl w:val="0"/>
              </w:rPr>
              <w:t xml:space="preserve">retrieved doc fails provenance/structure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B">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D">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E">
            <w:pPr>
              <w:rPr/>
            </w:pPr>
            <w:r w:rsidDel="00000000" w:rsidR="00000000" w:rsidRPr="00000000">
              <w:rPr>
                <w:rFonts w:ascii="Arial Unicode MS" w:cs="Arial Unicode MS" w:eastAsia="Arial Unicode MS" w:hAnsi="Arial Unicode MS"/>
                <w:rtl w:val="0"/>
              </w:rPr>
              <w:t xml:space="preserve">source provenance verified; tool-call ∉ retrieved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F">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0">
            <w:pPr>
              <w:rPr/>
            </w:pPr>
            <w:r w:rsidDel="00000000" w:rsidR="00000000" w:rsidRPr="00000000">
              <w:rPr>
                <w:rtl w:val="0"/>
              </w:rPr>
              <w:t xml:space="preserve">R-08 unauthorized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1">
            <w:pPr>
              <w:rPr/>
            </w:pPr>
            <w:r w:rsidDel="00000000" w:rsidR="00000000" w:rsidRPr="00000000">
              <w:rPr>
                <w:rtl w:val="0"/>
              </w:rPr>
              <w:t xml:space="preserve">distribution without supervisor approval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2">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4">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5">
            <w:pPr>
              <w:rPr/>
            </w:pPr>
            <w:r w:rsidDel="00000000" w:rsidR="00000000" w:rsidRPr="00000000">
              <w:rPr>
                <w:rtl w:val="0"/>
              </w:rPr>
              <w:t xml:space="preserve">valid supervisory approval bound to this draft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6">
            <w:pPr>
              <w:rPr/>
            </w:pPr>
            <w:r w:rsidDel="00000000" w:rsidR="00000000" w:rsidRPr="00000000">
              <w:rPr>
                <w:rtl w:val="0"/>
              </w:rPr>
              <w:t xml:space="preserve">fail</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7">
            <w:pPr>
              <w:rPr/>
            </w:pPr>
            <w:r w:rsidDel="00000000" w:rsidR="00000000" w:rsidRPr="00000000">
              <w:rPr>
                <w:rtl w:val="0"/>
              </w:rPr>
              <w:t xml:space="preserve">R-09 unauthorized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8">
            <w:pPr>
              <w:rPr/>
            </w:pPr>
            <w:r w:rsidDel="00000000" w:rsidR="00000000" w:rsidRPr="00000000">
              <w:rPr>
                <w:rtl w:val="0"/>
              </w:rPr>
              <w:t xml:space="preserve">recommendation-class fields present, or reliance disclaimer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9">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B">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C">
            <w:pPr>
              <w:rPr/>
            </w:pPr>
            <w:r w:rsidDel="00000000" w:rsidR="00000000" w:rsidRPr="00000000">
              <w:rPr>
                <w:rFonts w:ascii="Arial Unicode MS" w:cs="Arial Unicode MS" w:eastAsia="Arial Unicode MS" w:hAnsi="Arial Unicode MS"/>
                <w:rtl w:val="0"/>
              </w:rPr>
              <w:t xml:space="preserve">recommendation-class fields ∉ authority matrix → structurally unpermittable; reliance disclaimer present (structural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D">
            <w:pPr>
              <w:rPr/>
            </w:pPr>
            <w:r w:rsidDel="00000000" w:rsidR="00000000" w:rsidRPr="00000000">
              <w:rPr>
                <w:rtl w:val="0"/>
              </w:rPr>
              <w:t xml:space="preserve">fail</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E">
            <w:pPr>
              <w:rPr/>
            </w:pPr>
            <w:r w:rsidDel="00000000" w:rsidR="00000000" w:rsidRPr="00000000">
              <w:rPr>
                <w:rtl w:val="0"/>
              </w:rPr>
              <w:t xml:space="preserve">R-10 unauthorized trading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F">
            <w:pPr>
              <w:rPr/>
            </w:pPr>
            <w:r w:rsidDel="00000000" w:rsidR="00000000" w:rsidRPr="00000000">
              <w:rPr>
                <w:rtl w:val="0"/>
              </w:rPr>
              <w:t xml:space="preserve">order-system call attempted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0">
            <w:pPr>
              <w:rPr/>
            </w:pPr>
            <w:r w:rsidDel="00000000" w:rsidR="00000000" w:rsidRPr="00000000">
              <w:rPr>
                <w:b w:val="1"/>
                <w:bCs w:val="1"/>
                <w:rtl w:val="0"/>
              </w:rPr>
              <w:t xml:space="preserve">C*: irreversible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2">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3">
            <w:pPr>
              <w:rPr/>
            </w:pPr>
            <w:r w:rsidDel="00000000" w:rsidR="00000000" w:rsidRPr="00000000">
              <w:rPr>
                <w:rFonts w:ascii="Arial Unicode MS" w:cs="Arial Unicode MS" w:eastAsia="Arial Unicode MS" w:hAnsi="Arial Unicode MS"/>
                <w:rtl w:val="0"/>
              </w:rPr>
              <w:t xml:space="preserve">action ∉ authority matrix → structurally unpermittable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4">
            <w:pPr>
              <w:rPr/>
            </w:pPr>
            <w:r w:rsidDel="00000000" w:rsidR="00000000" w:rsidRPr="00000000">
              <w:rPr>
                <w:rtl w:val="0"/>
              </w:rPr>
              <w:t xml:space="preserve">fail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5">
            <w:pPr>
              <w:rPr/>
            </w:pPr>
            <w:r w:rsidDel="00000000" w:rsidR="00000000" w:rsidRPr="00000000">
              <w:rPr>
                <w:rtl w:val="0"/>
              </w:rPr>
              <w:t xml:space="preserve">R-11 model/vendor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6">
            <w:pPr>
              <w:rPr/>
            </w:pPr>
            <w:r w:rsidDel="00000000" w:rsidR="00000000" w:rsidRPr="00000000">
              <w:rPr>
                <w:rFonts w:ascii="Arial Unicode MS" w:cs="Arial Unicode MS" w:eastAsia="Arial Unicode MS" w:hAnsi="Arial Unicode MS"/>
                <w:rtl w:val="0"/>
              </w:rPr>
              <w:t xml:space="preserve">runtime version fingerprint ≠ assessed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7">
            <w:pPr>
              <w:rPr/>
            </w:pPr>
            <w:r w:rsidDel="00000000" w:rsidR="00000000" w:rsidRPr="00000000">
              <w:rPr>
                <w:rtl w:val="0"/>
              </w:rPr>
              <w:t xml:space="preserve">governance (bundle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8">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9">
            <w:pPr>
              <w:rPr/>
            </w:pPr>
            <w:r w:rsidDel="00000000" w:rsidR="00000000" w:rsidRPr="00000000">
              <w:rPr>
                <w:rtl w:val="0"/>
              </w:rPr>
              <w:t xml:space="preserve">runtime · mandatory (other; coincides with INV-VERSION)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A">
            <w:pPr>
              <w:rPr/>
            </w:pPr>
            <w:r w:rsidDel="00000000" w:rsidR="00000000" w:rsidRPr="00000000">
              <w:rPr>
                <w:rtl w:val="0"/>
              </w:rPr>
              <w:t xml:space="preserve">runtime model/prompt/policy fingerprint == </w:t>
            </w:r>
            <w:r w:rsidDel="00000000" w:rsidR="00000000" w:rsidRPr="00000000">
              <w:rPr>
                <w:rFonts w:ascii="Roboto Mono" w:cs="Roboto Mono" w:eastAsia="Roboto Mono" w:hAnsi="Roboto Mono"/>
                <w:color w:val="188038"/>
                <w:rtl w:val="0"/>
              </w:rPr>
              <w:t xml:space="preserve">M.version_binding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B">
            <w:pPr>
              <w:rPr/>
            </w:pPr>
            <w:r w:rsidDel="00000000" w:rsidR="00000000" w:rsidRPr="00000000">
              <w:rPr>
                <w:rtl w:val="0"/>
              </w:rPr>
              <w:t xml:space="preserve">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C">
            <w:pPr>
              <w:rPr/>
            </w:pPr>
            <w:r w:rsidDel="00000000" w:rsidR="00000000" w:rsidRPr="00000000">
              <w:rPr>
                <w:rtl w:val="0"/>
              </w:rPr>
              <w:t xml:space="preserve">R-12 weak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D">
            <w:pPr>
              <w:rPr/>
            </w:pPr>
            <w:r w:rsidDel="00000000" w:rsidR="00000000" w:rsidRPr="00000000">
              <w:rPr>
                <w:rtl w:val="0"/>
              </w:rPr>
              <w:t xml:space="preserve">reviewer dwell/volume outside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E">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0">
            <w:pPr>
              <w:rPr/>
            </w:pPr>
            <w:r w:rsidDel="00000000" w:rsidR="00000000" w:rsidRPr="00000000">
              <w:rPr>
                <w:rFonts w:ascii="Arial Unicode MS" w:cs="Arial Unicode MS" w:eastAsia="Arial Unicode MS" w:hAnsi="Arial Unicode MS"/>
                <w:rtl w:val="0"/>
              </w:rPr>
              <w:t xml:space="preserve">runtime · advisory →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1">
            <w:pPr>
              <w:rPr/>
            </w:pPr>
            <w:r w:rsidDel="00000000" w:rsidR="00000000" w:rsidRPr="00000000">
              <w:rPr>
                <w:rtl w:val="0"/>
              </w:rPr>
              <w:t xml:space="preserve">review-time telemetry within band (deterministic proxy for substantive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2">
            <w:pPr>
              <w:rPr/>
            </w:pPr>
            <w:r w:rsidDel="00000000" w:rsidR="00000000" w:rsidRPr="00000000">
              <w:rPr>
                <w:rtl w:val="0"/>
              </w:rPr>
              <w:t xml:space="preserve">warn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3">
            <w:pPr>
              <w:rPr/>
            </w:pPr>
            <w:r w:rsidDel="00000000" w:rsidR="00000000" w:rsidRPr="00000000">
              <w:rPr>
                <w:rtl w:val="0"/>
              </w:rPr>
              <w:t xml:space="preserve">R-13 evidence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4">
            <w:pPr>
              <w:rPr/>
            </w:pPr>
            <w:r w:rsidDel="00000000" w:rsidR="00000000" w:rsidRPr="00000000">
              <w:rPr>
                <w:rtl w:val="0"/>
              </w:rPr>
              <w:t xml:space="preserve">receipt chain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5">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7">
            <w:pPr>
              <w:rPr/>
            </w:pPr>
            <w:r w:rsidDel="00000000" w:rsidR="00000000" w:rsidRPr="00000000">
              <w:rPr>
                <w:rtl w:val="0"/>
              </w:rPr>
              <w:t xml:space="preserve">runtime · </w:t>
            </w:r>
            <w:r w:rsidDel="00000000" w:rsidR="00000000" w:rsidRPr="00000000">
              <w:rPr>
                <w:b w:val="1"/>
                <w:bCs w:val="1"/>
                <w:rtl w:val="0"/>
              </w:rPr>
              <w:t xml:space="preserve">mandatory (C*; coincides with INV-EVIDENCE-COMMIT)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8">
            <w:pPr>
              <w:rPr/>
            </w:pPr>
            <w:r w:rsidDel="00000000" w:rsidR="00000000" w:rsidRPr="00000000">
              <w:rPr>
                <w:rtl w:val="0"/>
              </w:rPr>
              <w:t xml:space="preserve">receipt committed after authorization and chained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9">
            <w:pPr>
              <w:rPr/>
            </w:pPr>
            <w:r w:rsidDel="00000000" w:rsidR="00000000" w:rsidRPr="00000000">
              <w:rPr>
                <w:rtl w:val="0"/>
              </w:rPr>
              <w:t xml:space="preserve">fail</w:t>
            </w:r>
          </w:p>
        </w:tc>
      </w:tr>
    </w:tbl>
    <w:p w:rsidR="00000000" w:rsidDel="00000000" w:rsidP="00000000" w:rsidRDefault="00000000" w:rsidRPr="00000000" ns1:paraId="0000013A">
      <w:pPr>
        <w:spacing w:after="240" w:before="240" w:lineRule="auto"/>
        <w:rPr/>
      </w:pPr>
      <w:r w:rsidDel="00000000" w:rsidR="00000000" w:rsidRPr="00000000">
        <w:rPr>
          <w:rtl w:val="0"/>
        </w:rPr>
        <w:t xml:space="preserve">Rows R-01–R-14 correspond one-to-one to the fourteen-row source register; R-15 and R-16 are register extensions added to exercise the remaining reason-code classes. Dispositions: 13 runtime, 3 non-runtime, 0 accepted, 0 unresolved — DC = 1 by construction once dispositions are signed; RCY = 13/16 (descriptive). Every C* row satisfies the coverage rule CV: each carries at least one decisive mandatory gate over its authorized hazardous action path, and supporting advisory conditions (where present) are recorded with </w:t>
      </w:r>
      <w:r w:rsidDel="00000000" w:rsidR="00000000" w:rsidRPr="00000000">
        <w:rPr>
          <w:rFonts w:ascii="Roboto Mono" w:cs="Roboto Mono" w:eastAsia="Roboto Mono" w:hAnsi="Roboto Mono"/>
          <w:color w:val="188038"/>
          <w:rtl w:val="0"/>
        </w:rPr>
        <w:t xml:space="preserve">mandatory_role = supporting</w:t>
      </w:r>
      <w:r w:rsidDel="00000000" w:rsidR="00000000" w:rsidRPr="00000000">
        <w:rPr>
          <w:rtl w:val="0"/>
        </w:rPr>
        <w:t xml:space="preserve">. WC-01 and RC-05 handling are exercised in the machine-readable artifact's deliberately seeded validation rows.</w:t>
      </w:r>
    </w:p>
    <w:p w:rsidR="00000000" w:rsidDel="00000000" w:rsidP="00000000" w:rsidRDefault="00000000" w:rsidRPr="00000000" ns1:paraId="0000013B">
      <w:pPr>
        <w:spacing w:after="240" w:before="240" w:lineRule="auto"/>
        <w:rPr/>
      </w:pPr>
      <w:r w:rsidDel="00000000" w:rsidR="00000000" w:rsidRPr="00000000">
        <w:rPr>
          <w:b w:val="1"/>
          <w:bCs w:val="1"/>
          <w:rtl w:val="0"/>
        </w:rPr>
        <w:t xml:space="preserve">R-01 note.</w:t>
      </w:r>
      <w:r w:rsidDel="00000000" w:rsidR="00000000" w:rsidRPr="00000000">
        <w:rPr>
          <w:rtl w:val="0"/>
        </w:rPr>
        <w:t xml:space="preserve"> The predicate is deterministic only because the output schema represents factual claims as </w:t>
      </w:r>
      <w:r w:rsidDel="00000000" w:rsidR="00000000" w:rsidRPr="00000000">
        <w:rPr>
          <w:i w:val="1"/>
          <w:iCs w:val="1"/>
          <w:rtl w:val="0"/>
        </w:rPr>
        <w:t xml:space="preserve">typed claim objects</w:t>
      </w:r>
      <w:r w:rsidDel="00000000" w:rsidR="00000000" w:rsidRPr="00000000">
        <w:rPr>
          <w:rtl w:val="0"/>
        </w:rPr>
        <w:t xml:space="preserve"> — structured fields carrying a claim identifier, a text span, and a source-hash slot — so "every factual claim resolves to a source" is a structural check over enumerated objects, never a semantic classification of prose. Identifying what constitutes a factual claim in </w:t>
      </w:r>
      <w:r w:rsidDel="00000000" w:rsidR="00000000" w:rsidRPr="00000000">
        <w:rPr>
          <w:i w:val="1"/>
          <w:iCs w:val="1"/>
          <w:rtl w:val="0"/>
        </w:rPr>
        <w:t xml:space="preserve">unstructured</w:t>
      </w:r>
      <w:r w:rsidDel="00000000" w:rsidR="00000000" w:rsidRPr="00000000">
        <w:rPr>
          <w:rtl w:val="0"/>
        </w:rPr>
        <w:t xml:space="preserve"> text would require probabilistic judgment and is exactly the RC-03 condition; that residual — untyped prose read as a factual assertion despite falling outside the claim schema — is routed upstream to the evidence-production layer and to R-12 monitoring, and the warrant boundary in the ACS states it. Where an adopting system cannot type its claims, R-01 lawfully receives a non-runtime disposition rather than a pretend-deterministic predicate.</w:t>
      </w:r>
    </w:p>
    <w:p w:rsidR="00000000" w:rsidDel="00000000" w:rsidP="00000000" w:rsidRDefault="00000000" w:rsidRPr="00000000" ns1:paraId="0000013C">
      <w:pPr>
        <w:spacing w:after="240" w:before="240" w:lineRule="auto"/>
        <w:rPr/>
      </w:pPr>
      <w:r w:rsidDel="00000000" w:rsidR="00000000" w:rsidRPr="00000000">
        <w:rPr>
          <w:b w:val="1"/>
          <w:bCs w:val="1"/>
          <w:rtl w:val="0"/>
        </w:rPr>
        <w:t xml:space="preserve">R-09 note.</w:t>
      </w:r>
      <w:r w:rsidDel="00000000" w:rsidR="00000000" w:rsidRPr="00000000">
        <w:rPr>
          <w:rtl w:val="0"/>
        </w:rPr>
        <w:t xml:space="preserve"> "Unauthorized recommendation" receives a runtime disposition </w:t>
      </w:r>
      <w:r w:rsidDel="00000000" w:rsidR="00000000" w:rsidRPr="00000000">
        <w:rPr>
          <w:i w:val="1"/>
          <w:iCs w:val="1"/>
          <w:rtl w:val="0"/>
        </w:rPr>
        <w:t xml:space="preserve">deterministically</w:t>
      </w:r>
      <w:r w:rsidDel="00000000" w:rsidR="00000000" w:rsidRPr="00000000">
        <w:rPr>
          <w:rtl w:val="0"/>
        </w:rPr>
        <w:t xml:space="preserve"> because the predicate never judges whether prose "sounds like" advice — that would be RC-03. Its catalog template tests structure: recommendation-class fields (rating, price target, action-language slots in the output schema) are absent from the authority matrix and therefore structurally unpermittable, and the mandatory reliance disclaimer is a structural presence check. The residual risk that free prose is </w:t>
      </w:r>
      <w:r w:rsidDel="00000000" w:rsidR="00000000" w:rsidRPr="00000000">
        <w:rPr>
          <w:i w:val="1"/>
          <w:iCs w:val="1"/>
          <w:rtl w:val="0"/>
        </w:rPr>
        <w:t xml:space="preserve">read as</w:t>
      </w:r>
      <w:r w:rsidDel="00000000" w:rsidR="00000000" w:rsidRPr="00000000">
        <w:rPr>
          <w:rtl w:val="0"/>
        </w:rPr>
        <w:t xml:space="preserve"> a recommendation despite the disclaimer is a human-factors exposure routed to R-12 monitoring — an honest warrant boundary, stated in the ACS rather than papered over.</w:t>
      </w:r>
    </w:p>
    <w:p w:rsidR="00000000" w:rsidDel="00000000" w:rsidP="00000000" w:rsidRDefault="00000000" w:rsidRPr="00000000" ns1:paraId="0000013D">
      <w:pPr>
        <w:spacing w:after="240" w:before="240" w:lineRule="auto"/>
        <w:rPr/>
      </w:pPr>
      <w:r w:rsidDel="00000000" w:rsidR="00000000" w:rsidRPr="00000000">
        <w:rPr>
          <w:b w:val="1"/>
          <w:bCs w:val="1"/>
          <w:rtl w:val="0"/>
        </w:rPr>
        <w:t xml:space="preserve">R-11 note.</w:t>
      </w:r>
      <w:r w:rsidDel="00000000" w:rsidR="00000000" w:rsidRPr="00000000">
        <w:rPr>
          <w:rtl w:val="0"/>
        </w:rPr>
        <w:t xml:space="preserve"> The model/vendor-change row is where a register requirement and a compiler invariant meet: Φ emits INV-VERSION for every bundle by construction, so R-11's predicate coincides with a control that exists regardless. The register row is not redundant — it attaches the </w:t>
      </w:r>
      <w:r w:rsidDel="00000000" w:rsidR="00000000" w:rsidRPr="00000000">
        <w:rPr>
          <w:i w:val="1"/>
          <w:iCs w:val="1"/>
          <w:rtl w:val="0"/>
        </w:rPr>
        <w:t xml:space="preserve">governance</w:t>
      </w:r>
      <w:r w:rsidDel="00000000" w:rsidR="00000000" w:rsidRPr="00000000">
        <w:rPr>
          <w:rtl w:val="0"/>
        </w:rPr>
        <w:t xml:space="preserve"> apparatus (owner, rating, treatment, escalation) to the invariant, and it converts the Knight Capital argument of Section III from a bundle-invalidation policy into a per-action runtime test: no action is authorized under a configuration the assessment never covered. Origin metadata keeps the two authorizations distinct (</w:t>
      </w:r>
      <w:r w:rsidDel="00000000" w:rsidR="00000000" w:rsidRPr="00000000">
        <w:rPr>
          <w:rFonts w:ascii="Roboto Mono" w:cs="Roboto Mono" w:eastAsia="Roboto Mono" w:hAnsi="Roboto Mono"/>
          <w:color w:val="188038"/>
          <w:rtl w:val="0"/>
        </w:rPr>
        <w:t xml:space="preserve">risk_derived</w:t>
      </w:r>
      <w:r w:rsidDel="00000000" w:rsidR="00000000" w:rsidRPr="00000000">
        <w:rPr>
          <w:rtl w:val="0"/>
        </w:rPr>
        <w:t xml:space="preserve"> citing R-11; </w:t>
      </w:r>
      <w:r w:rsidDel="00000000" w:rsidR="00000000" w:rsidRPr="00000000">
        <w:rPr>
          <w:rFonts w:ascii="Roboto Mono" w:cs="Roboto Mono" w:eastAsia="Roboto Mono" w:hAnsi="Roboto Mono"/>
          <w:color w:val="188038"/>
          <w:rtl w:val="0"/>
        </w:rPr>
        <w:t xml:space="preserve">compiler_invariant</w:t>
      </w:r>
      <w:r w:rsidDel="00000000" w:rsidR="00000000" w:rsidRPr="00000000">
        <w:rPr>
          <w:rtl w:val="0"/>
        </w:rPr>
        <w:t xml:space="preserve"> citing INV-VERSION).</w:t>
      </w:r>
    </w:p>
    <w:p w:rsidR="00000000" w:rsidDel="00000000" w:rsidP="00000000" w:rsidRDefault="00000000" w:rsidRPr="00000000" ns1:paraId="0000013E">
      <w:pPr>
        <w:spacing w:after="240" w:before="240" w:lineRule="auto"/>
        <w:rPr>
          <w:rFonts w:ascii="Roboto Mono" w:cs="Roboto Mono" w:eastAsia="Roboto Mono" w:hAnsi="Roboto Mono"/>
          <w:color w:val="188038"/>
        </w:rPr>
      </w:pPr>
      <w:r w:rsidDel="00000000" w:rsidR="00000000" w:rsidRPr="00000000">
        <w:rPr>
          <w:b w:val="1"/>
          <w:bCs w:val="1"/>
          <w:rtl w:val="0"/>
        </w:rPr>
        <w:t xml:space="preserve">Reading of Propositions 1 and 2 on this register. R-10 (s = 10) and R-13 (10) sit at the bottom of the runtime rows' heat map — below R-01 (20) and below R-02/R-03/R-11 (16) — yet carry mandatory gates by class. Conversely R-04 (12) and R-12 (12) outrank R-10 on the map yet correctly receive no gate, while R-09, at the same score of 12, is gated by class membership alone. The inversion (s_{R-10} = 10 &lt; 12 = s_{R-04}, g_{R-10} = 1, g_{R-04} = 0) satisfies Proposition 1, so GD_min ≥ 1 on this register; and the collision at s = 12 among the runtime rows — R-04, R-09 and R-12, with gates 0, 1, 0 — instantiates Proposition 2 — no function of the scalar score, monotone or otherwise, reproduces this assignment. Measured on the pinned artifact, against the enterprise's predeclared threshold T_H = 15: GD(15) = 3 — R-09, R-10 and R-13 carry mandatory gates by class while scoring below the threshold — and GD_min = 3, so no scalar threshold reproduces the approved assignment more closely than the declared one. Both sums run over all sixteen register rows, non-runtime dispositions included: those rows carry ratings but no gate, and excluding them would understate divergence at low thresholds. The three non-runtime rows are rated R-14 = 12 (L = 3, I = 4), R-15 = 6 (L = 3, I = 2) and R-16 = 8 (L = 2, I = 4); publishing them is what makes GD_min reproducible from the register alone. Because those ratings enter the sums, they also bound the result: sweeping every (L, I) in {1…5}² for the three rows, GD_min ranges from 2 to 5, and the value of 3 reported here is the value for the ratings above. Neither the Proposition 1 inversion nor the Proposition 2 collision depends on them.</w:t>
      </w:r>
      <w:r w:rsidDel="00000000" w:rsidR="00000000" w:rsidRPr="00000000">
        <w:rPr>
          <w:rtl w:val="0"/>
        </w:rPr>
      </w:r>
      <w:r w:rsidDel="00000000" w:rsidR="00000000" w:rsidRPr="00000000">
        <w:rPr>
          <w:i w:val="1"/>
          <w:iCs w:val="1"/>
          <w:rtl w:val="0"/>
        </w:rPr>
      </w:r>
      <w:r w:rsidDel="00000000" w:rsidR="00000000" w:rsidRPr="00000000">
        <w:rPr>
          <w:rFonts w:ascii="Arial Unicode MS" w:cs="Arial Unicode MS" w:eastAsia="Arial Unicode MS" w:hAnsi="Arial Unicode MS"/>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3F">
      <w:pPr>
        <w:spacing w:after="240" w:before="240" w:lineRule="auto"/>
        <w:rPr>
          <w:b w:val="1"/>
          <w:bCs w:val="1"/>
        </w:rPr>
      </w:pPr>
      <w:r w:rsidDel="00000000" w:rsidR="00000000" w:rsidRPr="00000000">
        <w:rPr>
          <w:b w:val="1"/>
          <w:bCs w:val="1"/>
          <w:rtl w:val="0"/>
        </w:rPr>
        <w:t xml:space="preserve">Non-runtime dispositions (three rows, two reason codes).</w:t>
      </w:r>
    </w:p>
    <w:p w:rsidR="00000000" w:rsidDel="00000000" w:rsidP="00000000" w:rsidRDefault="00000000" w:rsidRPr="00000000" ns1:paraId="00000140">
      <w:pPr>
        <w:numPr>
          <w:ilvl w:val="0"/>
          <w:numId w:val="11"/>
        </w:numPr>
        <w:spacing w:after="0" w:afterAutospacing="0" w:before="240" w:lineRule="auto"/>
        <w:ind w:left="720" w:hanging="360"/>
      </w:pPr>
      <w:r w:rsidDel="00000000" w:rsidR="00000000" w:rsidRPr="00000000">
        <w:rPr>
          <w:b w:val="1"/>
          <w:bCs w:val="1"/>
          <w:rtl w:val="0"/>
        </w:rPr>
        <w:t xml:space="preserve">R-14 — concentration/resilience risk</w:t>
      </w:r>
      <w:r w:rsidDel="00000000" w:rsidR="00000000" w:rsidRPr="00000000">
        <w:rPr>
          <w:rtl w:val="0"/>
        </w:rPr>
        <w:t xml:space="preserve"> (single-vendor dependence of the retrieval stack). </w:t>
      </w:r>
      <w:r w:rsidDel="00000000" w:rsidR="00000000" w:rsidRPr="00000000">
        <w:rPr>
          <w:b w:val="1"/>
          <w:bCs w:val="1"/>
          <w:rtl w:val="0"/>
        </w:rPr>
        <w:t xml:space="preserve">RC-01: no per-action observable</w:t>
      </w:r>
      <w:r w:rsidDel="00000000" w:rsidR="00000000" w:rsidRPr="00000000">
        <w:rPr>
          <w:rtl w:val="0"/>
        </w:rPr>
        <w:t xml:space="preserve"> — no event evaluable at authorization time distinguishes a concentrated architecture from a diversified one. Disposition: nonruntime (architectural/contractual — multi-vendor clause, resilience testing, OSFI B-10 alignment). Honest non-runtime disposition, not forced translation.</w:t>
      </w:r>
    </w:p>
    <w:p w:rsidR="00000000" w:rsidDel="00000000" w:rsidP="00000000" w:rsidRDefault="00000000" w:rsidRPr="00000000" ns1:paraId="00000141">
      <w:pPr>
        <w:numPr>
          <w:ilvl w:val="0"/>
          <w:numId w:val="11"/>
        </w:numPr>
        <w:spacing w:after="0" w:afterAutospacing="0" w:before="0" w:beforeAutospacing="0" w:lineRule="auto"/>
        <w:ind w:left="720" w:hanging="360"/>
      </w:pPr>
      <w:r w:rsidDel="00000000" w:rsidR="00000000" w:rsidRPr="00000000">
        <w:rPr>
          <w:b w:val="1"/>
          <w:bCs w:val="1"/>
          <w:rtl w:val="0"/>
        </w:rPr>
        <w:t xml:space="preserve">R-15 — unprofessional or reputationally damaging tone</w:t>
      </w:r>
      <w:r w:rsidDel="00000000" w:rsidR="00000000" w:rsidRPr="00000000">
        <w:rPr>
          <w:rtl w:val="0"/>
        </w:rPr>
        <w:t xml:space="preserve"> (register extension). </w:t>
      </w:r>
      <w:r w:rsidDel="00000000" w:rsidR="00000000" w:rsidRPr="00000000">
        <w:rPr>
          <w:b w:val="1"/>
          <w:bCs w:val="1"/>
          <w:rtl w:val="0"/>
        </w:rPr>
        <w:t xml:space="preserve">RC-03: requires probabilistic judgment</w:t>
      </w:r>
      <w:r w:rsidDel="00000000" w:rsidR="00000000" w:rsidRPr="00000000">
        <w:rPr>
          <w:rtl w:val="0"/>
        </w:rPr>
        <w:t xml:space="preserve"> — "tone" has no approved catalog observable; any classifier score is a probability, which GC-IR conditions may not evaluate directly. Disposition: nonruntime (human-process review workflow). A </w:t>
      </w:r>
      <w:r w:rsidDel="00000000" w:rsidR="00000000" w:rsidRPr="00000000">
        <w:rPr>
          <w:i w:val="1"/>
          <w:iCs w:val="1"/>
          <w:rtl w:val="0"/>
        </w:rPr>
        <w:t xml:space="preserve">derived</w:t>
      </w:r>
      <w:r w:rsidDel="00000000" w:rsidR="00000000" w:rsidRPr="00000000">
        <w:rPr>
          <w:rtl w:val="0"/>
        </w:rPr>
        <w:t xml:space="preserve"> deterministic proxy (measured style-guide violation count under a threshold contract) may be proposed to the governance forum as a new catalog entry and register row — a governance act, not a compiler shortcut.</w:t>
      </w:r>
    </w:p>
    <w:p w:rsidR="00000000" w:rsidDel="00000000" w:rsidP="00000000" w:rsidRDefault="00000000" w:rsidRPr="00000000" ns1:paraId="00000142">
      <w:pPr>
        <w:numPr>
          <w:ilvl w:val="0"/>
          <w:numId w:val="11"/>
        </w:numPr>
        <w:spacing w:after="240" w:before="0" w:beforeAutospacing="0" w:lineRule="auto"/>
        <w:ind w:left="720" w:hanging="360"/>
      </w:pPr>
      <w:r w:rsidDel="00000000" w:rsidR="00000000" w:rsidRPr="00000000">
        <w:rPr>
          <w:b w:val="1"/>
          <w:bCs w:val="1"/>
          <w:rtl w:val="0"/>
        </w:rPr>
        <w:t xml:space="preserve">R-16 — third-party model vendor commercial viability</w:t>
      </w:r>
      <w:r w:rsidDel="00000000" w:rsidR="00000000" w:rsidRPr="00000000">
        <w:rPr>
          <w:rtl w:val="0"/>
        </w:rPr>
        <w:t xml:space="preserve"> (register extension; distinct from R-11's </w:t>
      </w:r>
      <w:r w:rsidDel="00000000" w:rsidR="00000000" w:rsidRPr="00000000">
        <w:rPr>
          <w:i w:val="1"/>
          <w:iCs w:val="1"/>
          <w:rtl w:val="0"/>
        </w:rPr>
        <w:t xml:space="preserve">technical</w:t>
      </w:r>
      <w:r w:rsidDel="00000000" w:rsidR="00000000" w:rsidRPr="00000000">
        <w:rPr>
          <w:rtl w:val="0"/>
        </w:rPr>
        <w:t xml:space="preserve"> vendor-change risk, which compiles). </w:t>
      </w:r>
      <w:r w:rsidDel="00000000" w:rsidR="00000000" w:rsidRPr="00000000">
        <w:rPr>
          <w:b w:val="1"/>
          <w:bCs w:val="1"/>
          <w:rtl w:val="0"/>
        </w:rPr>
        <w:t xml:space="preserve">RC-01</w:t>
      </w:r>
      <w:r w:rsidDel="00000000" w:rsidR="00000000" w:rsidRPr="00000000">
        <w:rPr>
          <w:rtl w:val="0"/>
        </w:rPr>
        <w:t xml:space="preserve"> — vendor solvency has no authorization-time observable. Disposition: nonruntime (contractual — escrow, exit clause). The R-11/R-16 pair is instructive: the same vendor generates one runtime and one non-runtime risk, and the method separates them where manual practice conflates them.</w:t>
      </w:r>
    </w:p>
    <w:p w:rsidR="00000000" w:rsidDel="00000000" w:rsidP="00000000" w:rsidRDefault="00000000" w:rsidRPr="00000000" ns1:paraId="00000143">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143">
      <w:pPr>
        <w:spacing w:after="240" w:before="240" w:lineRule="auto"/>
        <w:jc w:val="center"/>
        <w:rPr>
          <w:i w:val="1"/>
          <w:iCs w:val="1"/>
        </w:rPr>
      </w:pPr>
      <w:r>
        <w:drawing>
          <ns4:inline>
            <ns4:extent cx="5852160" cy="2627588"/>
            <ns4:docPr id="3" name="Picture 3"/>
            <ns4:cNvGraphicFramePr>
              <ns5:graphicFrameLocks noChangeAspect="1"/>
            </ns4:cNvGraphicFramePr>
            <ns5:graphic>
              <ns5:graphicData uri="http://schemas.openxmlformats.org/drawingml/2006/picture">
                <ns6:pic>
                  <ns6:nvPicPr>
                    <ns6:cNvPr id="0" name="fig3.png"/>
                    <ns6:cNvPicPr/>
                  </ns6:nvPicPr>
                  <ns6:blipFill>
                    <ns5:blip ns7:embed="rId8"/>
                    <ns5:stretch>
                      <ns5:fillRect/>
                    </ns5:stretch>
                  </ns6:blipFill>
                  <ns6:spPr>
                    <ns5:xfrm>
                      <ns5:off x="0" y="0"/>
                      <ns5:ext cx="5852160" cy="2627588"/>
                    </ns5:xfrm>
                    <ns5:prstGeom prst="rect"/>
                  </ns6:spPr>
                </ns6:pic>
              </ns5:graphicData>
            </ns5:graphic>
          </ns4:inline>
        </w:drawing>
      </w:r>
    </w:p>
    <w:p w:rsidR="00000000" w:rsidDel="00000000" w:rsidP="00000000" w:rsidRDefault="00000000" w:rsidRPr="00000000" ns1:paraId="00000143">
      <w:pPr>
        <w:spacing w:after="240" w:before="240" w:lineRule="auto"/>
        <w:jc w:val="center"/>
        <w:rPr>
          <w:i w:val="1"/>
          <w:iCs w:val="1"/>
        </w:rPr>
      </w:pPr>
      <w:r>
        <w:rPr>
          <w:sz w:val="18"/>
        </w:rPr>
        <w:t xml:space="preserve">FIGURE 3. Case A gate assignment against residual rating. Three C*-classified risks are gated while scoring below the enterprise's declared heat-map threshold, giving GD(15) = 3. R-10 is gated at s = 10 while R-04 and R-12 are not gated at s = 12 (Proposition 1), and the collision at s = 12 among the runtime rows carries divergent gates (Proposition 2).</w:t>
      </w:r>
    </w:p>
    <w:p w:rsidR="00000000" w:rsidDel="00000000" w:rsidP="00000000" w:rsidRDefault="00000000" w:rsidRPr="00000000" ns1:paraId="00000144">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45">
      <w:pPr>
        <w:pStyle w:val="Heading2"/>
        <w:keepNext w:val="0"/>
        <w:keepLines w:val="0"/>
        <w:spacing w:after="80" w:lineRule="auto"/>
        <w:rPr>
          <w:b w:val="1"/>
          <w:bCs w:val="1"/>
          <w:sz w:val="34"/>
          <w:szCs w:val="34"/>
        </w:rPr>
      </w:pPr>
      <w:bookmarkStart w:colFirst="0" w:colLast="0" w:name="_bu3q3y7exe5t" w:id="35"/>
      <w:bookmarkEnd w:id="35"/>
      <w:r w:rsidDel="00000000" w:rsidR="00000000" w:rsidRPr="00000000">
        <w:rPr>
          <w:b w:val="1"/>
          <w:bCs w:val="1"/>
          <w:sz w:val="34"/>
          <w:szCs w:val="34"/>
          <w:rtl w:val="0"/>
        </w:rPr>
        <w:t xml:space="preserve">X. CASE STUDY B — TRANSACTION AUTHORIZATION AGENT</w:t>
      </w:r>
    </w:p>
    <w:p w:rsidR="00000000" w:rsidDel="00000000" w:rsidP="00000000" w:rsidRDefault="00000000" w:rsidRPr="00000000" ns1:paraId="00000146">
      <w:pPr>
        <w:spacing w:after="240" w:before="240" w:lineRule="auto"/>
        <w:rPr>
          <w:i w:val="1"/>
          <w:iCs w:val="1"/>
        </w:rPr>
      </w:pPr>
      <w:r w:rsidDel="00000000" w:rsidR="00000000" w:rsidRPr="00000000">
        <w:rPr>
          <w:i w:val="1"/>
          <w:iCs w:val="1"/>
          <w:rtl w:val="0"/>
        </w:rPr>
        <w:t xml:space="preserve">(Purpose: a second, structurally different domain — high-volume, machine-speed, per-event authorization — and the case for which enforcement-layer evidence already exists.)</w:t>
      </w:r>
    </w:p>
    <w:p w:rsidR="00000000" w:rsidDel="00000000" w:rsidP="00000000" w:rsidRDefault="00000000" w:rsidRPr="00000000" ns1:paraId="00000147">
      <w:pPr>
        <w:spacing w:after="240" w:before="240" w:lineRule="auto"/>
        <w:rPr/>
      </w:pPr>
      <w:r w:rsidDel="00000000" w:rsidR="00000000" w:rsidRPr="00000000">
        <w:rPr>
          <w:b w:val="1"/>
          <w:bCs w:val="1"/>
          <w:rtl w:val="0"/>
        </w:rPr>
        <w:t xml:space="preserve">Profile highlights.</w:t>
      </w:r>
      <w:r w:rsidDel="00000000" w:rsidR="00000000" w:rsidRPr="00000000">
        <w:rPr>
          <w:rtl w:val="0"/>
        </w:rPr>
        <w:t xml:space="preserve"> Per-transaction authorization agent; machine-speed decisioning; every proposed externalization (payment release) mediated by the runtime authority; authority matrix admits exactly one external action (</w:t>
      </w:r>
      <w:r w:rsidDel="00000000" w:rsidR="00000000" w:rsidRPr="00000000">
        <w:rPr>
          <w:rFonts w:ascii="Roboto Mono" w:cs="Roboto Mono" w:eastAsia="Roboto Mono" w:hAnsi="Roboto Mono"/>
          <w:color w:val="188038"/>
          <w:rtl w:val="0"/>
        </w:rPr>
        <w:t xml:space="preserve">release_payment</w:t>
      </w:r>
      <w:r w:rsidDel="00000000" w:rsidR="00000000" w:rsidRPr="00000000">
        <w:rPr>
          <w:rtl w:val="0"/>
        </w:rPr>
        <w:t xml:space="preserve">) with bound parameters.</w:t>
      </w:r>
    </w:p>
    <w:p w:rsidR="00000000" w:rsidDel="00000000" w:rsidP="00000000" w:rsidRDefault="00000000" w:rsidRPr="00000000" ns1:paraId="00000148">
      <w:pPr>
        <w:spacing w:after="240" w:before="240" w:lineRule="auto"/>
        <w:rPr/>
      </w:pPr>
      <w:r w:rsidDel="00000000" w:rsidR="00000000" w:rsidRPr="00000000">
        <w:rPr>
          <w:rFonts w:ascii="Arial Unicode MS" w:cs="Arial Unicode MS" w:eastAsia="Arial Unicode MS" w:hAnsi="Arial Unicode MS"/>
          <w:b w:val="1"/>
          <w:bCs w:val="1"/>
          <w:rtl w:val="0"/>
        </w:rPr>
        <w:t xml:space="preserve">Register → disposition → predicate.</w:t>
      </w:r>
      <w:r w:rsidDel="00000000" w:rsidR="00000000" w:rsidRPr="00000000">
        <w:rPr>
          <w:rtl w:val="0"/>
        </w:rPr>
        <w:t xml:space="preserve"> All six rows receive runtime dispositions.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1858407079646"/>
        <w:gridCol w:w="1333.5929203539822"/>
        <w:gridCol w:w="1743.6106194690265"/>
        <w:gridCol w:w="637.8053097345133"/>
        <w:gridCol w:w="1308.7433628318583"/>
        <w:gridCol w:w="1308.7433628318583"/>
        <w:gridCol w:w="1296.3185840707965"/>
        <w:tblGridChange w:id="0">
          <w:tblGrid>
            <w:gridCol w:w="1731.1858407079646"/>
            <w:gridCol w:w="1333.5929203539822"/>
            <w:gridCol w:w="1743.6106194690265"/>
            <w:gridCol w:w="637.8053097345133"/>
            <w:gridCol w:w="1308.7433628318583"/>
            <w:gridCol w:w="1308.7433628318583"/>
            <w:gridCol w:w="1296.3185840707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9">
            <w:pPr>
              <w:jc w:val="center"/>
              <w:rPr/>
            </w:pPr>
            <w:r w:rsidDel="00000000" w:rsidR="00000000" w:rsidRPr="00000000">
              <w:rPr>
                <w:b w:val="1"/>
                <w:bCs w:val="1"/>
                <w:rtl w:val="0"/>
              </w:rPr>
              <w:t xml:space="preserve">risk_id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A">
            <w:pPr>
              <w:jc w:val="center"/>
              <w:rPr/>
            </w:pPr>
            <w:r w:rsidDel="00000000" w:rsidR="00000000" w:rsidRPr="00000000">
              <w:rPr>
                <w:b w:val="1"/>
                <w:bCs w:val="1"/>
                <w:rtl w:val="0"/>
              </w:rPr>
              <w:t xml:space="preserve">Event (observable)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B">
            <w:pPr>
              <w:jc w:val="center"/>
              <w:rPr/>
            </w:pPr>
            <w:r w:rsidDel="00000000" w:rsidR="00000000" w:rsidRPr="00000000">
              <w:rPr>
                <w:b w:val="1"/>
                <w:bCs w:val="1"/>
                <w:rtl w:val="0"/>
              </w:rPr>
              <w:t xml:space="preserve">consequence_class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C">
            <w:pPr>
              <w:jc w:val="center"/>
              <w:rPr/>
            </w:pPr>
            <w:r w:rsidDel="00000000" w:rsidR="00000000" w:rsidRPr="00000000">
              <w:rPr>
                <w:b w:val="1"/>
                <w:bCs w:val="1"/>
                <w:rtl w:val="0"/>
              </w:rPr>
              <w:t xml:space="preserv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D">
            <w:pPr>
              <w:jc w:val="center"/>
              <w:rPr/>
            </w:pPr>
            <w:r w:rsidDel="00000000" w:rsidR="00000000" w:rsidRPr="00000000">
              <w:rPr>
                <w:b w:val="1"/>
                <w:bCs w:val="1"/>
                <w:rtl w:val="0"/>
              </w:rPr>
              <w:t xml:space="preserve">Gate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E">
            <w:pPr>
              <w:jc w:val="center"/>
              <w:rPr/>
            </w:pPr>
            <w:r w:rsidDel="00000000" w:rsidR="00000000" w:rsidRPr="00000000">
              <w:rPr>
                <w:b w:val="1"/>
                <w:bCs w:val="1"/>
                <w:rtl w:val="0"/>
              </w:rPr>
              <w:t xml:space="preserve">Predicate sketch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F">
            <w:pPr>
              <w:jc w:val="center"/>
              <w:rPr/>
            </w:pPr>
            <w:r w:rsidDel="00000000" w:rsidR="00000000" w:rsidRPr="00000000">
              <w:rPr>
                <w:b w:val="1"/>
                <w:bCs w:val="1"/>
                <w:rtl w:val="0"/>
              </w:rPr>
              <w:t xml:space="preserve">on_unknown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0">
            <w:pPr>
              <w:rPr/>
            </w:pPr>
            <w:r w:rsidDel="00000000" w:rsidR="00000000" w:rsidRPr="00000000">
              <w:rPr>
                <w:rtl w:val="0"/>
              </w:rPr>
              <w:t xml:space="preserve">B-01 unauthorized externalization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1">
            <w:pPr>
              <w:rPr/>
            </w:pPr>
            <w:r w:rsidDel="00000000" w:rsidR="00000000" w:rsidRPr="00000000">
              <w:rPr>
                <w:rtl w:val="0"/>
              </w:rPr>
              <w:t xml:space="preserve">payment release without valid permit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2">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4">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5">
            <w:pPr>
              <w:rPr/>
            </w:pPr>
            <w:r w:rsidDel="00000000" w:rsidR="00000000" w:rsidRPr="00000000">
              <w:rPr>
                <w:rtl w:val="0"/>
              </w:rPr>
              <w:t xml:space="preserve">valid single-use permit bound to txn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6">
            <w:pPr>
              <w:rPr/>
            </w:pPr>
            <w:r w:rsidDel="00000000" w:rsidR="00000000" w:rsidRPr="00000000">
              <w:rPr>
                <w:rtl w:val="0"/>
              </w:rPr>
              <w:t xml:space="preserve">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7">
            <w:pPr>
              <w:rPr/>
            </w:pPr>
            <w:r w:rsidDel="00000000" w:rsidR="00000000" w:rsidRPr="00000000">
              <w:rPr>
                <w:rtl w:val="0"/>
              </w:rPr>
              <w:t xml:space="preserve">B-02 threshold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8">
            <w:pPr>
              <w:rPr/>
            </w:pPr>
            <w:r w:rsidDel="00000000" w:rsidR="00000000" w:rsidRPr="00000000">
              <w:rPr>
                <w:rtl w:val="0"/>
              </w:rPr>
              <w:t xml:space="preserve">amount &gt; per-transaction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9">
            <w:pPr>
              <w:rPr/>
            </w:pPr>
            <w:r w:rsidDel="00000000" w:rsidR="00000000" w:rsidRPr="00000000">
              <w:rPr>
                <w:rtl w:val="0"/>
              </w:rPr>
              <w:t xml:space="preserve">financial_loss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A">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B">
            <w:pPr>
              <w:rPr/>
            </w:pPr>
            <w:r w:rsidDel="00000000" w:rsidR="00000000" w:rsidRPr="00000000">
              <w:rPr>
                <w:rtl w:val="0"/>
              </w:rPr>
              <w:t xml:space="preserve">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C">
            <w:pPr>
              <w:rPr/>
            </w:pPr>
            <w:r w:rsidDel="00000000" w:rsidR="00000000" w:rsidRPr="00000000">
              <w:rPr>
                <w:rFonts w:ascii="Arial Unicode MS" w:cs="Arial Unicode MS" w:eastAsia="Arial Unicode MS" w:hAnsi="Arial Unicode MS"/>
                <w:rtl w:val="0"/>
              </w:rPr>
              <w:t xml:space="preserve">amount ≤ approved limit (threshold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D">
            <w:pPr>
              <w:rPr/>
            </w:pPr>
            <w:r w:rsidDel="00000000" w:rsidR="00000000" w:rsidRPr="00000000">
              <w:rPr>
                <w:rtl w:val="0"/>
              </w:rPr>
              <w:t xml:space="preserve">fail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E">
            <w:pPr>
              <w:rPr/>
            </w:pPr>
            <w:r w:rsidDel="00000000" w:rsidR="00000000" w:rsidRPr="00000000">
              <w:rPr>
                <w:rtl w:val="0"/>
              </w:rPr>
              <w:t xml:space="preserve">B-03 velocity anomaly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F">
            <w:pPr>
              <w:rPr/>
            </w:pPr>
            <w:r w:rsidDel="00000000" w:rsidR="00000000" w:rsidRPr="00000000">
              <w:rPr>
                <w:rtl w:val="0"/>
              </w:rPr>
              <w:t xml:space="preserve">txn count/window &gt;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0">
            <w:pPr>
              <w:rPr/>
            </w:pPr>
            <w:r w:rsidDel="00000000" w:rsidR="00000000" w:rsidRPr="00000000">
              <w:rPr>
                <w:rtl w:val="0"/>
              </w:rPr>
              <w:t xml:space="preserve">financial_loss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2">
            <w:pPr>
              <w:rPr/>
            </w:pPr>
            <w:r w:rsidDel="00000000" w:rsidR="00000000" w:rsidRPr="00000000">
              <w:rPr>
                <w:rtl w:val="0"/>
              </w:rPr>
              <w:t xml:space="preserve">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3">
            <w:pPr>
              <w:rPr/>
            </w:pPr>
            <w:r w:rsidDel="00000000" w:rsidR="00000000" w:rsidRPr="00000000">
              <w:rPr>
                <w:rFonts w:ascii="Arial Unicode MS" w:cs="Arial Unicode MS" w:eastAsia="Arial Unicode MS" w:hAnsi="Arial Unicode MS"/>
                <w:rtl w:val="0"/>
              </w:rPr>
              <w:t xml:space="preserve">window count ≤ approved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4">
            <w:pPr>
              <w:rPr/>
            </w:pPr>
            <w:r w:rsidDel="00000000" w:rsidR="00000000" w:rsidRPr="00000000">
              <w:rPr>
                <w:rtl w:val="0"/>
              </w:rPr>
              <w:t xml:space="preserve">fail</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5">
            <w:pPr>
              <w:rPr/>
            </w:pPr>
            <w:r w:rsidDel="00000000" w:rsidR="00000000" w:rsidRPr="00000000">
              <w:rPr>
                <w:rtl w:val="0"/>
              </w:rPr>
              <w:t xml:space="preserve">B-04 sanctions/restricted counterparty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6">
            <w:pPr>
              <w:rPr/>
            </w:pPr>
            <w:r w:rsidDel="00000000" w:rsidR="00000000" w:rsidRPr="00000000">
              <w:rPr>
                <w:rFonts w:ascii="Arial Unicode MS" w:cs="Arial Unicode MS" w:eastAsia="Arial Unicode MS" w:hAnsi="Arial Unicode MS"/>
                <w:rtl w:val="0"/>
              </w:rPr>
              <w:t xml:space="preserve">counterparty ∈ restricted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7">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8">
            <w:pPr>
              <w:rPr/>
            </w:pPr>
            <w:r w:rsidDel="00000000" w:rsidR="00000000" w:rsidRPr="00000000">
              <w:rPr>
                <w:rtl w:val="0"/>
              </w:rPr>
              <w:t xml:space="preserve">5 (L=1, I=5)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9">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A">
            <w:pPr>
              <w:rPr/>
            </w:pPr>
            <w:r w:rsidDel="00000000" w:rsidR="00000000" w:rsidRPr="00000000">
              <w:rPr>
                <w:rFonts w:ascii="Arial Unicode MS" w:cs="Arial Unicode MS" w:eastAsia="Arial Unicode MS" w:hAnsi="Arial Unicode MS"/>
                <w:rtl w:val="0"/>
              </w:rPr>
              <w:t xml:space="preserve">signed screening artifact reports counterparty ∉ restricted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B">
            <w:pPr>
              <w:rPr/>
            </w:pPr>
            <w:r w:rsidDel="00000000" w:rsidR="00000000" w:rsidRPr="00000000">
              <w:rPr>
                <w:rtl w:val="0"/>
              </w:rPr>
              <w:t xml:space="preserve">fail + escalate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C">
            <w:pPr>
              <w:rPr/>
            </w:pPr>
            <w:r w:rsidDel="00000000" w:rsidR="00000000" w:rsidRPr="00000000">
              <w:rPr>
                <w:rtl w:val="0"/>
              </w:rPr>
              <w:t xml:space="preserve">B-05 replay/duplicate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D">
            <w:pPr>
              <w:rPr/>
            </w:pPr>
            <w:r w:rsidDel="00000000" w:rsidR="00000000" w:rsidRPr="00000000">
              <w:rPr>
                <w:rtl w:val="0"/>
              </w:rPr>
              <w:t xml:space="preserve">permit reuse or duplicate txn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E">
            <w:pPr>
              <w:rPr/>
            </w:pPr>
            <w:r w:rsidDel="00000000" w:rsidR="00000000" w:rsidRPr="00000000">
              <w:rPr>
                <w:b w:val="1"/>
                <w:bCs w:val="1"/>
                <w:rtl w:val="0"/>
              </w:rPr>
              <w:t xml:space="preserve">C*: irreversible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0">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1">
            <w:pPr>
              <w:rPr/>
            </w:pPr>
            <w:r w:rsidDel="00000000" w:rsidR="00000000" w:rsidRPr="00000000">
              <w:rPr>
                <w:rtl w:val="0"/>
              </w:rPr>
              <w:t xml:space="preserve">permit single-use; txn hash unseen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2">
            <w:pPr>
              <w:rPr/>
            </w:pPr>
            <w:r w:rsidDel="00000000" w:rsidR="00000000" w:rsidRPr="00000000">
              <w:rPr>
                <w:rtl w:val="0"/>
              </w:rPr>
              <w:t xml:space="preserve">fail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3">
            <w:pPr>
              <w:rPr/>
            </w:pPr>
            <w:r w:rsidDel="00000000" w:rsidR="00000000" w:rsidRPr="00000000">
              <w:rPr>
                <w:rtl w:val="0"/>
              </w:rPr>
              <w:t xml:space="preserve">B-06 evidence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4">
            <w:pPr>
              <w:rPr/>
            </w:pPr>
            <w:r w:rsidDel="00000000" w:rsidR="00000000" w:rsidRPr="00000000">
              <w:rPr>
                <w:rtl w:val="0"/>
              </w:rPr>
              <w:t xml:space="preserve">receipt not committed between authorization and actuation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5">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7">
            <w:pPr>
              <w:rPr/>
            </w:pPr>
            <w:r w:rsidDel="00000000" w:rsidR="00000000" w:rsidRPr="00000000">
              <w:rPr>
                <w:b w:val="1"/>
                <w:bCs w:val="1"/>
                <w:rtl w:val="0"/>
              </w:rPr>
              <w:t xml:space="preserve">mandatory (C*; coincides with INV-EVIDENCE-COMMIT)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8">
            <w:pPr>
              <w:rPr/>
            </w:pPr>
            <w:r w:rsidDel="00000000" w:rsidR="00000000" w:rsidRPr="00000000">
              <w:rPr>
                <w:rtl w:val="0"/>
              </w:rPr>
              <w:t xml:space="preserve">authorization-then-commit-then-actuate receipt present &amp; chained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9">
            <w:pPr>
              <w:rPr/>
            </w:pPr>
            <w:r w:rsidDel="00000000" w:rsidR="00000000" w:rsidRPr="00000000">
              <w:rPr>
                <w:rtl w:val="0"/>
              </w:rPr>
              <w:t xml:space="preserve">fail</w:t>
            </w:r>
          </w:p>
        </w:tc>
      </w:tr>
    </w:tbl>
    <w:p w:rsidR="00000000" w:rsidDel="00000000" w:rsidP="00000000" w:rsidRDefault="00000000" w:rsidRPr="00000000" ns1:paraId="0000017A">
      <w:pPr>
        <w:spacing w:after="240" w:before="240" w:lineRule="auto"/>
        <w:rPr/>
      </w:pPr>
      <w:r w:rsidDel="00000000" w:rsidR="00000000" w:rsidRPr="00000000">
        <w:rPr>
          <w:b w:val="1"/>
          <w:bCs w:val="1"/>
          <w:rtl w:val="0"/>
        </w:rPr>
        <w:t xml:space="preserve">What Case B does and does not demonstrate.</w:t>
      </w:r>
      <w:r w:rsidDel="00000000" w:rsidR="00000000" w:rsidRPr="00000000">
        <w:rPr>
          <w:rtl w:val="0"/>
        </w:rPr>
        <w:t xml:space="preserve"> B-04 illustrates consequence-based selection at its purest: at s = 5 — the bottom of the register, because a well-screened counterparty base makes the event rare — a sanctions breach is nonetheless statutory, material, and non-negotiable, and the gate's justification is its class, not its score. Each C* row satisfies CV through a single decisive gate on the sole authorized action path. However, because </w:t>
      </w:r>
      <w:r w:rsidDel="00000000" w:rsidR="00000000" w:rsidRPr="00000000">
        <w:rPr>
          <w:i w:val="1"/>
          <w:iCs w:val="1"/>
          <w:rtl w:val="0"/>
        </w:rPr>
        <w:t xml:space="preserve">every</w:t>
      </w:r>
      <w:r w:rsidDel="00000000" w:rsidR="00000000" w:rsidRPr="00000000">
        <w:rPr>
          <w:rFonts w:ascii="Arial Unicode MS" w:cs="Arial Unicode MS" w:eastAsia="Arial Unicode MS" w:hAnsi="Arial Unicode MS"/>
          <w:rtl w:val="0"/>
        </w:rPr>
        <w:t xml:space="preserve"> Case B row carries a mandatory gate (four by C*, two by other approved mandatory policy), any threshold t ≤ 5 reproduces the gate set, so this register contains no Proposition 1 inversion or Proposition 2 collision and is not used by itself to establish GD_min &gt; 0. The separation results rest on Case A; Case B contributes gate-source diversity and the domain where enforcement-layer evidence exists.</w:t>
      </w:r>
    </w:p>
    <w:p w:rsidR="00000000" w:rsidDel="00000000" w:rsidP="00000000" w:rsidRDefault="00000000" w:rsidRPr="00000000" ns1:paraId="0000017B">
      <w:pPr>
        <w:spacing w:after="240" w:before="240" w:lineRule="auto"/>
        <w:rPr>
          <w:rFonts w:ascii="Roboto Mono" w:cs="Roboto Mono" w:eastAsia="Roboto Mono" w:hAnsi="Roboto Mono"/>
          <w:color w:val="188038"/>
        </w:rPr>
      </w:pPr>
      <w:r w:rsidDel="00000000" w:rsidR="00000000" w:rsidRPr="00000000">
        <w:rPr>
          <w:b w:val="1"/>
          <w:bCs w:val="1"/>
          <w:rtl w:val="0"/>
        </w:rPr>
        <w:t xml:space="preserve">Evidence classification (stated plainly, as in prior work).</w:t>
      </w:r>
      <w:r w:rsidDel="00000000" w:rsidR="00000000" w:rsidRPr="00000000">
        <w:rPr>
          <w:rtl w:val="0"/>
        </w:rPr>
        <w:t xml:space="preserve"> The 284,807-event run reported in [15] is a </w:t>
      </w:r>
      <w:r w:rsidDel="00000000" w:rsidR="00000000" w:rsidRPr="00000000">
        <w:rPr>
          <w:i w:val="1"/>
          <w:iCs w:val="1"/>
          <w:rtl w:val="0"/>
        </w:rPr>
        <w:t xml:space="preserve">golden-trace conformance</w:t>
      </w:r>
      <w:r w:rsidDel="00000000" w:rsidR="00000000" w:rsidRPr="00000000">
        <w:rPr>
          <w:rtl w:val="0"/>
        </w:rPr>
        <w:t xml:space="preserve"> result — predicates pre-set from labels — demonstrating that compiled controls of these families evaluate deterministically at volume; the run's figures are stated and bounded there and are not reproduced here. It is </w:t>
      </w:r>
      <w:r w:rsidDel="00000000" w:rsidR="00000000" w:rsidRPr="00000000">
        <w:rPr>
          <w:b w:val="1"/>
          <w:bCs w:val="1"/>
          <w:rtl w:val="0"/>
        </w:rPr>
        <w:t xml:space="preserve">not</w:t>
      </w:r>
      <w:r w:rsidDel="00000000" w:rsidR="00000000" w:rsidRPr="00000000">
        <w:rPr>
          <w:rtl w:val="0"/>
        </w:rPr>
        <w:t xml:space="preserve"> detection evidence and is not presented as such. What Case B adds for </w:t>
      </w:r>
      <w:r w:rsidDel="00000000" w:rsidR="00000000" w:rsidRPr="00000000">
        <w:rPr>
          <w:i w:val="1"/>
          <w:iCs w:val="1"/>
          <w:rtl w:val="0"/>
        </w:rPr>
        <w:t xml:space="preserve">this</w:t>
      </w:r>
      <w:r w:rsidDel="00000000" w:rsidR="00000000" w:rsidRPr="00000000">
        <w:rPr>
          <w:rtl w:val="0"/>
        </w:rPr>
        <w:t xml:space="preserve"> paper is upstream: the register-to-disposition-to-predicate mapping that produced those predicate families, previously undocumented. The register above is a </w:t>
      </w:r>
      <w:r w:rsidDel="00000000" w:rsidR="00000000" w:rsidRPr="00000000">
        <w:rPr>
          <w:i w:val="1"/>
          <w:iCs w:val="1"/>
          <w:rtl w:val="0"/>
        </w:rPr>
        <w:t xml:space="preserve">forensic reconstruction</w:t>
      </w:r>
      <w:r w:rsidDel="00000000" w:rsidR="00000000" w:rsidRPr="00000000">
        <w:rPr>
          <w:rtl w:val="0"/>
        </w:rPr>
        <w:t xml:space="preserve">; Section XII states this openly, and the mitigation is the hash-pinned artifact: once pinned, the mapping is reproducible going forward even though its origin is retrospective. The Case B artifact set is hash-pinned: the SHA-256 of the RFC 8785 canonical bundle payload is 2850155a2ee7d4c01db4748a891891bae27c48f4c9c2c7eccd30beb7d1aa33ce. Its predicate set is traced to the enforcement artifact's own predicate family, which comprises thirteen named predicates — the ten node authorization gates Gate_A1…Gate_A7, Lambda_G, TOKEN_VALID and AuthoritySignatureValid, together with the three derived deficit predicates HARM_RISK_THETA, STALE_CONTEXT and TELEMETRY_STALE — recovered from that artifact's source and corroborated by three independently reported predicate counts and by its reported single-deficit score of 1/13. Of the nine Case B predicates and compiler invariants, four correspond exactly to named members of that family on the same observables: permit binding, permit single-use and replay, and receipt commit-before-actuate, the last both as a risk-derived predicate and as the compiler invariant INV-EVIDENCE-COMMIT. Three correspond by family, evaluating the same decision semantics on a domain-specific observable. Two are declared gaps: no predicate in that family evaluates a rolling velocity bound, and although the artifact records version identifiers as trace columns, no member of its predicate vector evaluates them, so the per-action version binding of INV-VERSION has no counterpart there. The mapping is machine-verified and released with the artifact. It establishes continuity of predicate family only: it does not establish detection performance, and the compiled Case B bundle was not executed against the 284,807-event corpus.</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17C">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7D">
      <w:pPr>
        <w:pStyle w:val="Heading2"/>
        <w:keepNext w:val="0"/>
        <w:keepLines w:val="0"/>
        <w:spacing w:after="80" w:lineRule="auto"/>
        <w:rPr>
          <w:b w:val="1"/>
          <w:bCs w:val="1"/>
          <w:sz w:val="34"/>
          <w:szCs w:val="34"/>
        </w:rPr>
      </w:pPr>
      <w:bookmarkStart w:colFirst="0" w:colLast="0" w:name="_3kppc7wychpj" w:id="36"/>
      <w:bookmarkEnd w:id="36"/>
      <w:r w:rsidDel="00000000" w:rsidR="00000000" w:rsidRPr="00000000">
        <w:rPr>
          <w:b w:val="1"/>
          <w:bCs w:val="1"/>
          <w:sz w:val="34"/>
          <w:szCs w:val="34"/>
          <w:rtl w:val="0"/>
        </w:rPr>
        <w:t xml:space="preserve">XI. EVALUATION AND STATISTICAL ANALYSIS PLAN</w:t>
      </w:r>
    </w:p>
    <w:p w:rsidR="00000000" w:rsidDel="00000000" w:rsidP="00000000" w:rsidRDefault="00000000" w:rsidRPr="00000000" ns1:paraId="0000017E">
      <w:pPr>
        <w:spacing w:after="240" w:before="240" w:lineRule="auto"/>
        <w:rPr/>
      </w:pPr>
      <w:r w:rsidDel="00000000" w:rsidR="00000000" w:rsidRPr="00000000">
        <w:rPr>
          <w:b w:val="1"/>
          <w:bCs w:val="1"/>
          <w:rtl w:val="0"/>
        </w:rPr>
        <w:t xml:space="preserve">Scope of claims.</w:t>
      </w:r>
      <w:r w:rsidDel="00000000" w:rsidR="00000000" w:rsidRPr="00000000">
        <w:rPr>
          <w:rtl w:val="0"/>
        </w:rPr>
        <w:t xml:space="preserve"> All results reported by this paper are claim class C1 or C2 (Section XI-I). RQ5 — the comparative expert study — is </w:t>
      </w:r>
      <w:r w:rsidDel="00000000" w:rsidR="00000000" w:rsidRPr="00000000">
        <w:rPr>
          <w:b w:val="1"/>
          <w:bCs w:val="1"/>
          <w:rtl w:val="0"/>
        </w:rPr>
        <w:t xml:space="preserve">preregistered and deferred</w:t>
      </w:r>
      <w:r w:rsidDel="00000000" w:rsidR="00000000" w:rsidRPr="00000000">
        <w:rPr>
          <w:rtl w:val="0"/>
        </w:rPr>
        <w:t xml:space="preserve">: its full protocol below is frozen and publicly hash-committed with this paper's artifact release, and it is executed and reported as an independent follow-up. No comparative-superiority claim over unaided manual practice is made in this paper; the method-and-artifact claims (C1–C5 of Section I-C) rest on the formal results, the executable compiler, and the measured determinism, disposition, gate-divergence, and traceability properties.</w:t>
      </w:r>
    </w:p>
    <w:p w:rsidR="00000000" w:rsidDel="00000000" w:rsidP="00000000" w:rsidRDefault="00000000" w:rsidRPr="00000000" ns1:paraId="0000017F">
      <w:pPr>
        <w:pStyle w:val="Heading3"/>
        <w:keepNext w:val="0"/>
        <w:keepLines w:val="0"/>
        <w:spacing w:before="280" w:lineRule="auto"/>
        <w:rPr>
          <w:b w:val="1"/>
          <w:bCs w:val="1"/>
          <w:color w:val="000000"/>
          <w:sz w:val="26"/>
          <w:szCs w:val="26"/>
        </w:rPr>
      </w:pPr>
      <w:bookmarkStart w:colFirst="0" w:colLast="0" w:name="_3t8jqfwwlbh3" w:id="37"/>
      <w:bookmarkEnd w:id="37"/>
      <w:r w:rsidDel="00000000" w:rsidR="00000000" w:rsidRPr="00000000">
        <w:rPr>
          <w:b w:val="1"/>
          <w:bCs w:val="1"/>
          <w:color w:val="000000"/>
          <w:sz w:val="26"/>
          <w:szCs w:val="26"/>
          <w:rtl w:val="0"/>
        </w:rPr>
        <w:t xml:space="preserve">A. Evaluation Questions</w:t>
      </w:r>
    </w:p>
    <w:p w:rsidR="00000000" w:rsidDel="00000000" w:rsidP="00000000" w:rsidRDefault="00000000" w:rsidRPr="00000000" ns1:paraId="00000180">
      <w:pPr>
        <w:numPr>
          <w:ilvl w:val="0"/>
          <w:numId w:val="9"/>
        </w:numPr>
        <w:spacing w:after="0" w:afterAutospacing="0" w:before="240" w:lineRule="auto"/>
        <w:ind w:left="720" w:hanging="360"/>
      </w:pPr>
      <w:r w:rsidDel="00000000" w:rsidR="00000000" w:rsidRPr="00000000">
        <w:rPr>
          <w:b w:val="1"/>
          <w:bCs w:val="1"/>
          <w:rtl w:val="0"/>
        </w:rPr>
        <w:t xml:space="preserve">RQ1 — Total disposition:</w:t>
      </w:r>
      <w:r w:rsidDel="00000000" w:rsidR="00000000" w:rsidRPr="00000000">
        <w:rPr>
          <w:rtl w:val="0"/>
        </w:rPr>
        <w:t xml:space="preserve"> Does every risk receive exactly one approved runtime, non-runtime, or accepted-risk disposition?</w:t>
      </w:r>
    </w:p>
    <w:p w:rsidR="00000000" w:rsidDel="00000000" w:rsidP="00000000" w:rsidRDefault="00000000" w:rsidRPr="00000000" ns1:paraId="00000181">
      <w:pPr>
        <w:numPr>
          <w:ilvl w:val="0"/>
          <w:numId w:val="9"/>
        </w:numPr>
        <w:spacing w:after="0" w:afterAutospacing="0" w:before="0" w:beforeAutospacing="0" w:lineRule="auto"/>
        <w:ind w:left="720" w:hanging="360"/>
      </w:pPr>
      <w:r w:rsidDel="00000000" w:rsidR="00000000" w:rsidRPr="00000000">
        <w:rPr>
          <w:b w:val="1"/>
          <w:bCs w:val="1"/>
          <w:rtl w:val="0"/>
        </w:rPr>
        <w:t xml:space="preserve">RQ2 — Determinism:</w:t>
      </w:r>
      <w:r w:rsidDel="00000000" w:rsidR="00000000" w:rsidRPr="00000000">
        <w:rPr>
          <w:rtl w:val="0"/>
        </w:rPr>
        <w:t xml:space="preserve"> Do semantically equivalent inputs produce the same canonical payload hash across supported environments?</w:t>
      </w:r>
    </w:p>
    <w:p w:rsidR="00000000" w:rsidDel="00000000" w:rsidP="00000000" w:rsidRDefault="00000000" w:rsidRPr="00000000" ns1:paraId="00000182">
      <w:pPr>
        <w:numPr>
          <w:ilvl w:val="0"/>
          <w:numId w:val="9"/>
        </w:numPr>
        <w:spacing w:after="0" w:afterAutospacing="0" w:before="0" w:beforeAutospacing="0" w:lineRule="auto"/>
        <w:ind w:left="720" w:hanging="360"/>
      </w:pPr>
      <w:r w:rsidDel="00000000" w:rsidR="00000000" w:rsidRPr="00000000">
        <w:rPr>
          <w:b w:val="1"/>
          <w:bCs w:val="1"/>
          <w:rtl w:val="0"/>
        </w:rPr>
        <w:t xml:space="preserve">RQ3 — Gate selection:</w:t>
      </w:r>
      <w:r w:rsidDel="00000000" w:rsidR="00000000" w:rsidRPr="00000000">
        <w:rPr>
          <w:rtl w:val="0"/>
        </w:rPr>
        <w:t xml:space="preserve"> Does consequence-class coverage differ from the predeclared heat-map comparator, and can any scalar threshold reproduce the approved gate assignment?</w:t>
      </w:r>
    </w:p>
    <w:p w:rsidR="00000000" w:rsidDel="00000000" w:rsidP="00000000" w:rsidRDefault="00000000" w:rsidRPr="00000000" ns1:paraId="00000183">
      <w:pPr>
        <w:numPr>
          <w:ilvl w:val="0"/>
          <w:numId w:val="9"/>
        </w:numPr>
        <w:spacing w:after="0" w:afterAutospacing="0" w:before="0" w:beforeAutospacing="0" w:lineRule="auto"/>
        <w:ind w:left="720" w:hanging="360"/>
      </w:pPr>
      <w:r w:rsidDel="00000000" w:rsidR="00000000" w:rsidRPr="00000000">
        <w:rPr>
          <w:b w:val="1"/>
          <w:bCs w:val="1"/>
          <w:rtl w:val="0"/>
        </w:rPr>
        <w:t xml:space="preserve">RQ4 — Traceability:</w:t>
      </w:r>
      <w:r w:rsidDel="00000000" w:rsidR="00000000" w:rsidRPr="00000000">
        <w:rPr>
          <w:rtl w:val="0"/>
        </w:rPr>
        <w:t xml:space="preserve"> Are obligations, dispositions, predicates, and receipts connected without orphan or temporally invalid links?</w:t>
      </w:r>
    </w:p>
    <w:p w:rsidR="00000000" w:rsidDel="00000000" w:rsidP="00000000" w:rsidRDefault="00000000" w:rsidRPr="00000000" ns1:paraId="00000184">
      <w:pPr>
        <w:numPr>
          <w:ilvl w:val="0"/>
          <w:numId w:val="9"/>
        </w:numPr>
        <w:spacing w:after="240" w:before="0" w:beforeAutospacing="0" w:lineRule="auto"/>
        <w:ind w:left="720" w:hanging="360"/>
      </w:pPr>
      <w:r w:rsidDel="00000000" w:rsidR="00000000" w:rsidRPr="00000000">
        <w:rPr>
          <w:b w:val="1"/>
          <w:bCs w:val="1"/>
          <w:rtl w:val="0"/>
        </w:rPr>
        <w:t xml:space="preserve">RQ5 — Human translation quality (preregistered, deferred):</w:t>
      </w:r>
      <w:r w:rsidDel="00000000" w:rsidR="00000000" w:rsidRPr="00000000">
        <w:rPr>
          <w:rtl w:val="0"/>
        </w:rPr>
        <w:t xml:space="preserve"> Compared with unaided manual practice, does the structured refinement method reduce silent narrowing, omissions, orphan controls, and inconsistent gate assignments? Answered by the committed follow-up study, not by this paper.</w:t>
      </w:r>
    </w:p>
    <w:p w:rsidR="00000000" w:rsidDel="00000000" w:rsidP="00000000" w:rsidRDefault="00000000" w:rsidRPr="00000000" ns1:paraId="00000185">
      <w:pPr>
        <w:pStyle w:val="Heading3"/>
        <w:keepNext w:val="0"/>
        <w:keepLines w:val="0"/>
        <w:spacing w:before="280" w:lineRule="auto"/>
        <w:rPr>
          <w:b w:val="1"/>
          <w:bCs w:val="1"/>
          <w:color w:val="000000"/>
          <w:sz w:val="26"/>
          <w:szCs w:val="26"/>
        </w:rPr>
      </w:pPr>
      <w:bookmarkStart w:colFirst="0" w:colLast="0" w:name="_65jelfioh8gz" w:id="38"/>
      <w:bookmarkEnd w:id="38"/>
      <w:r w:rsidDel="00000000" w:rsidR="00000000" w:rsidRPr="00000000">
        <w:rPr>
          <w:b w:val="1"/>
          <w:bCs w:val="1"/>
          <w:color w:val="000000"/>
          <w:sz w:val="26"/>
          <w:szCs w:val="26"/>
          <w:rtl w:val="0"/>
        </w:rPr>
        <w:t xml:space="preserve">B. Primary Metrics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597444089457"/>
        <w:gridCol w:w="3832.7156549520764"/>
        <w:gridCol w:w="2905.6869009584666"/>
        <w:tblGridChange w:id="0">
          <w:tblGrid>
            <w:gridCol w:w="2621.597444089457"/>
            <w:gridCol w:w="3832.7156549520764"/>
            <w:gridCol w:w="2905.68690095846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7">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8">
            <w:pPr>
              <w:jc w:val="center"/>
              <w:rPr/>
            </w:pPr>
            <w:r w:rsidDel="00000000" w:rsidR="00000000" w:rsidRPr="00000000">
              <w:rPr>
                <w:b w:val="1"/>
                <w:bCs w:val="1"/>
                <w:rtl w:val="0"/>
              </w:rPr>
              <w:t xml:space="preserve">Target/Result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9">
            <w:pPr>
              <w:rPr/>
            </w:pPr>
            <w:r w:rsidDel="00000000" w:rsidR="00000000" w:rsidRPr="00000000">
              <w:rPr>
                <w:rtl w:val="0"/>
              </w:rPr>
              <w:t xml:space="preserve">Disposition Completeness (DC)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A">
            <w:pPr>
              <w:rPr/>
            </w:pPr>
            <w:r w:rsidDel="00000000" w:rsidR="00000000" w:rsidRPr="00000000">
              <w:rPr>
                <w:rFonts w:ascii="Cardo" w:cs="Cardo" w:eastAsia="Cardo" w:hAnsi="Cardo"/>
                <w:rtl w:val="0"/>
              </w:rPr>
              <w:t xml:space="preserve">|{rᵢ : Δᵢ ∈ (runtime, nonruntime, accepted)}|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B">
            <w:pPr>
              <w:rPr/>
            </w:pPr>
            <w:r w:rsidDel="00000000" w:rsidR="00000000" w:rsidRPr="00000000">
              <w:rPr>
                <w:rtl w:val="0"/>
              </w:rPr>
              <w:t>1.000 (16/16) — release-admissible</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C">
            <w:pPr>
              <w:rPr/>
            </w:pPr>
            <w:r w:rsidDel="00000000" w:rsidR="00000000" w:rsidRPr="00000000">
              <w:rPr>
                <w:rtl w:val="0"/>
              </w:rPr>
              <w:t xml:space="preserve">Runtime Compilability Yield (RCY)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D">
            <w:pPr>
              <w:rPr/>
            </w:pPr>
            <w:r w:rsidDel="00000000" w:rsidR="00000000" w:rsidRPr="00000000">
              <w:rPr>
                <w:rtl w:val="0"/>
              </w:rPr>
              <w:t xml:space="preserve">|{rᵢ : Δᵢ = runtime(Dᵢ)}|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E">
            <w:pPr>
              <w:rPr/>
            </w:pPr>
            <w:r w:rsidDel="00000000" w:rsidR="00000000" w:rsidRPr="00000000">
              <w:rPr>
                <w:rtl w:val="0"/>
              </w:rPr>
              <w:t>0.8125 (13/16) — descriptive, not a quality target</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F">
            <w:pPr>
              <w:rPr/>
            </w:pPr>
            <w:r w:rsidDel="00000000" w:rsidR="00000000" w:rsidRPr="00000000">
              <w:rPr>
                <w:rtl w:val="0"/>
              </w:rPr>
              <w:t xml:space="preserve">Non-Runtime Disposition Rate (NDR)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0">
            <w:pPr>
              <w:rPr/>
            </w:pPr>
            <w:r w:rsidDel="00000000" w:rsidR="00000000" w:rsidRPr="00000000">
              <w:rPr>
                <w:rFonts w:ascii="Cardo" w:cs="Cardo" w:eastAsia="Cardo" w:hAnsi="Cardo"/>
                <w:rtl w:val="0"/>
              </w:rPr>
              <w:t xml:space="preserve">|{rᵢ : Δᵢ ∈ (nonruntime, accepted)}|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1">
            <w:pPr>
              <w:rPr/>
            </w:pPr>
            <w:r w:rsidDel="00000000" w:rsidR="00000000" w:rsidRPr="00000000">
              <w:rPr>
                <w:rtl w:val="0"/>
              </w:rPr>
              <w:t>0.1875 (3/16) — descriptive</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2">
            <w:pPr>
              <w:rPr/>
            </w:pPr>
            <w:r w:rsidDel="00000000" w:rsidR="00000000" w:rsidRPr="00000000">
              <w:rPr>
                <w:rtl w:val="0"/>
              </w:rPr>
              <w:t xml:space="preserve">Orphan Predicate Rate (OPR)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3">
            <w:pPr>
              <w:rPr/>
            </w:pPr>
            <w:r w:rsidDel="00000000" w:rsidR="00000000" w:rsidRPr="00000000">
              <w:rPr>
                <w:rFonts w:ascii="Arial Unicode MS" w:cs="Arial Unicode MS" w:eastAsia="Arial Unicode MS" w:hAnsi="Arial Unicode MS"/>
                <w:rtl w:val="0"/>
              </w:rPr>
              <w:t xml:space="preserve">|{p ∈ P : origin(p) ∉ R ∪ INV}| ÷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4">
            <w:pPr>
              <w:rPr/>
            </w:pPr>
            <w:r w:rsidDel="00000000" w:rsidR="00000000" w:rsidRPr="00000000">
              <w:rPr>
                <w:rtl w:val="0"/>
              </w:rPr>
              <w:t>0.000 (0/|P|) — required 0</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5">
            <w:pPr>
              <w:rPr/>
            </w:pPr>
            <w:r w:rsidDel="00000000" w:rsidR="00000000" w:rsidRPr="00000000">
              <w:rPr>
                <w:rtl w:val="0"/>
              </w:rPr>
              <w:t xml:space="preserve">Obligation Disposition Completeness (ODC)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6">
            <w:pPr>
              <w:rPr/>
            </w:pPr>
            <w:r w:rsidDel="00000000" w:rsidR="00000000" w:rsidRPr="00000000">
              <w:rPr>
                <w:rFonts w:ascii="Arial Unicode MS" w:cs="Arial Unicode MS" w:eastAsia="Arial Unicode MS" w:hAnsi="Arial Unicode MS"/>
                <w:rtl w:val="0"/>
              </w:rPr>
              <w:t xml:space="preserve">|{o ∈ O : o ⇝ runtime ∨ nonruntime ∨ accepted}| ÷ |O|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7">
            <w:pPr>
              <w:rPr/>
            </w:pPr>
            <w:r w:rsidDel="00000000" w:rsidR="00000000" w:rsidRPr="00000000">
              <w:rPr>
                <w:rFonts w:ascii="Roboto Mono" w:cs="Roboto Mono" w:eastAsia="Roboto Mono" w:hAnsi="Roboto Mono"/>
                <w:color w:val="188038"/>
                <w:rtl w:val="0"/>
              </w:rPr>
              <w:t>1.000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8">
            <w:pPr>
              <w:rPr/>
            </w:pPr>
            <w:r w:rsidDel="00000000" w:rsidR="00000000" w:rsidRPr="00000000">
              <w:rPr>
                <w:rtl w:val="0"/>
              </w:rPr>
              <w:t xml:space="preserve">Predicate Traceability Completeness (PTC)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9">
            <w:pPr>
              <w:rPr/>
            </w:pPr>
            <w:r w:rsidDel="00000000" w:rsidR="00000000" w:rsidRPr="00000000">
              <w:rPr>
                <w:rFonts w:ascii="Arial Unicode MS" w:cs="Arial Unicode MS" w:eastAsia="Arial Unicode MS" w:hAnsi="Arial Unicode MS"/>
                <w:rtl w:val="0"/>
              </w:rPr>
              <w:t xml:space="preserve">|{p ∈ P : p ⇝ risk ∨ compiler invariant}| ÷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A">
            <w:pPr>
              <w:rPr/>
            </w:pPr>
            <w:r w:rsidDel="00000000" w:rsidR="00000000" w:rsidRPr="00000000">
              <w:rPr>
                <w:rtl w:val="0"/>
              </w:rPr>
              <w:t>1.000</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B">
            <w:pPr>
              <w:rPr/>
            </w:pPr>
            <w:r w:rsidDel="00000000" w:rsidR="00000000" w:rsidRPr="00000000">
              <w:rPr>
                <w:rtl w:val="0"/>
              </w:rPr>
              <w:t xml:space="preserve">C* Coverage (CV)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C">
            <w:pPr>
              <w:rPr/>
            </w:pPr>
            <w:r w:rsidDel="00000000" w:rsidR="00000000" w:rsidRPr="00000000">
              <w:rPr>
                <w:rFonts w:ascii="Cardo" w:cs="Cardo" w:eastAsia="Cardo" w:hAnsi="Cardo"/>
                <w:rtl w:val="0"/>
              </w:rPr>
              <w:t xml:space="preserve">|{rᵢ : C*(cᵢ)=1 ∧ each hazardous action path mandatorily gated}| ÷ |{rᵢ : C*(cᵢ)=1}|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D">
            <w:pPr>
              <w:rPr/>
            </w:pPr>
            <w:r w:rsidDel="00000000" w:rsidR="00000000" w:rsidRPr="00000000">
              <w:rPr>
                <w:rtl w:val="0"/>
              </w:rPr>
              <w:t>1.000 — required 1</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E">
            <w:pPr>
              <w:rPr/>
            </w:pPr>
            <w:r w:rsidDel="00000000" w:rsidR="00000000" w:rsidRPr="00000000">
              <w:rPr>
                <w:rtl w:val="0"/>
              </w:rPr>
              <w:t xml:space="preserve">Translation Determinism (TD)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F">
            <w:pPr>
              <w:rPr/>
            </w:pPr>
            <w:r w:rsidDel="00000000" w:rsidR="00000000" w:rsidRPr="00000000">
              <w:rPr>
                <w:rtl w:val="0"/>
              </w:rPr>
              <w:t xml:space="preserve">Σₖ 𝟙[Hₖ = H_reference] ÷ N over environments and permutations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0">
            <w:pPr>
              <w:rPr/>
            </w:pPr>
            <w:r w:rsidDel="00000000" w:rsidR="00000000" w:rsidRPr="00000000">
              <w:rPr>
                <w:rFonts w:ascii="Arial Unicode MS" w:cs="Arial Unicode MS" w:eastAsia="Arial Unicode MS" w:hAnsi="Arial Unicode MS"/>
                <w:rtl w:val="0"/>
              </w:rPr>
              <w:t xml:space="preserve">1.000 (62/62 runs; 31 per case, reproduced on three operating systems)</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1">
            <w:pPr>
              <w:rPr/>
            </w:pPr>
            <w:r w:rsidDel="00000000" w:rsidR="00000000" w:rsidRPr="00000000">
              <w:rPr>
                <w:rtl w:val="0"/>
              </w:rPr>
              <w:t xml:space="preserve">Gate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2">
            <w:pPr>
              <w:rPr/>
            </w:pPr>
            <w:r w:rsidDel="00000000" w:rsidR="00000000" w:rsidRPr="00000000">
              <w:rPr>
                <w:rtl w:val="0"/>
              </w:rPr>
              <w:t xml:space="preserve">GD(T_H) with predeclared frozen T_H; and GD_min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3">
            <w:pPr>
              <w:rPr/>
            </w:pPr>
            <w:r w:rsidDel="00000000" w:rsidR="00000000" w:rsidRPr="00000000">
              <w:rPr>
                <w:rFonts w:ascii="Roboto Mono" w:cs="Roboto Mono" w:eastAsia="Roboto Mono" w:hAnsi="Roboto Mono"/>
                <w:color w:val="188038"/>
                <w:rtl w:val="0"/>
              </w:rPr>
              <w:t xml:space="preserve">Case A: GD(15) = 3, GD_min = 3 · Case B: GD(15) = 4, GD_min = 0</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4">
            <w:pPr>
              <w:rPr/>
            </w:pPr>
            <w:r w:rsidDel="00000000" w:rsidR="00000000" w:rsidRPr="00000000">
              <w:rPr>
                <w:rtl w:val="0"/>
              </w:rPr>
              <w:t xml:space="preserve">Silent-Narrowing Rate (SNR)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5">
            <w:pPr>
              <w:rPr/>
            </w:pPr>
            <w:r w:rsidDel="00000000" w:rsidR="00000000" w:rsidRPr="00000000">
              <w:rPr>
                <w:rtl w:val="0"/>
              </w:rPr>
              <w:t xml:space="preserve">Σᵢ SNᵢ ÷ |R| against the adjudicated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6">
            <w:pPr>
              <w:rPr/>
            </w:pPr>
            <w:r w:rsidDel="00000000" w:rsidR="00000000" w:rsidRPr="00000000">
              <w:rPr>
                <w:rtl w:val="0"/>
              </w:rPr>
              <w:t xml:space="preserve">primary outcome of the deferred comparative study; not reported here</w:t>
            </w:r>
            <w:r w:rsidDel="00000000" w:rsidR="00000000" w:rsidRPr="00000000">
              <w:rPr>
                <w:rFonts w:ascii="Roboto Mono" w:cs="Roboto Mono" w:eastAsia="Roboto Mono" w:hAnsi="Roboto Mono"/>
                <w:color w:val="188038"/>
                <w:rtl w:val="0"/>
              </w:rPr>
              <w:t xml:space="preserve"/>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7">
            <w:pPr>
              <w:rPr/>
            </w:pPr>
            <w:r w:rsidDel="00000000" w:rsidR="00000000" w:rsidRPr="00000000">
              <w:rPr>
                <w:rtl w:val="0"/>
              </w:rPr>
              <w:t xml:space="preserve">Field-Level Derivation Fidelity (DF)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8">
            <w:pPr>
              <w:rPr/>
            </w:pPr>
            <w:r w:rsidDel="00000000" w:rsidR="00000000" w:rsidRPr="00000000">
              <w:rPr>
                <w:rFonts w:ascii="Cardo" w:cs="Cardo" w:eastAsia="Cardo" w:hAnsi="Cardo"/>
                <w:rtl w:val="0"/>
              </w:rPr>
              <w:t xml:space="preserve">DFᵢ = |Fᵢ ∩ Fᵢ*| ÷ |Fᵢ*|; DF = mean over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9">
            <w:pPr>
              <w:rPr/>
            </w:pPr>
            <w:r w:rsidDel="00000000" w:rsidR="00000000" w:rsidRPr="00000000">
              <w:rPr>
                <w:rFonts w:ascii="Roboto Mono" w:cs="Roboto Mono" w:eastAsia="Roboto Mono" w:hAnsi="Roboto Mono"/>
                <w:color w:val="188038"/>
                <w:rtl w:val="0"/>
              </w:rPr>
              <w:t xml:space="preserve">primary outcome of the deferred comparative study; not reported here</w:t>
            </w:r>
            <w:r w:rsidDel="00000000" w:rsidR="00000000" w:rsidRPr="00000000">
              <w:rPr>
                <w:rtl w:val="0"/>
              </w:rPr>
            </w:r>
          </w:p>
        </w:tc>
      </w:tr>
    </w:tbl>
    <w:p w:rsidR="00000000" w:rsidDel="00000000" w:rsidP="00000000" w:rsidRDefault="00000000" w:rsidRPr="00000000" ns1:paraId="000001AA">
      <w:pPr>
        <w:spacing w:after="240" w:before="240" w:lineRule="auto"/>
        <w:rPr/>
      </w:pPr>
      <w:r w:rsidDel="00000000" w:rsidR="00000000" w:rsidRPr="00000000">
        <w:rPr>
          <w:rtl w:val="0"/>
        </w:rPr>
        <w:t xml:space="preserve">RCY is descriptive, not a quality target; forcing it toward 1 would incorrectly encourage non-runtime risks to be translated into unsuitable predicates. Threshold, operator, authority-tuple, and unknown-handling fields require exact agreement with the adjudicated reference; semantic similarity alone is not accepted.</w:t>
      </w:r>
    </w:p>
    <w:p w:rsidR="00000000" w:rsidDel="00000000" w:rsidP="00000000" w:rsidRDefault="00000000" w:rsidRPr="00000000" ns1:paraId="000001AB">
      <w:pPr>
        <w:pStyle w:val="Heading3"/>
        <w:keepNext w:val="0"/>
        <w:keepLines w:val="0"/>
        <w:spacing w:before="280" w:lineRule="auto"/>
        <w:rPr>
          <w:b w:val="1"/>
          <w:bCs w:val="1"/>
          <w:color w:val="000000"/>
          <w:sz w:val="26"/>
          <w:szCs w:val="26"/>
        </w:rPr>
      </w:pPr>
      <w:bookmarkStart w:colFirst="0" w:colLast="0" w:name="_9tqtdafwm6fh" w:id="39"/>
      <w:bookmarkEnd w:id="39"/>
      <w:r w:rsidDel="00000000" w:rsidR="00000000" w:rsidRPr="00000000">
        <w:rPr>
          <w:b w:val="1"/>
          <w:bCs w:val="1"/>
          <w:color w:val="000000"/>
          <w:sz w:val="26"/>
          <w:szCs w:val="26"/>
          <w:rtl w:val="0"/>
        </w:rPr>
        <w:t xml:space="preserve">C. Independent Reference Standard</w:t>
      </w:r>
    </w:p>
    <w:p w:rsidR="00000000" w:rsidDel="00000000" w:rsidP="00000000" w:rsidRDefault="00000000" w:rsidRPr="00000000" ns1:paraId="000001AC">
      <w:pPr>
        <w:spacing w:after="240" w:before="240" w:lineRule="auto"/>
        <w:rPr/>
      </w:pPr>
      <w:r w:rsidDel="00000000" w:rsidR="00000000" w:rsidRPr="00000000">
        <w:rPr>
          <w:rtl w:val="0"/>
        </w:rPr>
        <w:t xml:space="preserve">The reference standard is to be produced by an independent three-person adjudication panel with expertise spanning AI governance, operational risk, and policy/control engineering. That panel has not yet been convened: it is part of the deferred comparative study, and no adjudicated reference standard exists at the time of writing. Accordingly, no result reported in this paper rests on panel adjudication, and the rating distributions used in the sensitivity analysis of Section XI-G are author-specified rather than panel-adjudicated. Panel members have no authorship, ownership, or commercial interest in the method. The panel first assesses each held-out row independently, then conducts a blinded, structured Delphi reconciliation; disagreements and final rationales are retained. The author does not participate in adjudication and does not modify the held-out register, catalog, or thresholds after panel review begins. Φ output is not treated as ground truth; it is compared against the independently adjudicated Approved Control Specifications.</w:t>
      </w:r>
    </w:p>
    <w:p w:rsidR="00000000" w:rsidDel="00000000" w:rsidP="00000000" w:rsidRDefault="00000000" w:rsidRPr="00000000" ns1:paraId="000001AD">
      <w:pPr>
        <w:pStyle w:val="Heading3"/>
        <w:keepNext w:val="0"/>
        <w:keepLines w:val="0"/>
        <w:spacing w:before="280" w:lineRule="auto"/>
        <w:rPr>
          <w:b w:val="1"/>
          <w:bCs w:val="1"/>
          <w:color w:val="000000"/>
          <w:sz w:val="26"/>
          <w:szCs w:val="26"/>
        </w:rPr>
      </w:pPr>
      <w:bookmarkStart w:colFirst="0" w:colLast="0" w:name="_wmcs0vlam3pf" w:id="40"/>
      <w:bookmarkEnd w:id="40"/>
      <w:r w:rsidDel="00000000" w:rsidR="00000000" w:rsidRPr="00000000">
        <w:rPr>
          <w:b w:val="1"/>
          <w:bCs w:val="1"/>
          <w:color w:val="000000"/>
          <w:sz w:val="26"/>
          <w:szCs w:val="26"/>
          <w:rtl w:val="0"/>
        </w:rPr>
        <w:t xml:space="preserve">D. Comparative Expert Study (Frozen Protocol; Deferred Execution)</w:t>
      </w:r>
    </w:p>
    <w:p w:rsidR="00000000" w:rsidDel="00000000" w:rsidP="00000000" w:rsidRDefault="00000000" w:rsidRPr="00000000" ns1:paraId="000001AE">
      <w:pPr>
        <w:spacing w:after="240" w:before="240" w:lineRule="auto"/>
        <w:rPr/>
      </w:pPr>
      <w:r w:rsidDel="00000000" w:rsidR="00000000" w:rsidRPr="00000000">
        <w:rPr>
          <w:rtl w:val="0"/>
        </w:rPr>
        <w:t xml:space="preserve">At least eight independent practitioners are recruited, with a planned maximum of twelve. The held-out instrument contains at least 30 risk rows across three domains, including at least one non-financial domain; rows include runtime-compilable, non-runtime, ambiguous, and deliberately incomplete examples. Two matched blocks, A and B, are constructed with comparable numbers of runtime controls, non-runtime controls, C* risks, non-C* risks, reason-code classes, and numeric, structural, lookup, and attestation conditions. A randomized counterbalanced crossover is used: half the reviewers complete Block A manually and Block B using GC-IR/K; the other half the reverse. No reviewer sees the same risk row in both conditions — reducing recall and training effects while permitting reviewer-level paired analysis.</w:t>
      </w:r>
    </w:p>
    <w:p w:rsidR="00000000" w:rsidDel="00000000" w:rsidP="00000000" w:rsidRDefault="00000000" w:rsidRPr="00000000" ns1:paraId="000001AF">
      <w:pPr>
        <w:spacing w:after="240" w:before="240" w:lineRule="auto"/>
        <w:rPr/>
      </w:pPr>
      <w:r w:rsidDel="00000000" w:rsidR="00000000" w:rsidRPr="00000000">
        <w:rPr>
          <w:rtl w:val="0"/>
        </w:rPr>
        <w:t xml:space="preserve">For each row, reviewers record: (1) disposition; (2) reason code where applicable; (3) event type and observable; (4) evidence producer and source; (5) subject/action/resource/destination; (6) evaluation basis; (7) threshold contract or structural condition; (8) gate type, gate source, and mandatory role; (9) unknown handling; (10) escalation path. Completion time and requested clarifications are recorded automatically.</w:t>
      </w:r>
    </w:p>
    <w:p w:rsidR="00000000" w:rsidDel="00000000" w:rsidP="00000000" w:rsidRDefault="00000000" w:rsidRPr="00000000" ns1:paraId="000001B0">
      <w:pPr>
        <w:spacing w:after="240" w:before="240" w:lineRule="auto"/>
        <w:rPr/>
      </w:pPr>
      <w:r w:rsidDel="00000000" w:rsidR="00000000" w:rsidRPr="00000000">
        <w:rPr>
          <w:b w:val="1"/>
          <w:bCs w:val="1"/>
          <w:rtl w:val="0"/>
        </w:rPr>
        <w:t xml:space="preserve">Exploratory pilot (optional).</w:t>
      </w:r>
      <w:r w:rsidDel="00000000" w:rsidR="00000000" w:rsidRPr="00000000">
        <w:rPr>
          <w:rtl w:val="0"/>
        </w:rPr>
        <w:t xml:space="preserve"> A three-practitioner, single-pass mapping of a ~15-row held-out register may precede the full study. Without an unaided-manual comparator it measures feasibility and agreement — not silent-narrowing reduction or gate correctness relative to manual practice — and it is labeled </w:t>
      </w:r>
      <w:r w:rsidDel="00000000" w:rsidR="00000000" w:rsidRPr="00000000">
        <w:rPr>
          <w:i w:val="1"/>
          <w:iCs w:val="1"/>
          <w:rtl w:val="0"/>
        </w:rPr>
        <w:t xml:space="preserve">exploratory</w:t>
      </w:r>
      <w:r w:rsidDel="00000000" w:rsidR="00000000" w:rsidRPr="00000000">
        <w:rPr>
          <w:rtl w:val="0"/>
        </w:rPr>
        <w:t xml:space="preserve"> wherever reported, with raw and category-specific agreement, Fleiss' κ, Krippendorff's α, Gwet's AC1, full confusion matrices, and wide uncertainty intervals disclosed. At three reviewers and ~15 rows, no confirmatory conclusion is drawn from the pilot, and no claim in this paper depends on it.</w:t>
      </w:r>
    </w:p>
    <w:p w:rsidR="00000000" w:rsidDel="00000000" w:rsidP="00000000" w:rsidRDefault="00000000" w:rsidRPr="00000000" ns1:paraId="000001B1">
      <w:pPr>
        <w:pStyle w:val="Heading3"/>
        <w:keepNext w:val="0"/>
        <w:keepLines w:val="0"/>
        <w:spacing w:before="280" w:lineRule="auto"/>
        <w:rPr>
          <w:b w:val="1"/>
          <w:bCs w:val="1"/>
          <w:color w:val="000000"/>
          <w:sz w:val="26"/>
          <w:szCs w:val="26"/>
        </w:rPr>
      </w:pPr>
      <w:bookmarkStart w:colFirst="0" w:colLast="0" w:name="_qbrmzkkk64x3" w:id="41"/>
      <w:bookmarkEnd w:id="41"/>
      <w:r w:rsidDel="00000000" w:rsidR="00000000" w:rsidRPr="00000000">
        <w:rPr>
          <w:b w:val="1"/>
          <w:bCs w:val="1"/>
          <w:color w:val="000000"/>
          <w:sz w:val="26"/>
          <w:szCs w:val="26"/>
          <w:rtl w:val="0"/>
        </w:rPr>
        <w:t xml:space="preserve">E. Inter-Rater Reliability</w:t>
      </w:r>
    </w:p>
    <w:p w:rsidR="00000000" w:rsidDel="00000000" w:rsidP="00000000" w:rsidRDefault="00000000" w:rsidRPr="00000000" ns1:paraId="000001B2">
      <w:pPr>
        <w:spacing w:after="240" w:before="240" w:lineRule="auto"/>
        <w:rPr/>
      </w:pPr>
      <w:r w:rsidDel="00000000" w:rsidR="00000000" w:rsidRPr="00000000">
        <w:rPr>
          <w:rFonts w:ascii="Arial Unicode MS" w:cs="Arial Unicode MS" w:eastAsia="Arial Unicode MS" w:hAnsi="Arial Unicode MS"/>
          <w:rtl w:val="0"/>
        </w:rPr>
        <w:t xml:space="preserve">For nominal multi-rater outcomes — disposition, reason code, and gate source — Fleiss' κ_F = (P̄ − P̄ₑ)/(1 − P̄ₑ) is reported [25]. For reviewer-to-reference comparisons, Cohen's kappa is reported per reviewer and pooled descriptively; gate severity may additionally be assessed with weighted kappa only if the ordering and weights are frozen before the study. Because missing responses and unequal category prevalence are plausible, Krippendorff's α = 1 − D_o/D_e is reported as a robustness statistic (nominal disagreement for dispositions and reason codes) [26], and Gwet's AC1 as a prevalence-robust sensitivity analysis [27]. No qualitative label such as "substantial" substitutes for the numerical estimate and uncertainty interval. Ninety-five-percent confidence intervals are obtained by cluster bootstrap over risk rows, preserving all ratings for a sampled row within each resample, with at least 10,000 replications.</w:t>
      </w:r>
    </w:p>
    <w:p w:rsidR="00000000" w:rsidDel="00000000" w:rsidP="00000000" w:rsidRDefault="00000000" w:rsidRPr="00000000" ns1:paraId="000001B3">
      <w:pPr>
        <w:pStyle w:val="Heading3"/>
        <w:keepNext w:val="0"/>
        <w:keepLines w:val="0"/>
        <w:spacing w:before="280" w:lineRule="auto"/>
        <w:rPr>
          <w:b w:val="1"/>
          <w:bCs w:val="1"/>
          <w:color w:val="000000"/>
          <w:sz w:val="26"/>
          <w:szCs w:val="26"/>
        </w:rPr>
      </w:pPr>
      <w:bookmarkStart w:colFirst="0" w:colLast="0" w:name="_egkzdnf5tj1q" w:id="42"/>
      <w:bookmarkEnd w:id="42"/>
      <w:r w:rsidDel="00000000" w:rsidR="00000000" w:rsidRPr="00000000">
        <w:rPr>
          <w:b w:val="1"/>
          <w:bCs w:val="1"/>
          <w:color w:val="000000"/>
          <w:sz w:val="26"/>
          <w:szCs w:val="26"/>
          <w:rtl w:val="0"/>
        </w:rPr>
        <w:t xml:space="preserve">F. Bayesian Comparative Analysis</w:t>
      </w:r>
    </w:p>
    <w:p w:rsidR="00000000" w:rsidDel="00000000" w:rsidP="00000000" w:rsidRDefault="00000000" w:rsidRPr="00000000" ns1:paraId="000001B4">
      <w:pPr>
        <w:spacing w:after="240" w:before="240" w:lineRule="auto"/>
        <w:rPr/>
      </w:pPr>
      <w:r w:rsidDel="00000000" w:rsidR="00000000" w:rsidRPr="00000000">
        <w:rPr>
          <w:rtl w:val="0"/>
        </w:rPr>
        <w:t xml:space="preserve">For binary defect outcome y_ij (1 = omission, silent narrowing, orphan control, or incorrect gate for reviewer j on row i):</w:t>
      </w:r>
    </w:p>
    <w:p w:rsidR="00000000" w:rsidDel="00000000" w:rsidP="00000000" w:rsidRDefault="00000000" w:rsidRPr="00000000" ns1:paraId="000001B5">
      <w:pPr>
        <w:spacing w:after="240" w:before="240" w:lineRule="auto"/>
        <w:rPr/>
      </w:pPr>
      <w:r w:rsidDel="00000000" w:rsidR="00000000" w:rsidRPr="00000000">
        <w:rPr>
          <w:rtl w:val="0"/>
        </w:rPr>
        <w:t xml:space="preserve">y_ij ~ Bernoulli(p_ij); logit(p_ij) = β₀ + β₁·Assisted_ij + u_j + vᵢ; u_j ~ N(0, σ_u²), vᵢ ~ N(0, σ_v²),</w:t>
      </w:r>
    </w:p>
    <w:p w:rsidR="00000000" w:rsidDel="00000000" w:rsidP="00000000" w:rsidRDefault="00000000" w:rsidRPr="00000000" ns1:paraId="000001B6">
      <w:pPr>
        <w:spacing w:after="240" w:before="240" w:lineRule="auto"/>
        <w:rPr/>
      </w:pPr>
      <w:r w:rsidDel="00000000" w:rsidR="00000000" w:rsidRPr="00000000">
        <w:rPr>
          <w:rFonts w:ascii="Arial Unicode MS" w:cs="Arial Unicode MS" w:eastAsia="Arial Unicode MS" w:hAnsi="Arial Unicode MS"/>
          <w:rtl w:val="0"/>
        </w:rPr>
        <w:t xml:space="preserve">with weakly informative priors β₀, β₁ ~ N(0, 2.5²) and σ_u, σ_v ~ HalfNormal(0, 1). The analysis reports the posterior median of exp(β₁), its 95% credible interval, Pr(β₁ &lt; 0 | data), and posterior predicted defect rates under both conditions. Completion time is modeled with a log-normal hierarchical model with reviewer and block effects. For isolated binomial proportions, including zero-event results, a Jeffreys prior p ~ Beta(½, ½) yields posterior p | x, n ~ Beta(x + ½, n − x + ½); the posterior median and 95% credible interval are reported alongside the exact one-sided frequentist upper bound. Neither is described as proof of zero risk. Convergence requires split-R̂ &lt; 1.01, effective sample size above 1,000 for reported parameters, and posterior predictive checks.</w:t>
      </w:r>
    </w:p>
    <w:p w:rsidR="00000000" w:rsidDel="00000000" w:rsidP="00000000" w:rsidRDefault="00000000" w:rsidRPr="00000000" ns1:paraId="000001B7">
      <w:pPr>
        <w:pStyle w:val="Heading3"/>
        <w:keepNext w:val="0"/>
        <w:keepLines w:val="0"/>
        <w:spacing w:before="280" w:lineRule="auto"/>
        <w:rPr>
          <w:b w:val="1"/>
          <w:bCs w:val="1"/>
          <w:color w:val="000000"/>
          <w:sz w:val="26"/>
          <w:szCs w:val="26"/>
        </w:rPr>
      </w:pPr>
      <w:bookmarkStart w:colFirst="0" w:colLast="0" w:name="_8vvvd62goq3j" w:id="43"/>
      <w:bookmarkEnd w:id="43"/>
      <w:r w:rsidDel="00000000" w:rsidR="00000000" w:rsidRPr="00000000">
        <w:rPr>
          <w:b w:val="1"/>
          <w:bCs w:val="1"/>
          <w:color w:val="000000"/>
          <w:sz w:val="26"/>
          <w:szCs w:val="26"/>
          <w:rtl w:val="0"/>
        </w:rPr>
        <w:t xml:space="preserve">G. Monte Carlo Rating-Robustness Analysis</w:t>
      </w:r>
    </w:p>
    <w:p w:rsidR="00000000" w:rsidDel="00000000" w:rsidP="00000000" w:rsidRDefault="00000000" w:rsidRPr="00000000" ns1:paraId="000001B8">
      <w:pPr>
        <w:spacing w:after="240" w:before="240" w:lineRule="auto"/>
        <w:rPr>
          <w:rFonts w:ascii="Roboto Mono" w:cs="Roboto Mono" w:eastAsia="Roboto Mono" w:hAnsi="Roboto Mono"/>
          <w:color w:val="188038"/>
        </w:rPr>
      </w:pPr>
      <w:r w:rsidDel="00000000" w:rsidR="00000000" w:rsidRPr="00000000">
        <w:rPr>
          <w:rtl w:val="0"/>
        </w:rPr>
        <w:t xml:space="preserve">Monte Carlo analysis measures the sensitivity of heat-map gate selection to rating uncertainty; it is not a substitute for Propositions 1–2. For each risk rᵢ, discrete probability masses over plausible ratings are fixed before execution. In the analysis reported here these masses are author-specified rather than panel-adjudicated: a symmetric ±1 ordinal perturbation placing probability 0.6 on the approved rating and 0.2 on each adjacent rating of the enterprise 1–5 scale, with mass falling outside the scale reassigned to the approved rating. The rule was chosen a priori for simplicity, was frozen in the artifact's public preregistration before any result was computed, and is not tuned toward any value. It is a declared sensitivity model; it does not estimate how uncertain real enterprise ratings are. When the independent panel of Section XI-C is convened for the deferred study, the analysis is to be re-run under panel-adjudicated masses and reported separately. The masses are: Lᵢ⁽ᵏ⁾ ~ Cat(π_{Lᵢ}), Iᵢ⁽ᵏ⁾ ~ Cat(π_{Iᵢ}). For K ≥ 250,000 draws, sᵢ⁽ᵏ⁾ = Lᵢ⁽ᵏ⁾Iᵢ⁽ᵏ⁾ and hᵢ⁽ᵏ⁾ = 𝟙[sᵢ⁽ᵏ⁾ ≥ T_H]. The heat-map gate-flip probability is FPᵢ^heat = (1/K) Σₖ 𝟙[hᵢ⁽ᵏ⁾ ≠ hᵢ^approved]; conditional on unchanged consequence classification and policy version, FPᵢ^C* = 0. Reported quantities: per-risk flip probability; expected gate changes per register; distributions of GD(T_H) and GD_min; and Monte Carlo standard error MCSE(p̂) = √(p̂(1−p̂)/K), bounded above by 0.001 at K = 250,000. Measured on Case A at K = 250,000: the maximum per-risk heat-map flip probability is 0.321 (MCSE 0.001), concentrated on rows adjacent to T_H, and the expected number of heat-map gate changes per register is 3.64. Over the draws, GD(15) has mean 5.447 against an approved value of 3, and GD_min has mean 3.226; on Case B, GD_min was 0 in every one of the 250,000 draws. Under a secondary variant that renormalizes the out-of-scale mass instead of reassigning it, the maximum flip probability is 0.352. Meanwhile FPᵢ^C* = 0.000 across the register — verified, not assumed, by re-running the approved consequence-class classifier on 1,000 perturbed draws, which produced no change in C* membership — gate membership under the coverage rule does not move with rating uncertainty, conditional on unchanged consequence classification and policy version.</w:t>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B9">
      <w:pPr>
        <w:pStyle w:val="Heading3"/>
        <w:keepNext w:val="0"/>
        <w:keepLines w:val="0"/>
        <w:spacing w:before="280" w:lineRule="auto"/>
        <w:rPr>
          <w:b w:val="1"/>
          <w:bCs w:val="1"/>
          <w:color w:val="000000"/>
          <w:sz w:val="26"/>
          <w:szCs w:val="26"/>
        </w:rPr>
      </w:pPr>
      <w:bookmarkStart w:colFirst="0" w:colLast="0" w:name="_g04o8z2dze1k" w:id="44"/>
      <w:bookmarkEnd w:id="44"/>
      <w:r w:rsidDel="00000000" w:rsidR="00000000" w:rsidRPr="00000000">
        <w:rPr>
          <w:b w:val="1"/>
          <w:bCs w:val="1"/>
          <w:color w:val="000000"/>
          <w:sz w:val="26"/>
          <w:szCs w:val="26"/>
          <w:rtl w:val="0"/>
        </w:rPr>
        <w:t xml:space="preserve">H. Determinism and Adversarial Compiler Testing</w:t>
      </w:r>
    </w:p>
    <w:p w:rsidR="00000000" w:rsidDel="00000000" w:rsidP="00000000" w:rsidRDefault="00000000" w:rsidRPr="00000000" ns1:paraId="000001BA">
      <w:pPr>
        <w:spacing w:after="240" w:before="240" w:lineRule="auto"/>
        <w:rPr/>
      </w:pPr>
      <w:r w:rsidDel="00000000" w:rsidR="00000000" w:rsidRPr="00000000">
        <w:rPr>
          <w:rtl w:val="0"/>
        </w:rPr>
        <w:t xml:space="preserve">TD testing includes: repeated runs; key and row reordering; equivalent numeric encodings rejected or normalized per schema; locale and time-zone changes; supported operating systems or reproducible containers; malformed references; duplicate IDs; conflicting predicates; expired approvals; stale catalog versions; missing evidence producers; unknown consequence classes; unauthorized action triples; C* rows with missing mandatory coverage; attempted in-place payload mutation (must fail the hash check); and post-retirement bundle use against the lifecycle registry. Property-based tests verify total disposition, authority closure, mandatory unknown-failure, C* coverage, origin closure, payload immutability, and temporal receipt validity. Measured: TD = 1.000 over 62 compilation runs, 31 per case, following a stratified matrix of 10 clean repeats, 10 row shuffles, 5 object-key shuffles, 3 locales and 3 time zones. Row shuffles permute the risk register, risk analysis, obligation matrix, authority matrix, Approved Control Specifications, dispositions, judgment-record selections, catalog entries and invariant register; key shuffles reverse, rotate or shuffle the keys of every object in every input document; equivalent permitted serialization, with integers re-encoded as equal-valued floats, is layered onto five runs per case; and 15 of the 31 execute in a freshly spawned interpreter under a varying hash seed. Each run records the canonical payload hash and an environment fingerprint. The full matrix was executed on eight independently provisioned environments spanning three operating systems, two machine architectures and six CPython patch versions, every one of which reproduced the committed reference canonical payload hashes exactly. The adversarial suite comprises 62 cases — 54 negative and 8 positive controls — all passing, with 26 structural checks and 3 seeded validation rows; a case counts as passing only if it is rejected with the error code its requirement predicts, so rejection for an unrelated reason is recorded as a mismatch rather than a pass. Property-based testing covers 16 properties over 1,427 generated examples. The thirteen Case B injection scenarios — the eight adversarial attack families and five ASB scenario families enumerated by the consuming enforcement artifact — all resolve to SAFE_STATE against a clean PERMIT control. The determinism experiment is not a formality: on the reference implementation it detected a genuine ordering dependence, in which the compiled bundle hashed the derivation catalog as authored rather than in canonical order, so that an equivalent catalog serialization produced a different bundle hash. The defect was fixed before the reportable campaign and is covered by a regression test.</w:t>
      </w:r>
    </w:p>
    <w:p w:rsidR="00000000" w:rsidDel="00000000" w:rsidP="00000000" w:rsidRDefault="00000000" w:rsidRPr="00000000" ns1:paraId="000001BB">
      <w:pPr>
        <w:pStyle w:val="Heading3"/>
        <w:keepNext w:val="0"/>
        <w:keepLines w:val="0"/>
        <w:spacing w:before="280" w:lineRule="auto"/>
        <w:rPr>
          <w:b w:val="1"/>
          <w:bCs w:val="1"/>
          <w:color w:val="000000"/>
          <w:sz w:val="26"/>
          <w:szCs w:val="26"/>
        </w:rPr>
      </w:pPr>
      <w:bookmarkStart w:colFirst="0" w:colLast="0" w:name="_jxok77dvxanz" w:id="45"/>
      <w:bookmarkEnd w:id="45"/>
      <w:r w:rsidDel="00000000" w:rsidR="00000000" w:rsidRPr="00000000">
        <w:rPr>
          <w:b w:val="1"/>
          <w:bCs w:val="1"/>
          <w:color w:val="000000"/>
          <w:sz w:val="26"/>
          <w:szCs w:val="26"/>
          <w:rtl w:val="0"/>
        </w:rPr>
        <w:t xml:space="preserve">I. Preregistration and Stopping Rules</w:t>
      </w:r>
    </w:p>
    <w:p w:rsidR="00000000" w:rsidDel="00000000" w:rsidP="00000000" w:rsidRDefault="00000000" w:rsidRPr="00000000" ns1:paraId="000001BC">
      <w:pPr>
        <w:spacing w:after="240" w:before="240" w:lineRule="auto"/>
        <w:rPr/>
      </w:pPr>
      <w:r w:rsidDel="00000000" w:rsidR="00000000" w:rsidRPr="00000000">
        <w:rPr>
          <w:rtl w:val="0"/>
        </w:rPr>
        <w:t xml:space="preserve">Before execution, the following are publicly hash-committed: hypotheses and primary outcomes; case artifacts; derivation catalog; adjudication instrument; thresholds and the C* definition; schemas; compiler commit and container definition; randomization seed; Bayesian priors; Monte Carlo distributions and seed; determinism matrix; exclusion and missing-data rules; the Case B predicate-family mapping; and analysis code. This commitment is discharged: the Tier-0 freeze is published at https://github.com/Sukhmangill977/gc-ir-reference under tag preregister-tier0-v2.2, whose manifest covers 133 files across 23 categories, and the tag was pushed before the reportable campaign was executed. The campaign ran at the freeze commit itself and no frozen file changed in between, which is mechanically verifiable from the repository rather than asserted here. The held-out-register hash is committed separately, in a Tier-1 freeze published before recruitment for the comparative study opens, since the instrument is authored as part of that study and publishing it earlier would contaminate it. The deferral of RQ5 is itself part of the preregistration: the public commitment binds the comparative study to be executed as frozen, so the deferral is cryptographically committed rather than promised. Recruitment is precision-based: the minimum is eight reviewers, continuing to twelve if the 95% interval for the primary agreement estimate has half-width greater than 0.15 after eight; this rule is frozen before recruitment. Primary outcomes of the deferred study are SNR, incorrect-gate rate, and DC; other outcomes are secondary, and no conclusion is based solely on an uncorrected collection of exploratory comparisons.</w:t>
      </w:r>
    </w:p>
    <w:p w:rsidR="00000000" w:rsidDel="00000000" w:rsidP="00000000" w:rsidRDefault="00000000" w:rsidRPr="00000000" ns1:paraId="000001BD">
      <w:pPr>
        <w:spacing w:after="240" w:before="240" w:lineRule="auto"/>
        <w:rPr/>
      </w:pPr>
      <w:r w:rsidDel="00000000" w:rsidR="00000000" w:rsidRPr="00000000">
        <w:rPr>
          <w:b w:val="1"/>
          <w:bCs w:val="1"/>
          <w:rtl w:val="0"/>
        </w:rPr>
        <w:t xml:space="preserve">Reporting discipline.</w:t>
      </w:r>
      <w:r w:rsidDel="00000000" w:rsidR="00000000" w:rsidRPr="00000000">
        <w:rPr>
          <w:rtl w:val="0"/>
        </w:rPr>
        <w:t xml:space="preserve"> Every published result carries a claim class and is stated only at the class its evidence supports: C1 (author-operated measurement under declared conditions) or C2 (conformance run against a declared, versioned profile with reported bounds). No C3 (independently verified) or C4 (consensus-bound) claim is made anywhere in this paper. The internal selection of frozen elements is not a freeze — the public timestamped commitment is.</w:t>
      </w:r>
    </w:p>
    <w:p w:rsidR="00000000" w:rsidDel="00000000" w:rsidP="00000000" w:rsidRDefault="00000000" w:rsidRPr="00000000" ns1:paraId="000001BE">
      <w:pPr>
        <w:spacing w:after="240" w:before="240" w:lineRule="auto"/>
        <w:rPr/>
      </w:pPr>
      <w:r w:rsidDel="00000000" w:rsidR="00000000" w:rsidRPr="00000000">
        <w:rPr>
          <w:b w:val="1"/>
          <w:bCs w:val="1"/>
          <w:rtl w:val="0"/>
        </w:rPr>
        <w:t xml:space="preserve">Downstream interface (out of scope here).</w:t>
      </w:r>
      <w:r w:rsidDel="00000000" w:rsidR="00000000" w:rsidRPr="00000000">
        <w:rPr>
          <w:rtl w:val="0"/>
        </w:rPr>
        <w:t xml:space="preserve"> Once a compiled bundle is deployed, its runtime performance is measured at the enforcement layer by the execution-assurance metric family defined in [15]. This paper's metrics stop at compilation; the two families meet at the compiled-bundle hash, and conformant receipts carry the requirement reference this paper specifies. </w:t>
      </w:r>
      <w:r w:rsidDel="00000000" w:rsidR="00000000" w:rsidRPr="00000000">
        <w:rPr>
          <w:b w:val="1"/>
          <w:bCs w:val="1"/>
          <w:rtl w:val="0"/>
        </w:rPr>
        <w:t xml:space="preserve">Deliberately not evaluated:</w:t>
      </w:r>
      <w:r w:rsidDel="00000000" w:rsidR="00000000" w:rsidRPr="00000000">
        <w:rPr>
          <w:rtl w:val="0"/>
        </w:rPr>
        <w:t xml:space="preserve"> detection performance, production impact, false-denial rates in live traffic — those require the shadow-mode deployment identified as future work and belong to a subsequent paper.</w:t>
      </w:r>
    </w:p>
    <w:p w:rsidR="00000000" w:rsidDel="00000000" w:rsidP="00000000" w:rsidRDefault="00000000" w:rsidRPr="00000000" ns1:paraId="000001B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C0">
      <w:pPr>
        <w:pStyle w:val="Heading2"/>
        <w:keepNext w:val="0"/>
        <w:keepLines w:val="0"/>
        <w:spacing w:after="80" w:lineRule="auto"/>
        <w:rPr>
          <w:b w:val="1"/>
          <w:bCs w:val="1"/>
          <w:sz w:val="34"/>
          <w:szCs w:val="34"/>
        </w:rPr>
      </w:pPr>
      <w:bookmarkStart w:colFirst="0" w:colLast="0" w:name="_c3n2vr92s2g8" w:id="46"/>
      <w:bookmarkEnd w:id="46"/>
      <w:r w:rsidDel="00000000" w:rsidR="00000000" w:rsidRPr="00000000">
        <w:rPr>
          <w:b w:val="1"/>
          <w:bCs w:val="1"/>
          <w:sz w:val="34"/>
          <w:szCs w:val="34"/>
          <w:rtl w:val="0"/>
        </w:rPr>
        <w:t xml:space="preserve">XII. LIMITATIONS AND THREATS TO VALIDITY</w:t>
      </w:r>
    </w:p>
    <w:p w:rsidR="00000000" w:rsidDel="00000000" w:rsidP="00000000" w:rsidRDefault="00000000" w:rsidRPr="00000000" ns1:paraId="000001C1">
      <w:pPr>
        <w:numPr>
          <w:ilvl w:val="0"/>
          <w:numId w:val="7"/>
        </w:numPr>
        <w:spacing w:after="0" w:afterAutospacing="0" w:before="240" w:lineRule="auto"/>
        <w:ind w:left="720" w:hanging="360"/>
      </w:pPr>
      <w:r w:rsidDel="00000000" w:rsidR="00000000" w:rsidRPr="00000000">
        <w:rPr>
          <w:rtl w:val="0"/>
        </w:rPr>
        <w:t xml:space="preserve">Case A is synthetic (fully specified and reproducible, but not a deployed system).</w:t>
      </w:r>
    </w:p>
    <w:p w:rsidR="00000000" w:rsidDel="00000000" w:rsidP="00000000" w:rsidRDefault="00000000" w:rsidRPr="00000000" ns1:paraId="000001C2">
      <w:pPr>
        <w:numPr>
          <w:ilvl w:val="0"/>
          <w:numId w:val="7"/>
        </w:numPr>
        <w:spacing w:after="0" w:afterAutospacing="0" w:before="0" w:beforeAutospacing="0" w:lineRule="auto"/>
        <w:ind w:left="720" w:hanging="360"/>
      </w:pPr>
      <w:r w:rsidDel="00000000" w:rsidR="00000000" w:rsidRPr="00000000">
        <w:rPr>
          <w:rtl w:val="0"/>
        </w:rPr>
        <w:t xml:space="preserve">Case B's runtime evidence is conformance-class [15]; the novel contribution there is the mapping, and the mapping is a forensic reconstruction — stated openly, with the hash-pinned artifact as mitigation.</w:t>
      </w:r>
    </w:p>
    <w:p w:rsidR="00000000" w:rsidDel="00000000" w:rsidP="00000000" w:rsidRDefault="00000000" w:rsidRPr="00000000" ns1:paraId="000001C3">
      <w:pPr>
        <w:numPr>
          <w:ilvl w:val="0"/>
          <w:numId w:val="7"/>
        </w:numPr>
        <w:spacing w:after="0" w:afterAutospacing="0" w:before="0" w:beforeAutospacing="0" w:lineRule="auto"/>
        <w:ind w:left="720" w:hanging="360"/>
      </w:pPr>
      <w:r w:rsidDel="00000000" w:rsidR="00000000" w:rsidRPr="00000000">
        <w:rPr>
          <w:rtl w:val="0"/>
        </w:rPr>
        <w:t xml:space="preserve">Single-author methodology risk; the independent adjudication panel and the preregistered comparative expert study are the mitigation and must actually be executed.</w:t>
      </w:r>
    </w:p>
    <w:p w:rsidR="00000000" w:rsidDel="00000000" w:rsidP="00000000" w:rsidRDefault="00000000" w:rsidRPr="00000000" ns1:paraId="000001C4">
      <w:pPr>
        <w:numPr>
          <w:ilvl w:val="0"/>
          <w:numId w:val="7"/>
        </w:numPr>
        <w:spacing w:after="0" w:afterAutospacing="0" w:before="0" w:beforeAutospacing="0" w:lineRule="auto"/>
        <w:ind w:left="720" w:hanging="360"/>
      </w:pPr>
      <w:r w:rsidDel="00000000" w:rsidR="00000000" w:rsidRPr="00000000">
        <w:rPr>
          <w:rtl w:val="0"/>
        </w:rPr>
        <w:t xml:space="preserve">Step 3 remains human; the method inherits any error in obligation determination (garbage-in bound stated explicitly), though the expanded obligation record makes the determination auditable and its legal-source version drift detectable.</w:t>
      </w:r>
    </w:p>
    <w:p w:rsidR="00000000" w:rsidDel="00000000" w:rsidP="00000000" w:rsidRDefault="00000000" w:rsidRPr="00000000" ns1:paraId="000001C5">
      <w:pPr>
        <w:numPr>
          <w:ilvl w:val="0"/>
          <w:numId w:val="7"/>
        </w:numPr>
        <w:spacing w:after="0" w:afterAutospacing="0" w:before="0" w:beforeAutospacing="0" w:lineRule="auto"/>
        <w:ind w:left="720" w:hanging="360"/>
      </w:pPr>
      <w:r w:rsidDel="00000000" w:rsidR="00000000" w:rsidRPr="00000000">
        <w:rPr>
          <w:rtl w:val="0"/>
        </w:rPr>
        <w:t xml:space="preserve">C* membership is a governance judgment; the method makes it explicit, materiality-qualified, and auditable — not automatic.</w:t>
      </w:r>
    </w:p>
    <w:p w:rsidR="00000000" w:rsidDel="00000000" w:rsidP="00000000" w:rsidRDefault="00000000" w:rsidRPr="00000000" ns1:paraId="000001C6">
      <w:pPr>
        <w:numPr>
          <w:ilvl w:val="0"/>
          <w:numId w:val="7"/>
        </w:numPr>
        <w:spacing w:after="0" w:afterAutospacing="0" w:before="0" w:beforeAutospacing="0" w:lineRule="auto"/>
        <w:ind w:left="720" w:hanging="360"/>
      </w:pPr>
      <w:r w:rsidDel="00000000" w:rsidR="00000000" w:rsidRPr="00000000">
        <w:rPr>
          <w:rtl w:val="0"/>
        </w:rPr>
        <w:t xml:space="preserve">Generality beyond financial services is argued structurally (GC-IR and K are domain-neutral) and partially tested via the non-financial rows in the held-out instrument, but not demonstrated in deployment.</w:t>
      </w:r>
    </w:p>
    <w:p w:rsidR="00000000" w:rsidDel="00000000" w:rsidP="00000000" w:rsidRDefault="00000000" w:rsidRPr="00000000" ns1:paraId="000001C7">
      <w:pPr>
        <w:numPr>
          <w:ilvl w:val="0"/>
          <w:numId w:val="7"/>
        </w:numPr>
        <w:spacing w:after="0" w:afterAutospacing="0" w:before="0" w:beforeAutospacing="0" w:lineRule="auto"/>
        <w:ind w:left="720" w:hanging="360"/>
      </w:pPr>
      <w:r w:rsidDel="00000000" w:rsidR="00000000" w:rsidRPr="00000000">
        <w:rPr>
          <w:b w:val="1"/>
          <w:bCs w:val="1"/>
          <w:rtl w:val="0"/>
        </w:rPr>
        <w:t xml:space="preserve">Authorization-soundness, not semantic correctness.</w:t>
      </w:r>
      <w:r w:rsidDel="00000000" w:rsidR="00000000" w:rsidRPr="00000000">
        <w:rPr>
          <w:rtl w:val="0"/>
        </w:rPr>
        <w:t xml:space="preserve"> Compilation warrants that the predicate set faithfully and deterministically encodes the </w:t>
      </w:r>
      <w:r w:rsidDel="00000000" w:rsidR="00000000" w:rsidRPr="00000000">
        <w:rPr>
          <w:i w:val="1"/>
          <w:iCs w:val="1"/>
          <w:rtl w:val="0"/>
        </w:rPr>
        <w:t xml:space="preserve">approved</w:t>
      </w:r>
      <w:r w:rsidDel="00000000" w:rsidR="00000000" w:rsidRPr="00000000">
        <w:rPr>
          <w:rtl w:val="0"/>
        </w:rPr>
        <w:t xml:space="preserve"> specifications — not that the specifications are complete over the harm space, nor that a permitted action is the right action in the world. Declaring this authority horizon is part of the method, so conformance claims cannot be read as safety guarantees.</w:t>
      </w:r>
    </w:p>
    <w:p w:rsidR="00000000" w:rsidDel="00000000" w:rsidP="00000000" w:rsidRDefault="00000000" w:rsidRPr="00000000" ns1:paraId="000001C8">
      <w:pPr>
        <w:numPr>
          <w:ilvl w:val="0"/>
          <w:numId w:val="7"/>
        </w:numPr>
        <w:spacing w:after="0" w:afterAutospacing="0" w:before="0" w:beforeAutospacing="0" w:lineRule="auto"/>
        <w:ind w:left="720" w:hanging="360"/>
      </w:pPr>
      <w:r w:rsidDel="00000000" w:rsidR="00000000" w:rsidRPr="00000000">
        <w:rPr>
          <w:b w:val="1"/>
          <w:bCs w:val="1"/>
          <w:rtl w:val="0"/>
        </w:rPr>
        <w:t xml:space="preserve">Epistemic bounding.</w:t>
      </w:r>
      <w:r w:rsidDel="00000000" w:rsidR="00000000" w:rsidRPr="00000000">
        <w:rPr>
          <w:rtl w:val="0"/>
        </w:rPr>
        <w:t xml:space="preserve"> Compiled predicates evaluate the evidence declared to them, not the reality that evidence purports to describe; authentic-but-false upstream evidence lies outside any predicate's warrant. The mitigation is declaration (the ACS evidence-semantics and warrant-boundary statements) plus complementary controls, not a claim of closure.</w:t>
      </w:r>
    </w:p>
    <w:p w:rsidR="00000000" w:rsidDel="00000000" w:rsidP="00000000" w:rsidRDefault="00000000" w:rsidRPr="00000000" ns1:paraId="000001C9">
      <w:pPr>
        <w:numPr>
          <w:ilvl w:val="0"/>
          <w:numId w:val="7"/>
        </w:numPr>
        <w:spacing w:after="0" w:afterAutospacing="0" w:before="0" w:beforeAutospacing="0" w:lineRule="auto"/>
        <w:ind w:left="720" w:hanging="360"/>
      </w:pPr>
      <w:r w:rsidDel="00000000" w:rsidR="00000000" w:rsidRPr="00000000">
        <w:rPr>
          <w:b w:val="1"/>
          <w:bCs w:val="1"/>
          <w:rtl w:val="0"/>
        </w:rPr>
        <w:t xml:space="preserve">Semantic-refinement dependence.</w:t>
      </w:r>
      <w:r w:rsidDel="00000000" w:rsidR="00000000" w:rsidRPr="00000000">
        <w:rPr>
          <w:rtl w:val="0"/>
        </w:rPr>
        <w:t xml:space="preserve"> Φ is deterministic only after Approved Control Specifications have been governed and signed; Ψ_K is single-valued only given the signed judgment record J. The method does not claim deterministic interpretation of unconstrained prose.</w:t>
      </w:r>
    </w:p>
    <w:p w:rsidR="00000000" w:rsidDel="00000000" w:rsidP="00000000" w:rsidRDefault="00000000" w:rsidRPr="00000000" ns1:paraId="000001CA">
      <w:pPr>
        <w:numPr>
          <w:ilvl w:val="0"/>
          <w:numId w:val="7"/>
        </w:numPr>
        <w:spacing w:after="0" w:afterAutospacing="0" w:before="0" w:beforeAutospacing="0" w:lineRule="auto"/>
        <w:ind w:left="720" w:hanging="360"/>
      </w:pPr>
      <w:r w:rsidDel="00000000" w:rsidR="00000000" w:rsidRPr="00000000">
        <w:rPr>
          <w:b w:val="1"/>
          <w:bCs w:val="1"/>
          <w:rtl w:val="0"/>
        </w:rPr>
        <w:t xml:space="preserve">Reference-standard uncertainty.</w:t>
      </w:r>
      <w:r w:rsidDel="00000000" w:rsidR="00000000" w:rsidRPr="00000000">
        <w:rPr>
          <w:rtl w:val="0"/>
        </w:rPr>
        <w:t xml:space="preserve"> The adjudicated reference remains expert judgment rather than objective ground truth. Independent review, retained disagreement, and uncertainty reporting mitigate but do not eliminate this limitation.</w:t>
      </w:r>
    </w:p>
    <w:p w:rsidR="00000000" w:rsidDel="00000000" w:rsidP="00000000" w:rsidRDefault="00000000" w:rsidRPr="00000000" ns1:paraId="000001CB">
      <w:pPr>
        <w:numPr>
          <w:ilvl w:val="0"/>
          <w:numId w:val="7"/>
        </w:numPr>
        <w:spacing w:after="0" w:afterAutospacing="0" w:before="0" w:beforeAutospacing="0" w:lineRule="auto"/>
        <w:ind w:left="720" w:hanging="360"/>
      </w:pPr>
      <w:r w:rsidDel="00000000" w:rsidR="00000000" w:rsidRPr="00000000">
        <w:rPr>
          <w:b w:val="1"/>
          <w:bCs w:val="1"/>
          <w:rtl w:val="0"/>
        </w:rPr>
        <w:t xml:space="preserve">Catalog dependence.</w:t>
      </w:r>
      <w:r w:rsidDel="00000000" w:rsidR="00000000" w:rsidRPr="00000000">
        <w:rPr>
          <w:rtl w:val="0"/>
        </w:rPr>
        <w:t xml:space="preserve"> A derivation catalog may encode omissions or institutional bias. Catalog versions, approvers, and changes are therefore treated as governed evidence and evaluated independently.</w:t>
      </w:r>
    </w:p>
    <w:p w:rsidR="00000000" w:rsidDel="00000000" w:rsidP="00000000" w:rsidRDefault="00000000" w:rsidRPr="00000000" ns1:paraId="000001CC">
      <w:pPr>
        <w:numPr>
          <w:ilvl w:val="0"/>
          <w:numId w:val="7"/>
        </w:numPr>
        <w:spacing w:after="0" w:afterAutospacing="0" w:before="0" w:beforeAutospacing="0" w:lineRule="auto"/>
        <w:ind w:left="720" w:hanging="360"/>
      </w:pPr>
      <w:r w:rsidDel="00000000" w:rsidR="00000000" w:rsidRPr="00000000">
        <w:rPr>
          <w:b w:val="1"/>
          <w:bCs w:val="1"/>
          <w:rtl w:val="0"/>
        </w:rPr>
        <w:t xml:space="preserve">Prevalence effects in agreement statistics.</w:t>
      </w:r>
      <w:r w:rsidDel="00000000" w:rsidR="00000000" w:rsidRPr="00000000">
        <w:rPr>
          <w:rtl w:val="0"/>
        </w:rPr>
        <w:t xml:space="preserve"> Kappa may be unstable when one disposition dominates; Krippendorff's alpha, Gwet's AC1, category-specific agreement, and raw confusion matrices are reported alongside kappa.</w:t>
      </w:r>
    </w:p>
    <w:p w:rsidR="00000000" w:rsidDel="00000000" w:rsidP="00000000" w:rsidRDefault="00000000" w:rsidRPr="00000000" ns1:paraId="000001CD">
      <w:pPr>
        <w:numPr>
          <w:ilvl w:val="0"/>
          <w:numId w:val="7"/>
        </w:numPr>
        <w:spacing w:after="0" w:afterAutospacing="0" w:before="0" w:beforeAutospacing="0" w:lineRule="auto"/>
        <w:ind w:left="720" w:hanging="360"/>
      </w:pPr>
      <w:r w:rsidDel="00000000" w:rsidR="00000000" w:rsidRPr="00000000">
        <w:rPr>
          <w:b w:val="1"/>
          <w:bCs w:val="1"/>
          <w:rtl w:val="0"/>
        </w:rPr>
        <w:t xml:space="preserve">Ordinal-rating approximation.</w:t>
      </w:r>
      <w:r w:rsidDel="00000000" w:rsidR="00000000" w:rsidRPr="00000000">
        <w:rPr>
          <w:rtl w:val="0"/>
        </w:rPr>
        <w:t xml:space="preserve"> Likelihood and impact scales are ordinal. Products and continuous sensitivity bounds are used only to analyze the enterprise heat-map practice, not to claim interval-scale measurement.</w:t>
      </w:r>
    </w:p>
    <w:p w:rsidR="00000000" w:rsidDel="00000000" w:rsidP="00000000" w:rsidRDefault="00000000" w:rsidRPr="00000000" ns1:paraId="000001CE">
      <w:pPr>
        <w:numPr>
          <w:ilvl w:val="0"/>
          <w:numId w:val="7"/>
        </w:numPr>
        <w:spacing w:after="0" w:afterAutospacing="0" w:before="0" w:beforeAutospacing="0" w:lineRule="auto"/>
        <w:ind w:left="720" w:hanging="360"/>
      </w:pPr>
      <w:r w:rsidDel="00000000" w:rsidR="00000000" w:rsidRPr="00000000">
        <w:rPr>
          <w:b w:val="1"/>
          <w:bCs w:val="1"/>
          <w:rtl w:val="0"/>
        </w:rPr>
        <w:t xml:space="preserve">Monte Carlo scope. Rating perturbation estimates sensitivity under the frozen input distributions; it does not estimate real-world event frequencies or harm probabilities. Those distributions are author-specified and prospectively frozen, not panel-adjudicated, so the analysis establishes that heat-map gate membership is unstable and consequence-class membership is not, under a declared perturbation model; it does not estimate the true dispersion of enterprise rating judgments. Separately, gate divergence is measured over a partly synthetic register: three Case A rows carry residual ratings supplied as documented fixtures rather than derived from the case narrative. Those ratings are published with the artifact, and a sweep over all plausible values shows GD_min would range from 2 to 5; the reported value of 3 is exact for the published register, and neither proposition premise depends on those three rows.</w:t>
      </w:r>
      <w:r w:rsidDel="00000000" w:rsidR="00000000" w:rsidRPr="00000000">
        <w:rPr>
          <w:rtl w:val="0"/>
        </w:rPr>
        <w:t xml:space="preserve"/>
      </w:r>
    </w:p>
    <w:p w:rsidR="00000000" w:rsidDel="00000000" w:rsidP="00000000" w:rsidRDefault="00000000" w:rsidRPr="00000000" ns1:paraId="000001CF">
      <w:pPr>
        <w:numPr>
          <w:ilvl w:val="0"/>
          <w:numId w:val="7"/>
        </w:numPr>
        <w:spacing w:after="0" w:afterAutospacing="0" w:before="0" w:beforeAutospacing="0" w:lineRule="auto"/>
        <w:ind w:left="720" w:hanging="360"/>
      </w:pPr>
      <w:r w:rsidDel="00000000" w:rsidR="00000000" w:rsidRPr="00000000">
        <w:rPr>
          <w:b w:val="1"/>
          <w:bCs w:val="1"/>
          <w:rtl w:val="0"/>
        </w:rPr>
        <w:t xml:space="preserve">Temporal evidence dependence.</w:t>
      </w:r>
      <w:r w:rsidDel="00000000" w:rsidR="00000000" w:rsidRPr="00000000">
        <w:rPr>
          <w:rtl w:val="0"/>
        </w:rPr>
        <w:t xml:space="preserve"> Receipt validity requires trusted time, trustworthy version/evidence producers, and an honestly maintained lifecycle registry. The compiler cannot establish the truth of compromised upstream attestations.</w:t>
      </w:r>
    </w:p>
    <w:p w:rsidR="00000000" w:rsidDel="00000000" w:rsidP="00000000" w:rsidRDefault="00000000" w:rsidRPr="00000000" ns1:paraId="000001D0">
      <w:pPr>
        <w:numPr>
          <w:ilvl w:val="0"/>
          <w:numId w:val="7"/>
        </w:numPr>
        <w:spacing w:after="0" w:afterAutospacing="0" w:before="0" w:beforeAutospacing="0" w:lineRule="auto"/>
        <w:ind w:left="720" w:hanging="360"/>
      </w:pPr>
      <w:r w:rsidDel="00000000" w:rsidR="00000000" w:rsidRPr="00000000">
        <w:rPr>
          <w:b w:val="1"/>
          <w:bCs w:val="1"/>
          <w:rtl w:val="0"/>
        </w:rPr>
        <w:t xml:space="preserve">Comparative evidence deferred.</w:t>
      </w:r>
      <w:r w:rsidDel="00000000" w:rsidR="00000000" w:rsidRPr="00000000">
        <w:rPr>
          <w:rtl w:val="0"/>
        </w:rPr>
        <w:t xml:space="preserve"> Until the preregistered RQ5 study is executed, no claim is made that the method outperforms unaided manual translation; the deferral is cryptographically committed, and this paper's claims are confined to the method, artifact, formal results, and C1/C2 measurements.</w:t>
      </w:r>
    </w:p>
    <w:p w:rsidR="00000000" w:rsidDel="00000000" w:rsidP="00000000" w:rsidRDefault="00000000" w:rsidRPr="00000000" ns1:paraId="000001D1">
      <w:pPr>
        <w:numPr>
          <w:ilvl w:val="0"/>
          <w:numId w:val="7"/>
        </w:numPr>
        <w:spacing w:after="240" w:before="0" w:beforeAutospacing="0" w:lineRule="auto"/>
        <w:ind w:left="720" w:hanging="360"/>
      </w:pPr>
      <w:r w:rsidDel="00000000" w:rsidR="00000000" w:rsidRPr="00000000">
        <w:rPr>
          <w:b w:val="1"/>
          <w:bCs w:val="1"/>
          <w:rtl w:val="0"/>
        </w:rPr>
        <w:t xml:space="preserve">Scope of the structural-impossibility claim.</w:t>
      </w:r>
      <w:r w:rsidDel="00000000" w:rsidR="00000000" w:rsidRPr="00000000">
        <w:rPr>
          <w:rtl w:val="0"/>
        </w:rPr>
        <w:t xml:space="preserve"> Orphan-control and priority-as-authorization impossibility are compiler guarantees over Φ-produced bundles; a deployment inherits them only under the runtime acceptance condition of Section VI-F.</w:t>
      </w:r>
    </w:p>
    <w:p w:rsidR="00000000" w:rsidDel="00000000" w:rsidP="00000000" w:rsidRDefault="00000000" w:rsidRPr="00000000" ns1:paraId="000001D1">
      <w:pPr>
        <w:numPr>
          <w:ilvl w:val="0"/>
          <w:numId w:val="7"/>
        </w:numPr>
        <w:spacing w:after="240" w:before="0" w:beforeAutospacing="0" w:lineRule="auto"/>
        <w:ind w:left="720" w:hanging="360"/>
      </w:pPr>
      <w:r>
        <w:rPr>
          <w:b/>
        </w:rPr>
        <w:t xml:space="preserve">Determinism scope. TD = 1.000 is measured over 62 compilation runs, 31 per case, on each of eight independently provisioned environments spanning three operating systems (macOS 26.6.2, Linux on both x86_64 with glibc 2.39 and aarch64 with glibc 2.36, and Windows 10.0.26100), two machine architectures (arm64 and x86_64) and six CPython patch versions, every one reproducing the committed reference canonical payload hashes exactly across five locales, five time zones, input permutation and clean-process execution. The claim this supports is determinism across the tested supported environments. It is not a claim of platform independence: a finite matrix of environments is not the set of all environments, and neither other operating systems nor other Python implementations were exercised.</w:t>
      </w:r>
      <w:r>
        <w:t xml:space="preserve"/>
      </w:r>
    </w:p>
    <w:p w:rsidR="00000000" w:rsidDel="00000000" w:rsidP="00000000" w:rsidRDefault="00000000" w:rsidRPr="00000000" ns1:paraId="000001D1">
      <w:pPr>
        <w:numPr>
          <w:ilvl w:val="0"/>
          <w:numId w:val="7"/>
        </w:numPr>
        <w:spacing w:after="240" w:before="0" w:beforeAutospacing="0" w:lineRule="auto"/>
        <w:ind w:left="720" w:hanging="360"/>
      </w:pPr>
      <w:r>
        <w:rPr>
          <w:b/>
        </w:rPr>
        <w:t xml:space="preserve">Cumulative influence unevaluated. </w:t>
      </w:r>
      <w:r>
        <w:t>The disposition rule of Section VII-H is stated, not proved, and is not exercised by either case artifact. Whether cumulative influence is better handled as a distinct consequence class or as an input-provenance requirement on an already-classified decision is unresolved, and the completeness of a declared input set is an evidence-production property this method does not warrant.</w:t>
      </w:r>
    </w:p>
    <w:p w:rsidR="00000000" w:rsidDel="00000000" w:rsidP="00000000" w:rsidRDefault="00000000" w:rsidRPr="00000000" ns1:paraId="000001D2">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D3">
      <w:pPr>
        <w:pStyle w:val="Heading2"/>
        <w:keepNext w:val="0"/>
        <w:keepLines w:val="0"/>
        <w:spacing w:after="80" w:lineRule="auto"/>
        <w:rPr>
          <w:b w:val="1"/>
          <w:bCs w:val="1"/>
          <w:sz w:val="34"/>
          <w:szCs w:val="34"/>
        </w:rPr>
      </w:pPr>
      <w:bookmarkStart w:colFirst="0" w:colLast="0" w:name="_zhbfdww7dxx" w:id="47"/>
      <w:bookmarkEnd w:id="47"/>
      <w:r w:rsidDel="00000000" w:rsidR="00000000" w:rsidRPr="00000000">
        <w:rPr>
          <w:b w:val="1"/>
          <w:bCs w:val="1"/>
          <w:sz w:val="34"/>
          <w:szCs w:val="34"/>
          <w:rtl w:val="0"/>
        </w:rPr>
        <w:t xml:space="preserve">XIII. RELATION TO PRIOR WORK</w:t>
      </w:r>
    </w:p>
    <w:p w:rsidR="00000000" w:rsidDel="00000000" w:rsidP="00000000" w:rsidRDefault="00000000" w:rsidRPr="00000000" ns1:paraId="000001D4">
      <w:pPr>
        <w:spacing w:after="240" w:before="240" w:lineRule="auto"/>
        <w:rPr>
          <w:rFonts w:ascii="Roboto Mono" w:cs="Roboto Mono" w:eastAsia="Roboto Mono" w:hAnsi="Roboto Mono"/>
          <w:color w:val="188038"/>
        </w:rPr>
      </w:pPr>
      <w:r w:rsidDel="00000000" w:rsidR="00000000" w:rsidRPr="00000000">
        <w:rPr>
          <w:rtl w:val="0"/>
        </w:rPr>
        <w:t xml:space="preserve">The L-DREA paper (IEEE Xplore doc. 11641546) [15] contributes the enforcement authority and evidence layer; the theory paper (DOI 10.5281/zenodo.20369438) [16] the concurrence foundation and aggregator-class separation proof; the published patent application (US 2026/0127298 A1) [17] the enforcement mechanism claims. The present paper contributes the upstream refinement and compilation method, the gate-coverage formalization with its three propositions, and the temporally valid traceability model; it consumes the L-DREA receipt interface (extended by the requirement-reference conformance condition of Section II) and repeats none of the enforcement architecture. The separation was checked at submission against the released enforcement artifact of record: the predicate families, aggregation mathematics and evidence-chain mechanics of that work are cited rather than restated, and the present paper's contribution begins at the governance assessment and ends at the compiled bundle.</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1D5">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D6">
      <w:pPr>
        <w:pStyle w:val="Heading2"/>
        <w:keepNext w:val="0"/>
        <w:keepLines w:val="0"/>
        <w:spacing w:after="80" w:lineRule="auto"/>
        <w:rPr>
          <w:b w:val="1"/>
          <w:bCs w:val="1"/>
          <w:sz w:val="34"/>
          <w:szCs w:val="34"/>
        </w:rPr>
      </w:pPr>
      <w:bookmarkStart w:colFirst="0" w:colLast="0" w:name="_aztyg2favlc" w:id="48"/>
      <w:bookmarkEnd w:id="48"/>
      <w:r w:rsidDel="00000000" w:rsidR="00000000" w:rsidRPr="00000000">
        <w:rPr>
          <w:b w:val="1"/>
          <w:bCs w:val="1"/>
          <w:sz w:val="34"/>
          <w:szCs w:val="34"/>
          <w:rtl w:val="0"/>
        </w:rPr>
        <w:t xml:space="preserve">XIV. CLAIM BOUNDARY</w:t>
      </w:r>
    </w:p>
    <w:p w:rsidR="00000000" w:rsidDel="00000000" w:rsidP="00000000" w:rsidRDefault="00000000" w:rsidRPr="00000000" ns1:paraId="000001D7">
      <w:pPr>
        <w:spacing w:after="240" w:before="240" w:lineRule="auto"/>
        <w:rPr>
          <w:i w:val="1"/>
          <w:iCs w:val="1"/>
        </w:rPr>
      </w:pPr>
      <w:r w:rsidDel="00000000" w:rsidR="00000000" w:rsidRPr="00000000">
        <w:rPr>
          <w:i w:val="1"/>
          <w:iCs w:val="1"/>
          <w:rtl w:val="0"/>
        </w:rPr>
        <w:t xml:space="preserve">(Format follows the normative claimed / not-claimed table established in [15].)</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gridCol w:w="3905"/>
        <w:tblGridChange w:id="0">
          <w:tblGrid>
            <w:gridCol w:w="531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8">
            <w:pPr>
              <w:jc w:val="center"/>
              <w:rPr/>
            </w:pPr>
            <w:r w:rsidDel="00000000" w:rsidR="00000000" w:rsidRPr="00000000">
              <w:rPr>
                <w:b w:val="1"/>
                <w:bCs w:val="1"/>
                <w:rtl w:val="0"/>
              </w:rPr>
              <w:t xml:space="preserve">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9">
            <w:pPr>
              <w:jc w:val="center"/>
              <w:rPr/>
            </w:pPr>
            <w:r w:rsidDel="00000000" w:rsidR="00000000" w:rsidRPr="00000000">
              <w:rPr>
                <w:b w:val="1"/>
                <w:bCs w:val="1"/>
                <w:rtl w:val="0"/>
              </w:rPr>
              <w:t xml:space="preserve">Not claimed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A">
            <w:pPr>
              <w:rPr/>
            </w:pPr>
            <w:r w:rsidDel="00000000" w:rsidR="00000000" w:rsidRPr="00000000">
              <w:rPr>
                <w:rtl w:val="0"/>
              </w:rPr>
              <w:t xml:space="preserve">Governed refinement from assessed risk to an approved control specification, single-valued given the signed judgment record 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B">
            <w:pPr>
              <w:rPr/>
            </w:pPr>
            <w:r w:rsidDel="00000000" w:rsidR="00000000" w:rsidRPr="00000000">
              <w:rPr>
                <w:rtl w:val="0"/>
              </w:rPr>
              <w:t xml:space="preserve">Automatic semantic interpretation of unconstrained risk prose; that Ψ_K is a function of the assessment alone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C">
            <w:pPr>
              <w:rPr/>
            </w:pPr>
            <w:r w:rsidDel="00000000" w:rsidR="00000000" w:rsidRPr="00000000">
              <w:rPr>
                <w:rtl w:val="0"/>
              </w:rPr>
              <w:t xml:space="preserve">Deterministic compilation after event type, evidence semantics, and control meaning are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D">
            <w:pPr>
              <w:rPr/>
            </w:pPr>
            <w:r w:rsidDel="00000000" w:rsidR="00000000" w:rsidRPr="00000000">
              <w:rPr>
                <w:rtl w:val="0"/>
              </w:rPr>
              <w:t xml:space="preserve">That Φ determines what a legal or governance requirement ought to mean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E">
            <w:pPr>
              <w:rPr/>
            </w:pPr>
            <w:r w:rsidDel="00000000" w:rsidR="00000000" w:rsidRPr="00000000">
              <w:rPr>
                <w:rtl w:val="0"/>
              </w:rPr>
              <w:t xml:space="preserve">Total disposition of every register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F">
            <w:pPr>
              <w:rPr/>
            </w:pPr>
            <w:r w:rsidDel="00000000" w:rsidR="00000000" w:rsidRPr="00000000">
              <w:rPr>
                <w:rtl w:val="0"/>
              </w:rPr>
              <w:t xml:space="preserve">That every risk should become a runtime predicate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0">
            <w:pPr>
              <w:rPr/>
            </w:pPr>
            <w:r w:rsidDel="00000000" w:rsidR="00000000" w:rsidRPr="00000000">
              <w:rPr>
                <w:rtl w:val="0"/>
              </w:rPr>
              <w:t xml:space="preserve">Consequence-class gate coverage with proved threshold separation and score-collision non-representability, and measured divergence from declared heat-map comparators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1">
            <w:pPr>
              <w:rPr/>
            </w:pPr>
            <w:r w:rsidDel="00000000" w:rsidR="00000000" w:rsidRPr="00000000">
              <w:rPr>
                <w:rtl w:val="0"/>
              </w:rPr>
              <w:t xml:space="preserve">That every possible risk-scoring method is compensatory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2">
            <w:pPr>
              <w:rPr/>
            </w:pPr>
            <w:r w:rsidDel="00000000" w:rsidR="00000000" w:rsidRPr="00000000">
              <w:rPr>
                <w:rtl w:val="0"/>
              </w:rPr>
              <w:t xml:space="preserve">Gate stability under rating changes when action model and consequence class remain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3">
            <w:pPr>
              <w:rPr/>
            </w:pPr>
            <w:r w:rsidDel="00000000" w:rsidR="00000000" w:rsidRPr="00000000">
              <w:rPr>
                <w:rtl w:val="0"/>
              </w:rPr>
              <w:t xml:space="preserve">That controls can never justify formal consequence reclassification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4">
            <w:pPr>
              <w:rPr/>
            </w:pPr>
            <w:r w:rsidDel="00000000" w:rsidR="00000000" w:rsidRPr="00000000">
              <w:rPr>
                <w:rtl w:val="0"/>
              </w:rPr>
              <w:t xml:space="preserve">Origin-closed, temporally valid traceability from requirement to receipt, over an immutable bundle and signed lifecycle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5">
            <w:pPr>
              <w:rPr/>
            </w:pPr>
            <w:r w:rsidDel="00000000" w:rsidR="00000000" w:rsidRPr="00000000">
              <w:rPr>
                <w:rtl w:val="0"/>
              </w:rPr>
              <w:t xml:space="preserve">That empty traceability queries prove substantive compliance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6">
            <w:pPr>
              <w:rPr/>
            </w:pPr>
            <w:r w:rsidDel="00000000" w:rsidR="00000000" w:rsidRPr="00000000">
              <w:rPr>
                <w:rtl w:val="0"/>
              </w:rPr>
              <w:t xml:space="preserve">Fail-closed unknown-handling required for mandatory gates, propagated into the governance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7">
            <w:pPr>
              <w:rPr/>
            </w:pPr>
            <w:r w:rsidDel="00000000" w:rsidR="00000000" w:rsidRPr="00000000">
              <w:rPr>
                <w:rtl w:val="0"/>
              </w:rPr>
              <w:t xml:space="preserve">Elimination of Step 7 validation or human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8">
            <w:pPr>
              <w:rPr/>
            </w:pPr>
            <w:r w:rsidDel="00000000" w:rsidR="00000000" w:rsidRPr="00000000">
              <w:rPr>
                <w:rtl w:val="0"/>
              </w:rPr>
              <w:t xml:space="preserve">Orphan-control impossibility within Φ-produced bundles, extending to deployments under the stated runtime acceptance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9">
            <w:pPr>
              <w:rPr/>
            </w:pPr>
            <w:r w:rsidDel="00000000" w:rsidR="00000000" w:rsidRPr="00000000">
              <w:rPr>
                <w:rtl w:val="0"/>
              </w:rPr>
              <w:t xml:space="preserve">Orphan-control impossibility for policy injected through channels outside that condition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A">
            <w:pPr>
              <w:rPr/>
            </w:pPr>
            <w:r w:rsidDel="00000000" w:rsidR="00000000" w:rsidRPr="00000000">
              <w:rPr>
                <w:rtl w:val="0"/>
              </w:rPr>
              <w:t xml:space="preserve">A preregistered, publicly hash-committed protocol for the comparative expert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B">
            <w:pPr>
              <w:rPr/>
            </w:pPr>
            <w:r w:rsidDel="00000000" w:rsidR="00000000" w:rsidRPr="00000000">
              <w:rPr>
                <w:rtl w:val="0"/>
              </w:rPr>
              <w:t xml:space="preserve">Comparative superiority over unaided manual practice (deferred to that study)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C">
            <w:pPr>
              <w:rPr/>
            </w:pPr>
            <w:r w:rsidDel="00000000" w:rsidR="00000000" w:rsidRPr="00000000">
              <w:rPr>
                <w:rtl w:val="0"/>
              </w:rPr>
              <w:t xml:space="preserve">C1/C2 evidence with declared uncertainty, exposure denominators, and upper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D">
            <w:pPr>
              <w:rPr/>
            </w:pPr>
            <w:r w:rsidDel="00000000" w:rsidR="00000000" w:rsidRPr="00000000">
              <w:rPr>
                <w:rtl w:val="0"/>
              </w:rPr>
              <w:t xml:space="preserve">Independent certification (C3/C4), production effectiveness, detection capability, or real-world harm elimination</w:t>
            </w:r>
          </w:p>
        </w:tc>
      </w:tr>
    </w:tbl>
    <w:p w:rsidR="00000000" w:rsidDel="00000000" w:rsidP="00000000" w:rsidRDefault="00000000" w:rsidRPr="00000000" ns1:paraId="000001EE">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EF">
      <w:pPr>
        <w:pStyle w:val="Heading2"/>
        <w:keepNext w:val="0"/>
        <w:keepLines w:val="0"/>
        <w:spacing w:after="80" w:lineRule="auto"/>
        <w:rPr>
          <w:b w:val="1"/>
          <w:bCs w:val="1"/>
          <w:sz w:val="34"/>
          <w:szCs w:val="34"/>
        </w:rPr>
      </w:pPr>
      <w:bookmarkStart w:colFirst="0" w:colLast="0" w:name="_qoinhlq2e669" w:id="49"/>
      <w:bookmarkEnd w:id="49"/>
      <w:r w:rsidDel="00000000" w:rsidR="00000000" w:rsidRPr="00000000">
        <w:rPr>
          <w:b w:val="1"/>
          <w:bCs w:val="1"/>
          <w:sz w:val="34"/>
          <w:szCs w:val="34"/>
          <w:rtl w:val="0"/>
        </w:rPr>
        <w:t xml:space="preserve">XV. CONCLUSION</w:t>
      </w:r>
    </w:p>
    <w:p w:rsidR="00000000" w:rsidDel="00000000" w:rsidP="00000000" w:rsidRDefault="00000000" w:rsidRPr="00000000" ns1:paraId="000001F0">
      <w:pPr>
        <w:spacing w:after="240" w:before="240" w:lineRule="auto"/>
        <w:rPr/>
      </w:pPr>
      <w:r w:rsidDel="00000000" w:rsidR="00000000" w:rsidRPr="00000000">
        <w:rPr>
          <w:rtl w:val="0"/>
        </w:rPr>
        <w:t xml:space="preserve">Governance frameworks end with an approved assessment; runtime authorities begin with an approved predicate set. This paper makes the step between them governed, total, deterministic, and traceable — in that order. Governed, because semantic refinement is a signed human act — a judgment record over an approved catalog — never a heuristic hidden inside a compiler, and never misdescribed as a function of the assessment alone. Total, because every risk receives exactly one explicit disposition, so nothing is silently narrowed or dropped and non-runtime risks are honestly routed rather than force-translated. Deterministic, because after approval, compilation to a canonically serialized, signed, immutable bundle reproduces the same canonical payload hash across the tested supported environments and is adversarially testable, with lifecycle state carried in a separately signed registry rather than mutated in place. Traceable, because the authorized-origin chain — requirement to disposition to specification to predicate to receipt — is temporally valid and mechanically queryable, with authorization preceding evidence commit preceding actuation exactly as the consuming enforcement pipeline requires, turning "which requirement does this control serve, and was it in force when this decision was made?" from an audit reconstruction into a database join. And when authorization is at stake, consequence class must outrank the heat map: no monotone score threshold reproduces a gate assignment containing an inversion, no function of the scalar score expresses a collision with divergent gates, and only class-based coverage survives the improvement of the very controls it governs. The Tier-0 measurements are executed and reported, both case artifacts are pinned by canonical payload hash, and the hash commitment that binds the deferred comparative study is published. What remains is to execute that committed study, and to hand the compiled-bundle interface to the shadow-mode deployment that a subsequent paper will require.</w:t>
      </w:r>
    </w:p>
    <w:p w:rsidR="00000000" w:rsidDel="00000000" w:rsidP="00000000" w:rsidRDefault="00000000" w:rsidRPr="00000000" ns1:paraId="000001F1">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F1">
      <w:pPr>
        <w:pStyle w:val="Heading2"/>
        <w:rPr/>
      </w:pPr>
      <w:r>
        <w:rPr>
          <w:b/>
        </w:rPr>
        <w:t>ACKNOWLEDGMENT</w:t>
      </w:r>
      <w:r/>
    </w:p>
    <w:p w:rsidR="00000000" w:rsidDel="00000000" w:rsidP="00000000" w:rsidRDefault="00000000" w:rsidRPr="00000000" ns1:paraId="000001F1">
      <w:pPr>
        <w:rPr/>
      </w:pPr>
      <w:r>
        <w:t>The cumulative-decision-influence case of Section VII-H was sharpened in discussion within the NIST AI RMF Trustworthy AI in Critical Infrastructure Profile community of interest. The views expressed are the author's own and do not represent NIST or any participant in that discussion.</w:t>
      </w:r>
    </w:p>
    <w:p w:rsidR="00000000" w:rsidDel="00000000" w:rsidP="00000000" w:rsidRDefault="00000000" w:rsidRPr="00000000" ns1:paraId="000001F2">
      <w:pPr>
        <w:pStyle w:val="Heading2"/>
        <w:keepNext w:val="0"/>
        <w:keepLines w:val="0"/>
        <w:spacing w:after="80" w:lineRule="auto"/>
        <w:rPr>
          <w:b w:val="1"/>
          <w:bCs w:val="1"/>
          <w:sz w:val="34"/>
          <w:szCs w:val="34"/>
        </w:rPr>
      </w:pPr>
      <w:bookmarkStart w:colFirst="0" w:colLast="0" w:name="_fowot96kr2x2" w:id="50"/>
      <w:bookmarkEnd w:id="50"/>
      <w:r w:rsidDel="00000000" w:rsidR="00000000" w:rsidRPr="00000000">
        <w:rPr>
          <w:b w:val="1"/>
          <w:bCs w:val="1"/>
          <w:sz w:val="34"/>
          <w:szCs w:val="34"/>
          <w:rtl w:val="0"/>
        </w:rPr>
        <w:t xml:space="preserve">DATA AND CODE AVAILABILITY</w:t>
      </w:r>
    </w:p>
    <w:p w:rsidR="00000000" w:rsidDel="00000000" w:rsidP="00000000" w:rsidRDefault="00000000" w:rsidRPr="00000000" ns1:paraId="000001F3">
      <w:pPr>
        <w:spacing w:after="240" w:before="240" w:lineRule="auto"/>
        <w:rPr/>
      </w:pPr>
      <w:r w:rsidDel="00000000" w:rsidR="00000000" w:rsidRPr="00000000">
        <w:rPr>
          <w:rtl w:val="0"/>
        </w:rPr>
        <w:t xml:space="preserve">The GC-IR schema, reference implementations of Ψ_K tooling and Φ, the Control Derivation Catalog, both case artifact sets (Steps 1–5 inputs, judgment records, dispositions, specifications, compiled bundles, lifecycle-registry fixtures), coverage and temporal-validity queries, the adjudication instrument, and the preregistration commitment are released as a hash-pinned tagged release per Appendix C, at https://github.com/Sukhmangill977/gc-ir-reference, release tag v1.0.0, under the MIT licence. The repository contains the GC-IR JSON Schemas; the Ψ_K tooling and the Φ reference implementation; the Control Derivation Catalogs; the Steps 1–5 serialized inputs, signed judgment records, dispositions and Approved Control Specifications for both cases; the compiled bundles and lifecycle-registry fixtures; the unit, property-based, adversarial and integration test suites; the coverage and temporal-validity queries; the determinism results; the Monte Carlo analysis; the Case B predicate-family mapping; the campaign provenance record; and the frozen, deferred RQ5 protocol. The public preregistration freeze is tag preregister-tier0-v2.2 at commit c44f25d6fdb67e0bc4ac73a6217125dec8da1c0e. The held-out expert-study register is withheld until study close, then released with the study data. An archival deposit with a persistent identifier is pending and is not cited here; the repository release tag and its hash manifest are the citable artifact until one exists.</w:t>
      </w:r>
    </w:p>
    <w:p w:rsidR="00000000" w:rsidDel="00000000" w:rsidP="00000000" w:rsidRDefault="00000000" w:rsidRPr="00000000" ns1:paraId="000001F4">
      <w:pPr>
        <w:pStyle w:val="Heading2"/>
        <w:keepNext w:val="0"/>
        <w:keepLines w:val="0"/>
        <w:spacing w:after="80" w:lineRule="auto"/>
        <w:rPr>
          <w:b w:val="1"/>
          <w:bCs w:val="1"/>
          <w:sz w:val="34"/>
          <w:szCs w:val="34"/>
        </w:rPr>
      </w:pPr>
      <w:bookmarkStart w:colFirst="0" w:colLast="0" w:name="_fdbwe73o71f5" w:id="51"/>
      <w:bookmarkEnd w:id="51"/>
      <w:r w:rsidDel="00000000" w:rsidR="00000000" w:rsidRPr="00000000">
        <w:rPr>
          <w:b w:val="1"/>
          <w:bCs w:val="1"/>
          <w:sz w:val="34"/>
          <w:szCs w:val="34"/>
          <w:rtl w:val="0"/>
        </w:rPr>
        <w:t xml:space="preserve">DISCLOSURES</w:t>
      </w:r>
    </w:p>
    <w:p w:rsidR="00000000" w:rsidDel="00000000" w:rsidP="00000000" w:rsidRDefault="00000000" w:rsidRPr="00000000" ns1:paraId="000001F5">
      <w:pPr>
        <w:spacing w:after="240" w:before="240" w:lineRule="auto"/>
        <w:rPr/>
      </w:pPr>
      <w:r w:rsidDel="00000000" w:rsidR="00000000" w:rsidRPr="00000000">
        <w:rPr>
          <w:rtl w:val="0"/>
        </w:rPr>
        <w:t xml:space="preserve">The author is the inventor on U.S. patent application publication US 2026/0127298 A1 [17] and the author of [15] and [16], and is the Principal Advisor of Gillian Holdings Incorporated, which holds commercial interests in enforcement-layer implementations of the cited architecture. Consistent with Section XI-C, the author does not participate in adjudication of the reference standard, and no reviewer with an authorship, ownership, or commercial interest in the method evaluates it.</w:t>
      </w:r>
    </w:p>
    <w:p w:rsidR="00000000" w:rsidDel="00000000" w:rsidP="00000000" w:rsidRDefault="00000000" w:rsidRPr="00000000" ns1:paraId="000001F6">
      <w:pPr>
        <w:pStyle w:val="Heading2"/>
        <w:keepNext w:val="0"/>
        <w:keepLines w:val="0"/>
        <w:spacing w:after="80" w:lineRule="auto"/>
        <w:rPr>
          <w:b w:val="1"/>
          <w:bCs w:val="1"/>
          <w:sz w:val="34"/>
          <w:szCs w:val="34"/>
        </w:rPr>
      </w:pPr>
      <w:bookmarkStart w:colFirst="0" w:colLast="0" w:name="_lxu1ql7hslfj" w:id="52"/>
      <w:bookmarkEnd w:id="52"/>
      <w:r w:rsidDel="00000000" w:rsidR="00000000" w:rsidRPr="00000000">
        <w:rPr>
          <w:b w:val="1"/>
          <w:bCs w:val="1"/>
          <w:sz w:val="34"/>
          <w:szCs w:val="34"/>
          <w:rtl w:val="0"/>
        </w:rPr>
        <w:t xml:space="preserve">FUNDING</w:t>
      </w:r>
    </w:p>
    <w:p w:rsidR="00000000" w:rsidDel="00000000" w:rsidP="00000000" w:rsidRDefault="00000000" w:rsidRPr="00000000" ns1:paraId="000001F7">
      <w:pPr>
        <w:spacing w:after="240" w:before="240" w:lineRule="auto"/>
        <w:rPr>
          <w:rFonts w:ascii="Roboto Mono" w:cs="Roboto Mono" w:eastAsia="Roboto Mono" w:hAnsi="Roboto Mono"/>
          <w:color w:val="188038"/>
        </w:rPr>
      </w:pPr>
      <w:r w:rsidDel="00000000" w:rsidR="00000000" w:rsidRPr="00000000">
        <w:rPr>
          <w:rtl w:val="0"/>
        </w:rPr>
        <w:t>This work received no external funding.</w:t>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F8">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F9">
      <w:pPr>
        <w:pStyle w:val="Heading2"/>
        <w:keepNext w:val="0"/>
        <w:keepLines w:val="0"/>
        <w:spacing w:after="80" w:lineRule="auto"/>
        <w:rPr>
          <w:b w:val="1"/>
          <w:bCs w:val="1"/>
          <w:sz w:val="34"/>
          <w:szCs w:val="34"/>
        </w:rPr>
      </w:pPr>
      <w:bookmarkStart w:colFirst="0" w:colLast="0" w:name="_lsfag8sejtvu" w:id="53"/>
      <w:bookmarkEnd w:id="53"/>
      <w:r w:rsidDel="00000000" w:rsidR="00000000" w:rsidRPr="00000000">
        <w:rPr>
          <w:b w:val="1"/>
          <w:bCs w:val="1"/>
          <w:sz w:val="34"/>
          <w:szCs w:val="34"/>
          <w:rtl w:val="0"/>
        </w:rPr>
        <w:t xml:space="preserve">APPENDIX A — GC-IR NORMATIVE SCHEMA REQUIREMENTS (v1.0; hash-pinned at the artifact-repository release)</w:t>
      </w:r>
    </w:p>
    <w:p w:rsidR="00000000" w:rsidDel="00000000" w:rsidP="00000000" w:rsidRDefault="00000000" w:rsidRPr="00000000" ns1:paraId="000001FA">
      <w:pPr>
        <w:spacing w:after="240" w:before="240" w:lineRule="auto"/>
        <w:rPr/>
      </w:pPr>
      <w:r w:rsidDel="00000000" w:rsidR="00000000" w:rsidRPr="00000000">
        <w:rPr>
          <w:rtl w:val="0"/>
        </w:rPr>
        <w:t xml:space="preserve">The artifact schema uses separate record types:</w:t>
      </w:r>
    </w:p>
    <w:p w:rsidR="00000000" w:rsidDel="00000000" w:rsidP="00000000" w:rsidRDefault="00000000" w:rsidRPr="00000000" ns1:paraId="000001FB">
      <w:pPr>
        <w:spacing w:after="240" w:before="240" w:lineRule="auto"/>
        <w:rPr/>
      </w:pPr>
      <w:r w:rsidDel="00000000" w:rsidR="00000000" w:rsidRPr="00000000">
        <w:rPr>
          <w:rtl w:val="0"/>
        </w:rPr>
        <w:t xml:space="preserve">Record = CompiledPredicate </w:t>
      </w:r>
      <w:r w:rsidDel="00000000" w:rsidR="00000000" w:rsidRPr="00000000">
        <w:rPr>
          <w:b w:val="1"/>
          <w:bCs w:val="1"/>
          <w:rtl w:val="0"/>
        </w:rPr>
        <w:t xml:space="preserve">oneOf</w:t>
      </w:r>
      <w:r w:rsidDel="00000000" w:rsidR="00000000" w:rsidRPr="00000000">
        <w:rPr>
          <w:rtl w:val="0"/>
        </w:rPr>
        <w:t xml:space="preserve"> NonRuntimeDisposition </w:t>
      </w:r>
      <w:r w:rsidDel="00000000" w:rsidR="00000000" w:rsidRPr="00000000">
        <w:rPr>
          <w:b w:val="1"/>
          <w:bCs w:val="1"/>
          <w:rtl w:val="0"/>
        </w:rPr>
        <w:t xml:space="preserve">oneOf</w:t>
      </w:r>
      <w:r w:rsidDel="00000000" w:rsidR="00000000" w:rsidRPr="00000000">
        <w:rPr>
          <w:rtl w:val="0"/>
        </w:rPr>
        <w:t xml:space="preserve"> AcceptedRiskDisposition </w:t>
      </w:r>
      <w:r w:rsidDel="00000000" w:rsidR="00000000" w:rsidRPr="00000000">
        <w:rPr>
          <w:b w:val="1"/>
          <w:bCs w:val="1"/>
          <w:rtl w:val="0"/>
        </w:rPr>
        <w:t xml:space="preserve">oneOf</w:t>
      </w:r>
      <w:r w:rsidDel="00000000" w:rsidR="00000000" w:rsidRPr="00000000">
        <w:rPr>
          <w:rtl w:val="0"/>
        </w:rPr>
        <w:t xml:space="preserve"> UnresolvedDisposition.</w:t>
      </w:r>
    </w:p>
    <w:p w:rsidR="00000000" w:rsidDel="00000000" w:rsidP="00000000" w:rsidRDefault="00000000" w:rsidRPr="00000000" ns1:paraId="000001FC">
      <w:pPr>
        <w:spacing w:after="240" w:before="240" w:lineRule="auto"/>
        <w:rPr/>
      </w:pPr>
      <w:r w:rsidDel="00000000" w:rsidR="00000000" w:rsidRPr="00000000">
        <w:rPr>
          <w:rtl w:val="0"/>
        </w:rPr>
        <w:t xml:space="preserve">A non-runtime, accepted, or unresolved record shall not be required to contain subject, action, resource, evaluation basis, or gate type. A </w:t>
      </w:r>
      <w:r w:rsidDel="00000000" w:rsidR="00000000" w:rsidRPr="00000000">
        <w:rPr>
          <w:b w:val="1"/>
          <w:bCs w:val="1"/>
          <w:rtl w:val="0"/>
        </w:rPr>
        <w:t xml:space="preserve">CompiledPredicate</w:t>
      </w:r>
      <w:r w:rsidDel="00000000" w:rsidR="00000000" w:rsidRPr="00000000">
        <w:rPr>
          <w:rtl w:val="0"/>
        </w:rPr>
        <w:t xml:space="preserve"> requires: predicate ID and ACS ID; authorized origin type and origin ID; risk and obligation references; subject, action, resource, and destination; action-parameter schema; at least one context condition; evidence producer and evidence schema; evaluation basis; gate type, gate source, and mandatory role; on-fail and on-unknown; escalation; evidence requirements; and version and validity bindings (</w:t>
      </w: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only — lifecycle state is external per Section VI-F). A </w:t>
      </w:r>
      <w:r w:rsidDel="00000000" w:rsidR="00000000" w:rsidRPr="00000000">
        <w:rPr>
          <w:b w:val="1"/>
          <w:bCs w:val="1"/>
          <w:rtl w:val="0"/>
        </w:rPr>
        <w:t xml:space="preserve">NonRuntimeDisposition</w:t>
      </w:r>
      <w:r w:rsidDel="00000000" w:rsidR="00000000" w:rsidRPr="00000000">
        <w:rPr>
          <w:rtl w:val="0"/>
        </w:rPr>
        <w:t xml:space="preserve"> requires: risk reference, reason code, routed-to control family, control reference, owner, and approval record. An </w:t>
      </w:r>
      <w:r w:rsidDel="00000000" w:rsidR="00000000" w:rsidRPr="00000000">
        <w:rPr>
          <w:b w:val="1"/>
          <w:bCs w:val="1"/>
          <w:rtl w:val="0"/>
        </w:rPr>
        <w:t xml:space="preserve">AcceptedRiskDisposition</w:t>
      </w:r>
      <w:r w:rsidDel="00000000" w:rsidR="00000000" w:rsidRPr="00000000">
        <w:rPr>
          <w:rtl w:val="0"/>
        </w:rPr>
        <w:t xml:space="preserve"> requires: risk reference, scope, rationale, acceptor identity (resolving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approval time, and expiry. An </w:t>
      </w:r>
      <w:r w:rsidDel="00000000" w:rsidR="00000000" w:rsidRPr="00000000">
        <w:rPr>
          <w:b w:val="1"/>
          <w:bCs w:val="1"/>
          <w:rtl w:val="0"/>
        </w:rPr>
        <w:t xml:space="preserve">UnresolvedDisposition</w:t>
      </w:r>
      <w:r w:rsidDel="00000000" w:rsidR="00000000" w:rsidRPr="00000000">
        <w:rPr>
          <w:rtl w:val="0"/>
        </w:rPr>
        <w:t xml:space="preserve"> requires: risk reference, reason code, and the authority scope blocked from release.</w:t>
      </w:r>
    </w:p>
    <w:p w:rsidR="00000000" w:rsidDel="00000000" w:rsidP="00000000" w:rsidRDefault="00000000" w:rsidRPr="00000000" ns1:paraId="000001FD">
      <w:pPr>
        <w:spacing w:after="240" w:before="240" w:lineRule="auto"/>
        <w:rPr/>
      </w:pPr>
      <w:r w:rsidDel="00000000" w:rsidR="00000000" w:rsidRPr="00000000">
        <w:rPr>
          <w:rtl w:val="0"/>
        </w:rPr>
        <w:t xml:space="preserve">Normative cross-field constraints (enforced by Φ, step 1 and bundle-level checks):</w:t>
      </w:r>
    </w:p>
    <w:p w:rsidR="00000000" w:rsidDel="00000000" w:rsidP="00000000" w:rsidRDefault="00000000" w:rsidRPr="00000000" ns1:paraId="000001FE">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mandatory</w:t>
      </w:r>
      <w:r w:rsidDel="00000000" w:rsidR="00000000" w:rsidRPr="00000000">
        <w:rPr>
          <w:rtl w:val="0"/>
        </w:rPr>
        <w:t xml:space="preserve"> implies </w:t>
      </w:r>
      <w:r w:rsidDel="00000000" w:rsidR="00000000" w:rsidRPr="00000000">
        <w:rPr>
          <w:rFonts w:ascii="Roboto Mono" w:cs="Roboto Mono" w:eastAsia="Roboto Mono" w:hAnsi="Roboto Mono"/>
          <w:color w:val="188038"/>
          <w:rtl w:val="0"/>
        </w:rPr>
        <w:t xml:space="preserve">on_fail = SAFE_STATE</w:t>
      </w:r>
      <w:r w:rsidDel="00000000" w:rsidR="00000000" w:rsidRPr="00000000">
        <w:rPr>
          <w:rtl w:val="0"/>
        </w:rPr>
        <w:t xml:space="preserve">.</w:t>
      </w:r>
    </w:p>
    <w:p w:rsidR="00000000" w:rsidDel="00000000" w:rsidP="00000000" w:rsidRDefault="00000000" w:rsidRPr="00000000" ns1:paraId="000001FF">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mandatory</w:t>
      </w:r>
      <w:r w:rsidDel="00000000" w:rsidR="00000000" w:rsidRPr="00000000">
        <w:rPr>
          <w:rtl w:val="0"/>
        </w:rPr>
        <w:t xml:space="preserve"> implies every required condition has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w:t>
      </w:r>
    </w:p>
    <w:p w:rsidR="00000000" w:rsidDel="00000000" w:rsidP="00000000" w:rsidRDefault="00000000" w:rsidRPr="00000000" ns1:paraId="00000200">
      <w:pPr>
        <w:numPr>
          <w:ilvl w:val="0"/>
          <w:numId w:val="10"/>
        </w:numPr>
        <w:spacing w:after="0" w:afterAutospacing="0" w:before="0" w:beforeAutospacing="0" w:lineRule="auto"/>
        <w:ind w:left="720" w:hanging="360"/>
      </w:pPr>
      <w:r w:rsidDel="00000000" w:rsidR="00000000" w:rsidRPr="00000000">
        <w:rPr>
          <w:rtl w:val="0"/>
        </w:rPr>
        <w:t xml:space="preserve">Numeric or temporal operators require a threshold contract and unit.</w:t>
      </w:r>
    </w:p>
    <w:p w:rsidR="00000000" w:rsidDel="00000000" w:rsidP="00000000" w:rsidRDefault="00000000" w:rsidRPr="00000000" ns1:paraId="0000020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weighted</w:t>
      </w:r>
      <w:r w:rsidDel="00000000" w:rsidR="00000000" w:rsidRPr="00000000">
        <w:rPr>
          <w:rtl w:val="0"/>
        </w:rPr>
        <w:t xml:space="preserve"> requires weight, normalized deficit function, aggregation group, and group threshold; the group resolves to a single group-level deficit at the enforcement boundary.</w:t>
      </w:r>
    </w:p>
    <w:p w:rsidR="00000000" w:rsidDel="00000000" w:rsidP="00000000" w:rsidRDefault="00000000" w:rsidRPr="00000000" ns1:paraId="00000202">
      <w:pPr>
        <w:numPr>
          <w:ilvl w:val="0"/>
          <w:numId w:val="10"/>
        </w:numPr>
        <w:spacing w:after="0" w:afterAutospacing="0" w:before="0" w:beforeAutospacing="0" w:lineRule="auto"/>
        <w:ind w:left="720" w:hanging="360"/>
      </w:pPr>
      <w:r w:rsidDel="00000000" w:rsidR="00000000" w:rsidRPr="00000000">
        <w:rPr>
          <w:rtl w:val="0"/>
        </w:rPr>
        <w:t xml:space="preserve">Every action tuple resolves to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w:t>
      </w:r>
    </w:p>
    <w:p w:rsidR="00000000" w:rsidDel="00000000" w:rsidP="00000000" w:rsidRDefault="00000000" w:rsidRPr="00000000" ns1:paraId="00000203">
      <w:pPr>
        <w:numPr>
          <w:ilvl w:val="0"/>
          <w:numId w:val="10"/>
        </w:numPr>
        <w:spacing w:after="0" w:afterAutospacing="0" w:before="0" w:beforeAutospacing="0" w:lineRule="auto"/>
        <w:ind w:left="720" w:hanging="360"/>
      </w:pPr>
      <w:r w:rsidDel="00000000" w:rsidR="00000000" w:rsidRPr="00000000">
        <w:rPr>
          <w:rtl w:val="0"/>
        </w:rPr>
        <w:t xml:space="preserve">Every risk-derived predicate resolves to an ACS and risk.</w:t>
      </w:r>
    </w:p>
    <w:p w:rsidR="00000000" w:rsidDel="00000000" w:rsidP="00000000" w:rsidRDefault="00000000" w:rsidRPr="00000000" ns1:paraId="00000204">
      <w:pPr>
        <w:numPr>
          <w:ilvl w:val="0"/>
          <w:numId w:val="10"/>
        </w:numPr>
        <w:spacing w:after="0" w:afterAutospacing="0" w:before="0" w:beforeAutospacing="0" w:lineRule="auto"/>
        <w:ind w:left="720" w:hanging="360"/>
      </w:pPr>
      <w:r w:rsidDel="00000000" w:rsidR="00000000" w:rsidRPr="00000000">
        <w:rPr>
          <w:rtl w:val="0"/>
        </w:rPr>
        <w:t xml:space="preserve">Every compiler invariant resolves to an approved invariant ID in INV.</w:t>
      </w:r>
    </w:p>
    <w:p w:rsidR="00000000" w:rsidDel="00000000" w:rsidP="00000000" w:rsidRDefault="00000000" w:rsidRPr="00000000" ns1:paraId="00000205">
      <w:pPr>
        <w:numPr>
          <w:ilvl w:val="0"/>
          <w:numId w:val="10"/>
        </w:numPr>
        <w:spacing w:after="0" w:afterAutospacing="0" w:before="0" w:beforeAutospacing="0" w:lineRule="auto"/>
        <w:ind w:left="720" w:hanging="360"/>
      </w:pPr>
      <w:r w:rsidDel="00000000" w:rsidR="00000000" w:rsidRPr="00000000">
        <w:rPr>
          <w:rtl w:val="0"/>
        </w:rPr>
        <w:t xml:space="preserve">Every obligation reference resolves to O; an unresolved reference raises warning code WC-01 (not a disposition).</w:t>
      </w:r>
    </w:p>
    <w:p w:rsidR="00000000" w:rsidDel="00000000" w:rsidP="00000000" w:rsidRDefault="00000000" w:rsidRPr="00000000" ns1:paraId="00000206">
      <w:pPr>
        <w:numPr>
          <w:ilvl w:val="0"/>
          <w:numId w:val="10"/>
        </w:numPr>
        <w:spacing w:after="0" w:afterAutospacing="0" w:before="0" w:beforeAutospacing="0" w:lineRule="auto"/>
        <w:ind w:left="720" w:hanging="360"/>
      </w:pPr>
      <w:r w:rsidDel="00000000" w:rsidR="00000000" w:rsidRPr="00000000">
        <w:rPr>
          <w:rtl w:val="0"/>
        </w:rPr>
        <w:t xml:space="preserve">No expired approval may enter a release-admissible bundle.</w:t>
      </w:r>
    </w:p>
    <w:p w:rsidR="00000000" w:rsidDel="00000000" w:rsidP="00000000" w:rsidRDefault="00000000" w:rsidRPr="00000000" ns1:paraId="00000207">
      <w:pPr>
        <w:numPr>
          <w:ilvl w:val="0"/>
          <w:numId w:val="10"/>
        </w:numPr>
        <w:spacing w:after="0" w:afterAutospacing="0" w:before="0" w:beforeAutospacing="0" w:lineRule="auto"/>
        <w:ind w:left="720" w:hanging="360"/>
      </w:pPr>
      <w:r w:rsidDel="00000000" w:rsidR="00000000" w:rsidRPr="00000000">
        <w:rPr>
          <w:rtl w:val="0"/>
        </w:rPr>
        <w:t xml:space="preserve">Assessor identity may not equal acceptor identity (Section III, Step 1).</w:t>
      </w:r>
    </w:p>
    <w:p w:rsidR="00000000" w:rsidDel="00000000" w:rsidP="00000000" w:rsidRDefault="00000000" w:rsidRPr="00000000" ns1:paraId="00000208">
      <w:pPr>
        <w:numPr>
          <w:ilvl w:val="0"/>
          <w:numId w:val="10"/>
        </w:numPr>
        <w:spacing w:after="0" w:afterAutospacing="0" w:before="0" w:beforeAutospacing="0" w:lineRule="auto"/>
        <w:ind w:left="720" w:hanging="360"/>
      </w:pPr>
      <w:r w:rsidDel="00000000" w:rsidR="00000000" w:rsidRPr="00000000">
        <w:rPr>
          <w:rtl w:val="0"/>
        </w:rPr>
        <w:t xml:space="preserve">An accepted-risk disposition's acceptor resolves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and its expiry does not exceed the assessment validity interval; no release-admissible bundle contains an acceptance already past expiry at compile time.</w:t>
      </w:r>
    </w:p>
    <w:p w:rsidR="00000000" w:rsidDel="00000000" w:rsidP="00000000" w:rsidRDefault="00000000" w:rsidRPr="00000000" ns1:paraId="00000209">
      <w:pPr>
        <w:numPr>
          <w:ilvl w:val="0"/>
          <w:numId w:val="10"/>
        </w:numPr>
        <w:spacing w:after="0" w:afterAutospacing="0" w:before="0" w:beforeAutospacing="0" w:lineRule="auto"/>
        <w:ind w:left="720" w:hanging="360"/>
      </w:pPr>
      <w:r w:rsidDel="00000000" w:rsidR="00000000" w:rsidRPr="00000000">
        <w:rPr>
          <w:rtl w:val="0"/>
        </w:rPr>
        <w:t xml:space="preserve">Every risk with C*(cᵢ) = 1 has at least one mandatory gate — or mandatory gate set — covering each of its authorized hazardous action paths (coverage requirement CV, Section VII-A).</w:t>
      </w:r>
    </w:p>
    <w:p w:rsidR="00000000" w:rsidDel="00000000" w:rsidP="00000000" w:rsidRDefault="00000000" w:rsidRPr="00000000" ns1:paraId="0000020A">
      <w:pPr>
        <w:numPr>
          <w:ilvl w:val="0"/>
          <w:numId w:val="10"/>
        </w:numPr>
        <w:spacing w:after="0" w:afterAutospacing="0" w:before="0" w:beforeAutospacing="0" w:lineRule="auto"/>
        <w:ind w:left="720" w:hanging="360"/>
      </w:pPr>
      <w:r w:rsidDel="00000000" w:rsidR="00000000" w:rsidRPr="00000000">
        <w:rPr>
          <w:rtl w:val="0"/>
        </w:rPr>
        <w:t xml:space="preserve">The bundle payload contains no timestamp, nonce, or mutable lifecycle field; retirement and supersession resolve only through signed lifecycle-registry records (Section VI-F).</w:t>
      </w:r>
    </w:p>
    <w:p w:rsidR="00000000" w:rsidDel="00000000" w:rsidP="00000000" w:rsidRDefault="00000000" w:rsidRPr="00000000" ns1:paraId="0000020B">
      <w:pPr>
        <w:numPr>
          <w:ilvl w:val="0"/>
          <w:numId w:val="10"/>
        </w:numPr>
        <w:spacing w:after="240" w:before="0" w:beforeAutospacing="0" w:lineRule="auto"/>
        <w:ind w:left="720" w:hanging="360"/>
      </w:pPr>
      <w:r w:rsidDel="00000000" w:rsidR="00000000" w:rsidRPr="00000000">
        <w:rPr>
          <w:b w:val="1"/>
          <w:bCs w:val="1"/>
          <w:rtl w:val="0"/>
        </w:rPr>
        <w:t xml:space="preserve">Runtime acceptance condition (deployment conformance).</w:t>
      </w:r>
      <w:r w:rsidDel="00000000" w:rsidR="00000000" w:rsidRPr="00000000">
        <w:rPr>
          <w:rtl w:val="0"/>
        </w:rPr>
        <w:t xml:space="preserve"> A conformant consuming runtime loads only bundles verifying as signed Φ outputs — signature, payload hash, and lifecycle-registry state — accepts no policy content through any other channel, and emits decision receipts carrying the requirement reference (</w:t>
      </w:r>
      <w:r w:rsidDel="00000000" w:rsidR="00000000" w:rsidRPr="00000000">
        <w:rPr>
          <w:rFonts w:ascii="Roboto Mono" w:cs="Roboto Mono" w:eastAsia="Roboto Mono" w:hAnsi="Roboto Mono"/>
          <w:color w:val="188038"/>
          <w:rtl w:val="0"/>
        </w:rPr>
        <w:t xml:space="preserve">gcir_id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acs_id</w:t>
      </w:r>
      <w:r w:rsidDel="00000000" w:rsidR="00000000" w:rsidRPr="00000000">
        <w:rPr>
          <w:rtl w:val="0"/>
        </w:rPr>
        <w:t xml:space="preserve">, and origin) of every evaluated predicate. This is the condition under which the compiler's orphan-control guarantee extends to the deployment, and the requirement-reference field is the interface extension of Section II.</w:t>
      </w:r>
    </w:p>
    <w:p w:rsidR="00000000" w:rsidDel="00000000" w:rsidP="00000000" w:rsidRDefault="00000000" w:rsidRPr="00000000" ns1:paraId="0000020C">
      <w:pPr>
        <w:spacing w:after="240" w:before="240" w:lineRule="auto"/>
        <w:rPr>
          <w:rFonts w:ascii="Roboto Mono" w:cs="Roboto Mono" w:eastAsia="Roboto Mono" w:hAnsi="Roboto Mono"/>
          <w:color w:val="188038"/>
        </w:rPr>
      </w:pPr>
      <w:r w:rsidDel="00000000" w:rsidR="00000000" w:rsidRPr="00000000">
        <w:rPr>
          <w:rtl w:val="0"/>
        </w:rPr>
        <w:t xml:space="preserve">The machine-readable JSON Schema (draft 2020-12) implementing these requirements ships in the repository, frozen at v1.0 and hash-pinned in the release manifest. Schema $id values are stable identifiers within the v1.0 namespace rather than resolvable endpoints; the authoritative copies are the schema files in the tagged release.</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20D">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0E">
      <w:pPr>
        <w:pStyle w:val="Heading2"/>
        <w:keepNext w:val="0"/>
        <w:keepLines w:val="0"/>
        <w:spacing w:after="80" w:lineRule="auto"/>
        <w:rPr>
          <w:b w:val="1"/>
          <w:bCs w:val="1"/>
          <w:sz w:val="34"/>
          <w:szCs w:val="34"/>
        </w:rPr>
      </w:pPr>
      <w:bookmarkStart w:colFirst="0" w:colLast="0" w:name="_lx6110k3etqz" w:id="54"/>
      <w:bookmarkEnd w:id="54"/>
      <w:r w:rsidDel="00000000" w:rsidR="00000000" w:rsidRPr="00000000">
        <w:rPr>
          <w:b w:val="1"/>
          <w:bCs w:val="1"/>
          <w:sz w:val="34"/>
          <w:szCs w:val="34"/>
          <w:rtl w:val="0"/>
        </w:rPr>
        <w:t xml:space="preserve">APPENDIX B — Φ PSEUDOCODE (REFERENCE SEMANTICS)</w:t>
      </w:r>
    </w:p>
    <w:p w:rsidR="00000000" w:rsidDel="00000000" w:rsidP="00000000" w:rsidRDefault="00000000" w:rsidRPr="00000000" ns1:paraId="0000020F">
      <w:pPr>
        <w:rPr/>
      </w:pPr>
      <w:r w:rsidDel="00000000" w:rsidR="00000000" w:rsidRPr="00000000">
        <w:rPr>
          <w:rtl w:val="0"/>
        </w:rPr>
        <w:t xml:space="preserve">function Φ(M, S, O, R, A, K, D, Δ, INV):</w:t>
      </w:r>
    </w:p>
    <w:p w:rsidR="00000000" w:rsidDel="00000000" w:rsidP="00000000" w:rsidRDefault="00000000" w:rsidRPr="00000000" ns1:paraId="00000210">
      <w:pPr>
        <w:rPr/>
      </w:pPr>
      <w:r w:rsidDel="00000000" w:rsidR="00000000" w:rsidRPr="00000000">
        <w:rPr>
          <w:rtl w:val="0"/>
        </w:rPr>
        <w:t xml:space="preserve">    validate_signatures_and_versions(M, S, O, R, A, K, D, Δ, INV)</w:t>
      </w:r>
    </w:p>
    <w:p w:rsidR="00000000" w:rsidDel="00000000" w:rsidP="00000000" w:rsidRDefault="00000000" w:rsidRPr="00000000" ns1:paraId="00000211">
      <w:pPr>
        <w:rPr/>
      </w:pPr>
      <w:r w:rsidDel="00000000" w:rsidR="00000000" w:rsidRPr="00000000">
        <w:rPr>
          <w:rtl w:val="0"/>
        </w:rPr>
        <w:t xml:space="preserve">        # D and Δ carry the signed judgment record J's products (Section IV-A)</w:t>
      </w:r>
    </w:p>
    <w:p w:rsidR="00000000" w:rsidDel="00000000" w:rsidP="00000000" w:rsidRDefault="00000000" w:rsidRPr="00000000" ns1:paraId="00000212">
      <w:pPr>
        <w:rPr/>
      </w:pPr>
      <w:r w:rsidDel="00000000" w:rsidR="00000000" w:rsidRPr="00000000">
        <w:rPr>
          <w:rtl w:val="0"/>
        </w:rPr>
        <w:t xml:space="preserve">    validate_all_schemas()</w:t>
      </w:r>
    </w:p>
    <w:p w:rsidR="00000000" w:rsidDel="00000000" w:rsidP="00000000" w:rsidRDefault="00000000" w:rsidRPr="00000000" ns1:paraId="00000213">
      <w:pPr>
        <w:rPr/>
      </w:pPr>
      <w:r w:rsidDel="00000000" w:rsidR="00000000" w:rsidRPr="00000000">
        <w:rPr>
          <w:rtl w:val="0"/>
        </w:rPr>
        <w:t xml:space="preserve">    validate_exactly_one_disposition_per_risk(R, Δ)</w:t>
      </w:r>
    </w:p>
    <w:p w:rsidR="00000000" w:rsidDel="00000000" w:rsidP="00000000" w:rsidRDefault="00000000" w:rsidRPr="00000000" ns1:paraId="00000214">
      <w:pPr>
        <w:rPr/>
      </w:pPr>
      <w:r w:rsidDel="00000000" w:rsidR="00000000" w:rsidRPr="00000000">
        <w:rPr>
          <w:rtl w:val="0"/>
        </w:rPr>
        <w:t xml:space="preserve">    if exists r in R where Δ[r].status == unresolved:</w:t>
      </w:r>
    </w:p>
    <w:p w:rsidR="00000000" w:rsidDel="00000000" w:rsidP="00000000" w:rsidRDefault="00000000" w:rsidRPr="00000000" ns1:paraId="00000215">
      <w:pPr>
        <w:rPr/>
      </w:pPr>
      <w:r w:rsidDel="00000000" w:rsidR="00000000" w:rsidRPr="00000000">
        <w:rPr>
          <w:rtl w:val="0"/>
        </w:rPr>
        <w:t xml:space="preserve">        halt(RELEASE_INADMISSIBLE, r.risk_id)</w:t>
      </w:r>
    </w:p>
    <w:p w:rsidR="00000000" w:rsidDel="00000000" w:rsidP="00000000" w:rsidRDefault="00000000" w:rsidRPr="00000000" ns1:paraId="00000216">
      <w:pPr>
        <w:rPr/>
      </w:pPr>
      <w:r w:rsidDel="00000000" w:rsidR="00000000" w:rsidRPr="00000000">
        <w:rPr>
          <w:rtl w:val="0"/>
        </w:rPr>
      </w:r>
    </w:p>
    <w:p w:rsidR="00000000" w:rsidDel="00000000" w:rsidP="00000000" w:rsidRDefault="00000000" w:rsidRPr="00000000" ns1:paraId="00000217">
      <w:pPr>
        <w:rPr/>
      </w:pPr>
      <w:r w:rsidDel="00000000" w:rsidR="00000000" w:rsidRPr="00000000">
        <w:rPr>
          <w:rFonts w:ascii="Arial Unicode MS" w:cs="Arial Unicode MS" w:eastAsia="Arial Unicode MS" w:hAnsi="Arial Unicode MS"/>
          <w:rtl w:val="0"/>
        </w:rPr>
        <w:t xml:space="preserve">    P ← ∅;  G ← ∅;  E ← ∅</w:t>
      </w:r>
    </w:p>
    <w:p w:rsidR="00000000" w:rsidDel="00000000" w:rsidP="00000000" w:rsidRDefault="00000000" w:rsidRPr="00000000" ns1:paraId="00000218">
      <w:pPr>
        <w:rPr/>
      </w:pPr>
      <w:r w:rsidDel="00000000" w:rsidR="00000000" w:rsidRPr="00000000">
        <w:rPr>
          <w:rtl w:val="0"/>
        </w:rPr>
      </w:r>
    </w:p>
    <w:p w:rsidR="00000000" w:rsidDel="00000000" w:rsidP="00000000" w:rsidRDefault="00000000" w:rsidRPr="00000000" ns1:paraId="00000219">
      <w:pPr>
        <w:rPr/>
      </w:pPr>
      <w:r w:rsidDel="00000000" w:rsidR="00000000" w:rsidRPr="00000000">
        <w:rPr>
          <w:rtl w:val="0"/>
        </w:rPr>
        <w:t xml:space="preserve">    for r in canonical_order(R):</w:t>
      </w:r>
    </w:p>
    <w:p w:rsidR="00000000" w:rsidDel="00000000" w:rsidP="00000000" w:rsidRDefault="00000000" w:rsidRPr="00000000" ns1:paraId="0000021A">
      <w:pPr>
        <w:rPr/>
      </w:pPr>
      <w:r w:rsidDel="00000000" w:rsidR="00000000" w:rsidRPr="00000000">
        <w:rPr>
          <w:rFonts w:ascii="Arial Unicode MS" w:cs="Arial Unicode MS" w:eastAsia="Arial Unicode MS" w:hAnsi="Arial Unicode MS"/>
          <w:rtl w:val="0"/>
        </w:rPr>
        <w:t xml:space="preserve">        disposition ← Δ[r]</w:t>
      </w:r>
    </w:p>
    <w:p w:rsidR="00000000" w:rsidDel="00000000" w:rsidP="00000000" w:rsidRDefault="00000000" w:rsidRPr="00000000" ns1:paraId="0000021B">
      <w:pPr>
        <w:rPr/>
      </w:pPr>
      <w:r w:rsidDel="00000000" w:rsidR="00000000" w:rsidRPr="00000000">
        <w:rPr>
          <w:rtl w:val="0"/>
        </w:rPr>
        <w:t xml:space="preserve">        if disposition.status in {nonruntime, accepted}:</w:t>
      </w:r>
    </w:p>
    <w:p w:rsidR="00000000" w:rsidDel="00000000" w:rsidP="00000000" w:rsidRDefault="00000000" w:rsidRPr="00000000" ns1:paraId="0000021C">
      <w:pPr>
        <w:rPr/>
      </w:pPr>
      <w:r w:rsidDel="00000000" w:rsidR="00000000" w:rsidRPr="00000000">
        <w:rPr>
          <w:rtl w:val="0"/>
        </w:rPr>
        <w:t xml:space="preserve">            continue                                   # recorded in Δ; traceable via coverage matrix</w:t>
      </w:r>
    </w:p>
    <w:p w:rsidR="00000000" w:rsidDel="00000000" w:rsidP="00000000" w:rsidRDefault="00000000" w:rsidRPr="00000000" ns1:paraId="0000021D">
      <w:pPr>
        <w:rPr/>
      </w:pPr>
      <w:r w:rsidDel="00000000" w:rsidR="00000000" w:rsidRPr="00000000">
        <w:rPr>
          <w:rtl w:val="0"/>
        </w:rPr>
        <w:t xml:space="preserve">        for acs in canonical_order(disposition.acs_records):</w:t>
      </w:r>
    </w:p>
    <w:p w:rsidR="00000000" w:rsidDel="00000000" w:rsidP="00000000" w:rsidRDefault="00000000" w:rsidRPr="00000000" ns1:paraId="0000021E">
      <w:pPr>
        <w:rPr/>
      </w:pPr>
      <w:r w:rsidDel="00000000" w:rsidR="00000000" w:rsidRPr="00000000">
        <w:rPr>
          <w:rFonts w:ascii="Arial Unicode MS" w:cs="Arial Unicode MS" w:eastAsia="Arial Unicode MS" w:hAnsi="Arial Unicode MS"/>
          <w:rtl w:val="0"/>
        </w:rPr>
        <w:t xml:space="preserve">            template ← exact_lookup(K, acs.event_type, acs.template_id)</w:t>
      </w:r>
    </w:p>
    <w:p w:rsidR="00000000" w:rsidDel="00000000" w:rsidP="00000000" w:rsidRDefault="00000000" w:rsidRPr="00000000" ns1:paraId="0000021F">
      <w:pPr>
        <w:rPr/>
      </w:pPr>
      <w:r w:rsidDel="00000000" w:rsidR="00000000" w:rsidRPr="00000000">
        <w:rPr>
          <w:rFonts w:ascii="Arial Unicode MS" w:cs="Arial Unicode MS" w:eastAsia="Arial Unicode MS" w:hAnsi="Arial Unicode MS"/>
          <w:rtl w:val="0"/>
        </w:rPr>
        <w:t xml:space="preserve">            if template == ⊥:</w:t>
      </w:r>
    </w:p>
    <w:p w:rsidR="00000000" w:rsidDel="00000000" w:rsidP="00000000" w:rsidRDefault="00000000" w:rsidRPr="00000000" ns1:paraId="00000220">
      <w:pPr>
        <w:rPr/>
      </w:pPr>
      <w:r w:rsidDel="00000000" w:rsidR="00000000" w:rsidRPr="00000000">
        <w:rPr>
          <w:rtl w:val="0"/>
        </w:rPr>
        <w:t xml:space="preserve">                halt(UNRESOLVED_TEMPLATE, acs.acs_id)  # heuristic matching prohibited</w:t>
      </w:r>
    </w:p>
    <w:p w:rsidR="00000000" w:rsidDel="00000000" w:rsidP="00000000" w:rsidRDefault="00000000" w:rsidRPr="00000000" ns1:paraId="00000221">
      <w:pPr>
        <w:rPr/>
      </w:pPr>
      <w:r w:rsidDel="00000000" w:rsidR="00000000" w:rsidRPr="00000000">
        <w:rPr>
          <w:rtl w:val="0"/>
        </w:rPr>
        <w:t xml:space="preserve">            validate_evidence_semantics(acs, template)</w:t>
      </w:r>
    </w:p>
    <w:p w:rsidR="00000000" w:rsidDel="00000000" w:rsidP="00000000" w:rsidRDefault="00000000" w:rsidRPr="00000000" ns1:paraId="00000222">
      <w:pPr>
        <w:rPr/>
      </w:pPr>
      <w:r w:rsidDel="00000000" w:rsidR="00000000" w:rsidRPr="00000000">
        <w:rPr>
          <w:rtl w:val="0"/>
        </w:rPr>
        <w:t xml:space="preserve">            validate_authority_tuple(acs.subject, acs.action, acs.resource,</w:t>
      </w:r>
    </w:p>
    <w:p w:rsidR="00000000" w:rsidDel="00000000" w:rsidP="00000000" w:rsidRDefault="00000000" w:rsidRPr="00000000" ns1:paraId="00000223">
      <w:pPr>
        <w:rPr/>
      </w:pPr>
      <w:r w:rsidDel="00000000" w:rsidR="00000000" w:rsidRPr="00000000">
        <w:rPr>
          <w:rtl w:val="0"/>
        </w:rPr>
        <w:t xml:space="preserve">                                     acs.destination, acs.parameter_schema,</w:t>
      </w:r>
    </w:p>
    <w:p w:rsidR="00000000" w:rsidDel="00000000" w:rsidP="00000000" w:rsidRDefault="00000000" w:rsidRPr="00000000" ns1:paraId="00000224">
      <w:pPr>
        <w:rPr/>
      </w:pPr>
      <w:r w:rsidDel="00000000" w:rsidR="00000000" w:rsidRPr="00000000">
        <w:rPr>
          <w:rtl w:val="0"/>
        </w:rPr>
        <w:t xml:space="preserve">                                     S.authority_matrix)</w:t>
      </w:r>
    </w:p>
    <w:p w:rsidR="00000000" w:rsidDel="00000000" w:rsidP="00000000" w:rsidRDefault="00000000" w:rsidRPr="00000000" ns1:paraId="00000225">
      <w:pPr>
        <w:rPr/>
      </w:pPr>
      <w:r w:rsidDel="00000000" w:rsidR="00000000" w:rsidRPr="00000000">
        <w:rPr>
          <w:rFonts w:ascii="Arial Unicode MS" w:cs="Arial Unicode MS" w:eastAsia="Arial Unicode MS" w:hAnsi="Arial Unicode MS"/>
          <w:rtl w:val="0"/>
        </w:rPr>
        <w:t xml:space="preserve">            gate_source ← classify_gate_source(acs, A, C_star)</w:t>
      </w:r>
    </w:p>
    <w:p w:rsidR="00000000" w:rsidDel="00000000" w:rsidP="00000000" w:rsidRDefault="00000000" w:rsidRPr="00000000" ns1:paraId="00000226">
      <w:pPr>
        <w:rPr/>
      </w:pPr>
      <w:r w:rsidDel="00000000" w:rsidR="00000000" w:rsidRPr="00000000">
        <w:rPr>
          <w:rFonts w:ascii="Arial Unicode MS" w:cs="Arial Unicode MS" w:eastAsia="Arial Unicode MS" w:hAnsi="Arial Unicode MS"/>
          <w:rtl w:val="0"/>
        </w:rPr>
        <w:t xml:space="preserve">            gate ← mandatory if (gate_source == C_STAR and acs.mandatory_role == decisive)</w:t>
      </w:r>
    </w:p>
    <w:p w:rsidR="00000000" w:rsidDel="00000000" w:rsidP="00000000" w:rsidRDefault="00000000" w:rsidRPr="00000000" ns1:paraId="00000227">
      <w:pPr>
        <w:rPr/>
      </w:pPr>
      <w:r w:rsidDel="00000000" w:rsidR="00000000" w:rsidRPr="00000000">
        <w:rPr>
          <w:rtl w:val="0"/>
        </w:rPr>
        <w:t xml:space="preserve">                              or gate_source == OTHER_MANDATORY</w:t>
      </w:r>
    </w:p>
    <w:p w:rsidR="00000000" w:rsidDel="00000000" w:rsidP="00000000" w:rsidRDefault="00000000" w:rsidRPr="00000000" ns1:paraId="00000228">
      <w:pPr>
        <w:rPr/>
      </w:pPr>
      <w:r w:rsidDel="00000000" w:rsidR="00000000" w:rsidRPr="00000000">
        <w:rPr>
          <w:rtl w:val="0"/>
        </w:rPr>
        <w:t xml:space="preserve">                    else approved_soft_gate(acs)</w:t>
      </w:r>
    </w:p>
    <w:p w:rsidR="00000000" w:rsidDel="00000000" w:rsidP="00000000" w:rsidRDefault="00000000" w:rsidRPr="00000000" ns1:paraId="00000229">
      <w:pPr>
        <w:rPr/>
      </w:pPr>
      <w:r w:rsidDel="00000000" w:rsidR="00000000" w:rsidRPr="00000000">
        <w:rPr>
          <w:rtl w:val="0"/>
        </w:rPr>
        <w:t xml:space="preserve">                # a C* risk may carry supporting advisory/weighted predicates;</w:t>
      </w:r>
    </w:p>
    <w:p w:rsidR="00000000" w:rsidDel="00000000" w:rsidP="00000000" w:rsidRDefault="00000000" w:rsidRPr="00000000" ns1:paraId="0000022A">
      <w:pPr>
        <w:rPr/>
      </w:pPr>
      <w:r w:rsidDel="00000000" w:rsidR="00000000" w:rsidRPr="00000000">
        <w:rPr>
          <w:rtl w:val="0"/>
        </w:rPr>
        <w:t xml:space="preserve">                # coverage is asserted at bundle level (below), not per predicate</w:t>
      </w:r>
    </w:p>
    <w:p w:rsidR="00000000" w:rsidDel="00000000" w:rsidP="00000000" w:rsidRDefault="00000000" w:rsidRPr="00000000" ns1:paraId="0000022B">
      <w:pPr>
        <w:rPr/>
      </w:pPr>
      <w:r w:rsidDel="00000000" w:rsidR="00000000" w:rsidRPr="00000000">
        <w:rPr>
          <w:rtl w:val="0"/>
        </w:rPr>
        <w:t xml:space="preserve">            if gate == mandatory:</w:t>
      </w:r>
    </w:p>
    <w:p w:rsidR="00000000" w:rsidDel="00000000" w:rsidP="00000000" w:rsidRDefault="00000000" w:rsidRPr="00000000" ns1:paraId="0000022C">
      <w:pPr>
        <w:rPr/>
      </w:pPr>
      <w:r w:rsidDel="00000000" w:rsidR="00000000" w:rsidRPr="00000000">
        <w:rPr>
          <w:rtl w:val="0"/>
        </w:rPr>
        <w:t xml:space="preserve">                require(acs.on_fail == SAFE_STATE)</w:t>
      </w:r>
    </w:p>
    <w:p w:rsidR="00000000" w:rsidDel="00000000" w:rsidP="00000000" w:rsidRDefault="00000000" w:rsidRPr="00000000" ns1:paraId="0000022D">
      <w:pPr>
        <w:rPr/>
      </w:pPr>
      <w:r w:rsidDel="00000000" w:rsidR="00000000" w:rsidRPr="00000000">
        <w:rPr>
          <w:rtl w:val="0"/>
        </w:rPr>
        <w:t xml:space="preserve">                require(all_required_unknowns_fail(acs))</w:t>
      </w:r>
    </w:p>
    <w:p w:rsidR="00000000" w:rsidDel="00000000" w:rsidP="00000000" w:rsidRDefault="00000000" w:rsidRPr="00000000" ns1:paraId="0000022E">
      <w:pPr>
        <w:rPr/>
      </w:pPr>
      <w:r w:rsidDel="00000000" w:rsidR="00000000" w:rsidRPr="00000000">
        <w:rPr>
          <w:rFonts w:ascii="Arial Unicode MS" w:cs="Arial Unicode MS" w:eastAsia="Arial Unicode MS" w:hAnsi="Arial Unicode MS"/>
          <w:rtl w:val="0"/>
        </w:rPr>
        <w:t xml:space="preserve">            recs ← instantiate_predicates(template, acs)</w:t>
      </w:r>
    </w:p>
    <w:p w:rsidR="00000000" w:rsidDel="00000000" w:rsidP="00000000" w:rsidRDefault="00000000" w:rsidRPr="00000000" ns1:paraId="0000022F">
      <w:pPr>
        <w:rPr/>
      </w:pPr>
      <w:r w:rsidDel="00000000" w:rsidR="00000000" w:rsidRPr="00000000">
        <w:rPr>
          <w:rtl w:val="0"/>
        </w:rPr>
        <w:t xml:space="preserve">            for rec in recs:</w:t>
      </w:r>
    </w:p>
    <w:p w:rsidR="00000000" w:rsidDel="00000000" w:rsidP="00000000" w:rsidRDefault="00000000" w:rsidRPr="00000000" ns1:paraId="00000230">
      <w:pPr>
        <w:rPr/>
      </w:pPr>
      <w:r w:rsidDel="00000000" w:rsidR="00000000" w:rsidRPr="00000000">
        <w:rPr>
          <w:rFonts w:ascii="Arial Unicode MS" w:cs="Arial Unicode MS" w:eastAsia="Arial Unicode MS" w:hAnsi="Arial Unicode MS"/>
          <w:rtl w:val="0"/>
        </w:rPr>
        <w:t xml:space="preserve">                rec.origin_type ← risk_derived</w:t>
      </w:r>
    </w:p>
    <w:p w:rsidR="00000000" w:rsidDel="00000000" w:rsidP="00000000" w:rsidRDefault="00000000" w:rsidRPr="00000000" ns1:paraId="00000231">
      <w:pPr>
        <w:rPr/>
      </w:pPr>
      <w:r w:rsidDel="00000000" w:rsidR="00000000" w:rsidRPr="00000000">
        <w:rPr>
          <w:rFonts w:ascii="Arial Unicode MS" w:cs="Arial Unicode MS" w:eastAsia="Arial Unicode MS" w:hAnsi="Arial Unicode MS"/>
          <w:rtl w:val="0"/>
        </w:rPr>
        <w:t xml:space="preserve">                rec.origin_id ← r.risk_id</w:t>
      </w:r>
    </w:p>
    <w:p w:rsidR="00000000" w:rsidDel="00000000" w:rsidP="00000000" w:rsidRDefault="00000000" w:rsidRPr="00000000" ns1:paraId="00000232">
      <w:pPr>
        <w:rPr/>
      </w:pPr>
      <w:r w:rsidDel="00000000" w:rsidR="00000000" w:rsidRPr="00000000">
        <w:rPr>
          <w:rFonts w:ascii="Arial Unicode MS" w:cs="Arial Unicode MS" w:eastAsia="Arial Unicode MS" w:hAnsi="Arial Unicode MS"/>
          <w:rtl w:val="0"/>
        </w:rPr>
        <w:t xml:space="preserve">                rec.acs_id ← acs.acs_id</w:t>
      </w:r>
    </w:p>
    <w:p w:rsidR="00000000" w:rsidDel="00000000" w:rsidP="00000000" w:rsidRDefault="00000000" w:rsidRPr="00000000" ns1:paraId="00000233">
      <w:pPr>
        <w:rPr/>
      </w:pPr>
      <w:r w:rsidDel="00000000" w:rsidR="00000000" w:rsidRPr="00000000">
        <w:rPr>
          <w:rFonts w:ascii="Arial Unicode MS" w:cs="Arial Unicode MS" w:eastAsia="Arial Unicode MS" w:hAnsi="Arial Unicode MS"/>
          <w:rtl w:val="0"/>
        </w:rPr>
        <w:t xml:space="preserve">                P ← P ∪ {rec}</w:t>
      </w:r>
    </w:p>
    <w:p w:rsidR="00000000" w:rsidDel="00000000" w:rsidP="00000000" w:rsidRDefault="00000000" w:rsidRPr="00000000" ns1:paraId="00000234">
      <w:pPr>
        <w:rPr/>
      </w:pPr>
      <w:r w:rsidDel="00000000" w:rsidR="00000000" w:rsidRPr="00000000">
        <w:rPr>
          <w:rFonts w:ascii="Arial Unicode MS" w:cs="Arial Unicode MS" w:eastAsia="Arial Unicode MS" w:hAnsi="Arial Unicode MS"/>
          <w:rtl w:val="0"/>
        </w:rPr>
        <w:t xml:space="preserve">                G[rec.id] ← (gate, gate_source)</w:t>
      </w:r>
    </w:p>
    <w:p w:rsidR="00000000" w:rsidDel="00000000" w:rsidP="00000000" w:rsidRDefault="00000000" w:rsidRPr="00000000" ns1:paraId="00000235">
      <w:pPr>
        <w:rPr/>
      </w:pPr>
      <w:r w:rsidDel="00000000" w:rsidR="00000000" w:rsidRPr="00000000">
        <w:rPr>
          <w:rFonts w:ascii="Arial Unicode MS" w:cs="Arial Unicode MS" w:eastAsia="Arial Unicode MS" w:hAnsi="Arial Unicode MS"/>
          <w:rtl w:val="0"/>
        </w:rPr>
        <w:t xml:space="preserve">                E[rec.id] ← acs.escalation</w:t>
      </w:r>
    </w:p>
    <w:p w:rsidR="00000000" w:rsidDel="00000000" w:rsidP="00000000" w:rsidRDefault="00000000" w:rsidRPr="00000000" ns1:paraId="00000236">
      <w:pPr>
        <w:rPr/>
      </w:pPr>
      <w:r w:rsidDel="00000000" w:rsidR="00000000" w:rsidRPr="00000000">
        <w:rPr>
          <w:rtl w:val="0"/>
        </w:rPr>
      </w:r>
    </w:p>
    <w:p w:rsidR="00000000" w:rsidDel="00000000" w:rsidP="00000000" w:rsidRDefault="00000000" w:rsidRPr="00000000" ns1:paraId="00000237">
      <w:pPr>
        <w:rPr/>
      </w:pPr>
      <w:r w:rsidDel="00000000" w:rsidR="00000000" w:rsidRPr="00000000">
        <w:rPr>
          <w:rtl w:val="0"/>
        </w:rPr>
        <w:t xml:space="preserve">    for inv in canonical_order(INV):</w:t>
      </w:r>
    </w:p>
    <w:p w:rsidR="00000000" w:rsidDel="00000000" w:rsidP="00000000" w:rsidRDefault="00000000" w:rsidRPr="00000000" ns1:paraId="00000238">
      <w:pPr>
        <w:rPr/>
      </w:pPr>
      <w:r w:rsidDel="00000000" w:rsidR="00000000" w:rsidRPr="00000000">
        <w:rPr>
          <w:rFonts w:ascii="Arial Unicode MS" w:cs="Arial Unicode MS" w:eastAsia="Arial Unicode MS" w:hAnsi="Arial Unicode MS"/>
          <w:rtl w:val="0"/>
        </w:rPr>
        <w:t xml:space="preserve">        rec ← instantiate_invariant(inv, M, S)         # e.g., INV-VERSION, INV-EVIDENCE-COMMIT</w:t>
      </w:r>
    </w:p>
    <w:p w:rsidR="00000000" w:rsidDel="00000000" w:rsidP="00000000" w:rsidRDefault="00000000" w:rsidRPr="00000000" ns1:paraId="00000239">
      <w:pPr>
        <w:rPr/>
      </w:pPr>
      <w:r w:rsidDel="00000000" w:rsidR="00000000" w:rsidRPr="00000000">
        <w:rPr>
          <w:rFonts w:ascii="Arial Unicode MS" w:cs="Arial Unicode MS" w:eastAsia="Arial Unicode MS" w:hAnsi="Arial Unicode MS"/>
          <w:rtl w:val="0"/>
        </w:rPr>
        <w:t xml:space="preserve">        rec.origin_type ← compiler_invariant</w:t>
      </w:r>
    </w:p>
    <w:p w:rsidR="00000000" w:rsidDel="00000000" w:rsidP="00000000" w:rsidRDefault="00000000" w:rsidRPr="00000000" ns1:paraId="0000023A">
      <w:pPr>
        <w:rPr/>
      </w:pPr>
      <w:r w:rsidDel="00000000" w:rsidR="00000000" w:rsidRPr="00000000">
        <w:rPr>
          <w:rFonts w:ascii="Arial Unicode MS" w:cs="Arial Unicode MS" w:eastAsia="Arial Unicode MS" w:hAnsi="Arial Unicode MS"/>
          <w:rtl w:val="0"/>
        </w:rPr>
        <w:t xml:space="preserve">        rec.origin_id ← inv.invariant_id</w:t>
      </w:r>
    </w:p>
    <w:p w:rsidR="00000000" w:rsidDel="00000000" w:rsidP="00000000" w:rsidRDefault="00000000" w:rsidRPr="00000000" ns1:paraId="0000023B">
      <w:pPr>
        <w:rPr/>
      </w:pPr>
      <w:r w:rsidDel="00000000" w:rsidR="00000000" w:rsidRPr="00000000">
        <w:rPr>
          <w:rFonts w:ascii="Arial Unicode MS" w:cs="Arial Unicode MS" w:eastAsia="Arial Unicode MS" w:hAnsi="Arial Unicode MS"/>
          <w:rtl w:val="0"/>
        </w:rPr>
        <w:t xml:space="preserve">        P ← P ∪ {rec}</w:t>
      </w:r>
    </w:p>
    <w:p w:rsidR="00000000" w:rsidDel="00000000" w:rsidP="00000000" w:rsidRDefault="00000000" w:rsidRPr="00000000" ns1:paraId="0000023C">
      <w:pPr>
        <w:rPr/>
      </w:pPr>
      <w:r w:rsidDel="00000000" w:rsidR="00000000" w:rsidRPr="00000000">
        <w:rPr>
          <w:rFonts w:ascii="Arial Unicode MS" w:cs="Arial Unicode MS" w:eastAsia="Arial Unicode MS" w:hAnsi="Arial Unicode MS"/>
          <w:rtl w:val="0"/>
        </w:rPr>
        <w:t xml:space="preserve">        G[rec.id] ← (mandatory, OTHER_MANDATORY)</w:t>
      </w:r>
    </w:p>
    <w:p w:rsidR="00000000" w:rsidDel="00000000" w:rsidP="00000000" w:rsidRDefault="00000000" w:rsidRPr="00000000" ns1:paraId="0000023D">
      <w:pPr>
        <w:rPr/>
      </w:pPr>
      <w:r w:rsidDel="00000000" w:rsidR="00000000" w:rsidRPr="00000000">
        <w:rPr>
          <w:rFonts w:ascii="Arial Unicode MS" w:cs="Arial Unicode MS" w:eastAsia="Arial Unicode MS" w:hAnsi="Arial Unicode MS"/>
          <w:rtl w:val="0"/>
        </w:rPr>
        <w:t xml:space="preserve">        E[rec.id] ← inv.escalation</w:t>
      </w:r>
    </w:p>
    <w:p w:rsidR="00000000" w:rsidDel="00000000" w:rsidP="00000000" w:rsidRDefault="00000000" w:rsidRPr="00000000" ns1:paraId="0000023E">
      <w:pPr>
        <w:rPr/>
      </w:pPr>
      <w:r w:rsidDel="00000000" w:rsidR="00000000" w:rsidRPr="00000000">
        <w:rPr>
          <w:rtl w:val="0"/>
        </w:rPr>
      </w:r>
    </w:p>
    <w:p w:rsidR="00000000" w:rsidDel="00000000" w:rsidP="00000000" w:rsidRDefault="00000000" w:rsidRPr="00000000" ns1:paraId="0000023F">
      <w:pPr>
        <w:rPr/>
      </w:pPr>
      <w:r w:rsidDel="00000000" w:rsidR="00000000" w:rsidRPr="00000000">
        <w:rPr>
          <w:rtl w:val="0"/>
        </w:rPr>
        <w:t xml:space="preserve">    assert exactly_one_disposition_per_risk(R, Δ)</w:t>
      </w:r>
    </w:p>
    <w:p w:rsidR="00000000" w:rsidDel="00000000" w:rsidP="00000000" w:rsidRDefault="00000000" w:rsidRPr="00000000" ns1:paraId="00000240">
      <w:pPr>
        <w:rPr/>
      </w:pPr>
      <w:r w:rsidDel="00000000" w:rsidR="00000000" w:rsidRPr="00000000">
        <w:rPr>
          <w:rtl w:val="0"/>
        </w:rPr>
        <w:t xml:space="preserve">    assert all_predicates_have_authorized_origin(P, R, INV)</w:t>
      </w:r>
    </w:p>
    <w:p w:rsidR="00000000" w:rsidDel="00000000" w:rsidP="00000000" w:rsidRDefault="00000000" w:rsidRPr="00000000" ns1:paraId="00000241">
      <w:pPr>
        <w:rPr/>
      </w:pPr>
      <w:r w:rsidDel="00000000" w:rsidR="00000000" w:rsidRPr="00000000">
        <w:rPr>
          <w:rtl w:val="0"/>
        </w:rPr>
        <w:t xml:space="preserve">    assert all_action_tuples_are_authorized(P, S)</w:t>
      </w:r>
    </w:p>
    <w:p w:rsidR="00000000" w:rsidDel="00000000" w:rsidP="00000000" w:rsidRDefault="00000000" w:rsidRPr="00000000" ns1:paraId="00000242">
      <w:pPr>
        <w:rPr/>
      </w:pPr>
      <w:r w:rsidDel="00000000" w:rsidR="00000000" w:rsidRPr="00000000">
        <w:rPr>
          <w:rtl w:val="0"/>
        </w:rPr>
        <w:t xml:space="preserve">    assert no_mandatory_unknown_warns(P)</w:t>
      </w:r>
    </w:p>
    <w:p w:rsidR="00000000" w:rsidDel="00000000" w:rsidP="00000000" w:rsidRDefault="00000000" w:rsidRPr="00000000" ns1:paraId="00000243">
      <w:pPr>
        <w:rPr/>
      </w:pPr>
      <w:r w:rsidDel="00000000" w:rsidR="00000000" w:rsidRPr="00000000">
        <w:rPr>
          <w:rtl w:val="0"/>
        </w:rPr>
        <w:t xml:space="preserve">    assert c_star_coverage_satisfied(R, A, C_star, P, G)</w:t>
      </w:r>
    </w:p>
    <w:p w:rsidR="00000000" w:rsidDel="00000000" w:rsidP="00000000" w:rsidRDefault="00000000" w:rsidRPr="00000000" ns1:paraId="00000244">
      <w:pPr>
        <w:rPr/>
      </w:pPr>
      <w:r w:rsidDel="00000000" w:rsidR="00000000" w:rsidRPr="00000000">
        <w:rPr>
          <w:rFonts w:ascii="Arial Unicode MS" w:cs="Arial Unicode MS" w:eastAsia="Arial Unicode MS" w:hAnsi="Arial Unicode MS"/>
          <w:rtl w:val="0"/>
        </w:rPr>
        <w:t xml:space="preserve">        # CV: each C* risk's authorized hazardous action paths carry ≥1 mandatory gate</w:t>
      </w:r>
    </w:p>
    <w:p w:rsidR="00000000" w:rsidDel="00000000" w:rsidP="00000000" w:rsidRDefault="00000000" w:rsidRPr="00000000" ns1:paraId="00000245">
      <w:pPr>
        <w:rPr/>
      </w:pPr>
      <w:r w:rsidDel="00000000" w:rsidR="00000000" w:rsidRPr="00000000">
        <w:rPr>
          <w:rtl w:val="0"/>
        </w:rPr>
      </w:r>
    </w:p>
    <w:p w:rsidR="00000000" w:rsidDel="00000000" w:rsidP="00000000" w:rsidRDefault="00000000" w:rsidRPr="00000000" ns1:paraId="00000246">
      <w:pPr>
        <w:rPr/>
      </w:pPr>
      <w:r w:rsidDel="00000000" w:rsidR="00000000" w:rsidRPr="00000000">
        <w:rPr>
          <w:rFonts w:ascii="Arial Unicode MS" w:cs="Arial Unicode MS" w:eastAsia="Arial Unicode MS" w:hAnsi="Arial Unicode MS"/>
          <w:rtl w:val="0"/>
        </w:rPr>
        <w:t xml:space="preserve">    CM ← coverage_matrix(O, R, Δ, D, INV, P)</w:t>
      </w:r>
    </w:p>
    <w:p w:rsidR="00000000" w:rsidDel="00000000" w:rsidP="00000000" w:rsidRDefault="00000000" w:rsidRPr="00000000" ns1:paraId="00000247">
      <w:pPr>
        <w:rPr/>
      </w:pPr>
      <w:r w:rsidDel="00000000" w:rsidR="00000000" w:rsidRPr="00000000">
        <w:rPr>
          <w:rFonts w:ascii="Arial Unicode MS" w:cs="Arial Unicode MS" w:eastAsia="Arial Unicode MS" w:hAnsi="Arial Unicode MS"/>
          <w:rtl w:val="0"/>
        </w:rPr>
        <w:t xml:space="preserve">    payload ← RFC8785_canonicalize(M.version_binding, K.version, C_star.version,</w:t>
      </w:r>
    </w:p>
    <w:p w:rsidR="00000000" w:rsidDel="00000000" w:rsidP="00000000" w:rsidRDefault="00000000" w:rsidRPr="00000000" ns1:paraId="00000248">
      <w:pPr>
        <w:rPr/>
      </w:pPr>
      <w:r w:rsidDel="00000000" w:rsidR="00000000" w:rsidRPr="00000000">
        <w:rPr>
          <w:rtl w:val="0"/>
        </w:rPr>
        <w:t xml:space="preserve">                                   Δ, P, G, E, CM)</w:t>
      </w:r>
    </w:p>
    <w:p w:rsidR="00000000" w:rsidDel="00000000" w:rsidP="00000000" w:rsidRDefault="00000000" w:rsidRPr="00000000" ns1:paraId="00000249">
      <w:pPr>
        <w:rPr/>
      </w:pPr>
      <w:r w:rsidDel="00000000" w:rsidR="00000000" w:rsidRPr="00000000">
        <w:rPr>
          <w:rtl w:val="0"/>
        </w:rPr>
        <w:t xml:space="preserve">        # canonical key ordering; deterministic array order; explicit numerics/units;</w:t>
      </w:r>
    </w:p>
    <w:p w:rsidR="00000000" w:rsidDel="00000000" w:rsidP="00000000" w:rsidRDefault="00000000" w:rsidRPr="00000000" ns1:paraId="0000024A">
      <w:pPr>
        <w:rPr/>
      </w:pPr>
      <w:r w:rsidDel="00000000" w:rsidR="00000000" w:rsidRPr="00000000">
        <w:rPr>
          <w:rtl w:val="0"/>
        </w:rPr>
        <w:t xml:space="preserve">        # no timestamp, nonce, or mutable lifecycle field inside payload —</w:t>
      </w:r>
    </w:p>
    <w:p w:rsidR="00000000" w:rsidDel="00000000" w:rsidP="00000000" w:rsidRDefault="00000000" w:rsidRPr="00000000" ns1:paraId="0000024B">
      <w:pPr>
        <w:rPr/>
      </w:pPr>
      <w:r w:rsidDel="00000000" w:rsidR="00000000" w:rsidRPr="00000000">
        <w:rPr>
          <w:rtl w:val="0"/>
        </w:rPr>
        <w:t xml:space="preserve">        # retirement/supersession live in the separately signed registry REG (Section VI-F)</w:t>
      </w:r>
    </w:p>
    <w:p w:rsidR="00000000" w:rsidDel="00000000" w:rsidP="00000000" w:rsidRDefault="00000000" w:rsidRPr="00000000" ns1:paraId="0000024C">
      <w:pPr>
        <w:rPr/>
      </w:pPr>
      <w:r w:rsidDel="00000000" w:rsidR="00000000" w:rsidRPr="00000000">
        <w:rPr>
          <w:rFonts w:ascii="Arial Unicode MS" w:cs="Arial Unicode MS" w:eastAsia="Arial Unicode MS" w:hAnsi="Arial Unicode MS"/>
          <w:rtl w:val="0"/>
        </w:rPr>
        <w:t xml:space="preserve">    h ← SHA256(payload)</w:t>
      </w:r>
    </w:p>
    <w:p w:rsidR="00000000" w:rsidDel="00000000" w:rsidP="00000000" w:rsidRDefault="00000000" w:rsidRPr="00000000" ns1:paraId="0000024D">
      <w:pPr>
        <w:rPr/>
      </w:pPr>
      <w:r w:rsidDel="00000000" w:rsidR="00000000" w:rsidRPr="00000000">
        <w:rPr>
          <w:rFonts w:ascii="Arial Unicode MS" w:cs="Arial Unicode MS" w:eastAsia="Arial Unicode MS" w:hAnsi="Arial Unicode MS"/>
          <w:rtl w:val="0"/>
        </w:rPr>
        <w:t xml:space="preserve">    envelope ← sign_hash(h, signer_key_id = governance_forum_key_id,</w:t>
      </w:r>
    </w:p>
    <w:p w:rsidR="00000000" w:rsidDel="00000000" w:rsidP="00000000" w:rsidRDefault="00000000" w:rsidRPr="00000000" ns1:paraId="0000024E">
      <w:pPr>
        <w:rPr/>
      </w:pPr>
      <w:r w:rsidDel="00000000" w:rsidR="00000000" w:rsidRPr="00000000">
        <w:rPr>
          <w:rtl w:val="0"/>
        </w:rPr>
        <w:t xml:space="preserve">                         signing_time = trusted_time())</w:t>
      </w:r>
    </w:p>
    <w:p w:rsidR="00000000" w:rsidDel="00000000" w:rsidP="00000000" w:rsidRDefault="00000000" w:rsidRPr="00000000" ns1:paraId="0000024F">
      <w:pPr>
        <w:rPr/>
      </w:pPr>
      <w:r w:rsidDel="00000000" w:rsidR="00000000" w:rsidRPr="00000000">
        <w:rPr>
          <w:rtl w:val="0"/>
        </w:rPr>
        <w:t xml:space="preserve">        # signing time lives in the envelope, outside the hashed payload</w:t>
      </w:r>
    </w:p>
    <w:p w:rsidR="00000000" w:rsidDel="00000000" w:rsidP="00000000" w:rsidRDefault="00000000" w:rsidRPr="00000000" ns1:paraId="00000250">
      <w:pPr>
        <w:rPr/>
      </w:pPr>
      <w:r w:rsidDel="00000000" w:rsidR="00000000" w:rsidRPr="00000000">
        <w:rPr>
          <w:rtl w:val="0"/>
        </w:rPr>
        <w:t xml:space="preserve">    return Bundle(payload, h, envelope)                # immutable after signing</w:t>
      </w:r>
    </w:p>
    <w:p w:rsidR="00000000" w:rsidDel="00000000" w:rsidP="00000000" w:rsidRDefault="00000000" w:rsidRPr="00000000" ns1:paraId="00000251">
      <w:pPr>
        <w:rPr/>
      </w:pPr>
      <w:r w:rsidDel="00000000" w:rsidR="00000000" w:rsidRPr="00000000">
        <w:rPr>
          <w:rtl w:val="0"/>
        </w:rPr>
      </w:r>
    </w:p>
    <w:p w:rsidR="00000000" w:rsidDel="00000000" w:rsidP="00000000" w:rsidRDefault="00000000" w:rsidRPr="00000000" ns1:paraId="00000252">
      <w:pPr>
        <w:spacing w:after="240" w:before="240" w:lineRule="auto"/>
        <w:rPr/>
      </w:pPr>
      <w:r w:rsidDel="00000000" w:rsidR="00000000" w:rsidRPr="00000000">
        <w:rPr>
          <w:rtl w:val="0"/>
        </w:rPr>
        <w:t xml:space="preserve">Determinism argument: every source of nondeterminism is closed — iteration order (canonical sort), serialization (RFC 8785), encoding (fixed UTF-8), time (excluded from payload), lifecycle state (external registry), matching (exact lookup only), randomness (none). TD (Section XI) is therefore a </w:t>
      </w:r>
      <w:r w:rsidDel="00000000" w:rsidR="00000000" w:rsidRPr="00000000">
        <w:rPr>
          <w:i w:val="1"/>
          <w:iCs w:val="1"/>
          <w:rtl w:val="0"/>
        </w:rPr>
        <w:t xml:space="preserve">check</w:t>
      </w:r>
      <w:r w:rsidDel="00000000" w:rsidR="00000000" w:rsidRPr="00000000">
        <w:rPr>
          <w:rtl w:val="0"/>
        </w:rPr>
        <w:t xml:space="preserve"> of implementation fidelity to this semantics, not a hope; the adversarial suite (Section XI-H) probes the closure.</w:t>
      </w:r>
    </w:p>
    <w:p w:rsidR="00000000" w:rsidDel="00000000" w:rsidP="00000000" w:rsidRDefault="00000000" w:rsidRPr="00000000" ns1:paraId="0000025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4">
      <w:pPr>
        <w:pStyle w:val="Heading2"/>
        <w:keepNext w:val="0"/>
        <w:keepLines w:val="0"/>
        <w:spacing w:after="80" w:lineRule="auto"/>
        <w:rPr>
          <w:b w:val="1"/>
          <w:bCs w:val="1"/>
          <w:sz w:val="34"/>
          <w:szCs w:val="34"/>
        </w:rPr>
      </w:pPr>
      <w:bookmarkStart w:colFirst="0" w:colLast="0" w:name="_xal609e2yvv8" w:id="55"/>
      <w:bookmarkEnd w:id="55"/>
      <w:r w:rsidDel="00000000" w:rsidR="00000000" w:rsidRPr="00000000">
        <w:rPr>
          <w:b w:val="1"/>
          <w:bCs w:val="1"/>
          <w:sz w:val="34"/>
          <w:szCs w:val="34"/>
          <w:rtl w:val="0"/>
        </w:rPr>
        <w:t xml:space="preserve">APPENDIX C — CASE ARTIFACTS AND REPOSITORY</w:t>
      </w:r>
    </w:p>
    <w:p w:rsidR="00000000" w:rsidDel="00000000" w:rsidP="00000000" w:rsidRDefault="00000000" w:rsidRPr="00000000" ns1:paraId="00000255">
      <w:pPr>
        <w:spacing w:after="240" w:before="240" w:lineRule="auto"/>
        <w:rPr/>
      </w:pPr>
      <w:r w:rsidDel="00000000" w:rsidR="00000000" w:rsidRPr="00000000">
        <w:rPr>
          <w:b w:val="1"/>
          <w:bCs w:val="1"/>
          <w:rtl w:val="0"/>
        </w:rPr>
        <w:t xml:space="preserve">Artifact release.</w:t>
      </w:r>
      <w:r w:rsidDel="00000000" w:rsidR="00000000" w:rsidRPr="00000000">
        <w:rPr>
          <w:rtl w:val="0"/>
        </w:rPr>
        <w:t xml:space="preserve"> Artifacts are released as a hash-pinned tagged release under the author's GitHub organization, following the precedent of the repository of record named in [15], Appendix C — </w:t>
      </w:r>
      <w:r w:rsidDel="00000000" w:rsidR="00000000" w:rsidRPr="00000000">
        <w:rPr>
          <w:b w:val="1"/>
          <w:bCs w:val="1"/>
          <w:rtl w:val="0"/>
        </w:rPr>
        <w:t xml:space="preserve">github.com/AGLakhowal/Gamma-Permit-Package</w:t>
      </w:r>
      <w:r w:rsidDel="00000000" w:rsidR="00000000" w:rsidRPr="00000000">
        <w:rPr>
          <w:rtl w:val="0"/>
        </w:rPr>
        <w:t xml:space="preserve"> — either as a dedicated </w:t>
      </w:r>
      <w:r w:rsidDel="00000000" w:rsidR="00000000" w:rsidRPr="00000000">
        <w:rPr>
          <w:rFonts w:ascii="Roboto Mono" w:cs="Roboto Mono" w:eastAsia="Roboto Mono" w:hAnsi="Roboto Mono"/>
          <w:color w:val="188038"/>
          <w:rtl w:val="0"/>
        </w:rPr>
        <w:t xml:space="preserve">gc-ir/</w:t>
      </w:r>
      <w:r w:rsidDel="00000000" w:rsidR="00000000" w:rsidRPr="00000000">
        <w:rPr>
          <w:rtl w:val="0"/>
        </w:rPr>
        <w:t xml:space="preserve"> release tree within it or as a sibling repository under the same organization, named in the release notes; MIT license for code and schema, per that precedent. The artifact is released at https://github.com/Sukhmangill977/gc-ir-reference, release tag v1.0.0.</w:t>
      </w:r>
      <w:r w:rsidDel="00000000" w:rsidR="00000000" w:rsidRPr="00000000">
        <w:rPr>
          <w:b w:val="1"/>
          <w:bCs w:val="1"/>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The release contains: the GC-IR schema; Ψ_K tooling and the Φ reference implementation; the Control Derivation Catalog; Steps 1–5 serialized inputs, signed judgment records, dispositions, and Approved Control Specifications for Cases A and B; compiled bundles and lifecycle-registry fixtures; coverage and temporal-validity queries; the adjudication instrument; and the preregistration commitment (including the frozen RQ5 protocol). The held-out expert-study register is withheld until study close.</w:t>
      </w:r>
    </w:p>
    <w:p w:rsidR="00000000" w:rsidDel="00000000" w:rsidP="00000000" w:rsidRDefault="00000000" w:rsidRPr="00000000" ns1:paraId="00000256">
      <w:pPr>
        <w:spacing w:after="240" w:before="240" w:lineRule="auto"/>
        <w:rPr/>
      </w:pPr>
      <w:r w:rsidDel="00000000" w:rsidR="00000000" w:rsidRPr="00000000">
        <w:rPr>
          <w:b w:val="1"/>
          <w:bCs w:val="1"/>
          <w:rtl w:val="0"/>
        </w:rPr>
        <w:t xml:space="preserve">Hash manifest structure.</w:t>
      </w:r>
      <w:r w:rsidDel="00000000" w:rsidR="00000000" w:rsidRPr="00000000">
        <w:rPr>
          <w:rtl w:val="0"/>
        </w:rPr>
        <w:t xml:space="preserve"> One </w:t>
      </w:r>
      <w:r w:rsidDel="00000000" w:rsidR="00000000" w:rsidRPr="00000000">
        <w:rPr>
          <w:rFonts w:ascii="Roboto Mono" w:cs="Roboto Mono" w:eastAsia="Roboto Mono" w:hAnsi="Roboto Mono"/>
          <w:color w:val="188038"/>
          <w:rtl w:val="0"/>
        </w:rPr>
        <w:t xml:space="preserve">MANIFEST.sha256</w:t>
      </w:r>
      <w:r w:rsidDel="00000000" w:rsidR="00000000" w:rsidRPr="00000000">
        <w:rPr>
          <w:rFonts w:ascii="Arial Unicode MS" w:cs="Arial Unicode MS" w:eastAsia="Arial Unicode MS" w:hAnsi="Arial Unicode MS"/>
          <w:rtl w:val="0"/>
        </w:rPr>
        <w:t xml:space="preserve"> at release root listing, per file: path, SHA-256, and role ∈ {schema, catalog, psi_tooling, phi_impl, judgment_record_a, judgment_record_b, case_a_input, case_b_input, dispositions_a, dispositions_b, acs_a, acs_b, compiled_bundle_a, compiled_bundle_b, lifecycle_registry, queries, adjudication_instrument, prereg_commitment}. The release tag and manifest hash together constitute the public preregistration commitment referenced in Section XI-I. Reproduction is a single command; the artifact regenerates every reported figure and verifies both case artifacts against committed reference canonical payload hashes.</w:t>
      </w:r>
    </w:p>
    <w:p w:rsidR="00000000" w:rsidDel="00000000" w:rsidP="00000000" w:rsidRDefault="00000000" w:rsidRPr="00000000" ns1:paraId="00000257">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8">
      <w:pPr>
        <w:pStyle w:val="Heading2"/>
        <w:keepNext w:val="0"/>
        <w:keepLines w:val="0"/>
        <w:spacing w:after="80" w:lineRule="auto"/>
        <w:rPr>
          <w:b w:val="1"/>
          <w:bCs w:val="1"/>
          <w:sz w:val="34"/>
          <w:szCs w:val="34"/>
        </w:rPr>
      </w:pPr>
      <w:bookmarkStart w:colFirst="0" w:colLast="0" w:name="_xkief5lppsnh" w:id="56"/>
      <w:bookmarkEnd w:id="56"/>
      <w:r w:rsidDel="00000000" w:rsidR="00000000" w:rsidRPr="00000000">
        <w:rPr>
          <w:b w:val="1"/>
          <w:bCs w:val="1"/>
          <w:sz w:val="34"/>
          <w:szCs w:val="34"/>
          <w:rtl w:val="0"/>
        </w:rPr>
        <w:t xml:space="preserve">REFERENCES</w:t>
      </w:r>
    </w:p>
    <w:p w:rsidR="00000000" w:rsidDel="00000000" w:rsidP="00000000" w:rsidRDefault="00000000" w:rsidRPr="00000000" ns1:paraId="00000259">
      <w:pPr>
        <w:spacing w:after="240" w:before="240" w:lineRule="auto"/>
        <w:rPr/>
      </w:pPr>
      <w:r w:rsidDel="00000000" w:rsidR="00000000" w:rsidRPr="00000000">
        <w:rPr>
          <w:rtl w:val="0"/>
        </w:rPr>
        <w:t xml:space="preserve">[1] NIST, "Artificial Intelligence Risk Management Framework (AI RMF 1.0)," NIST AI 100-1, Jan. 2023. [2] ISO/IEC 42001:2023, Information Technology — Artificial Intelligence — Management System, ISO/IEC, Dec. 2023. [3] ISO 31000:2018, Risk Management — Guidelines, ISO, Feb. 2018. [4] OSFI, Guideline E-23, Model Risk Management, published Sep. 11, 2025 (effective May 1, 2027); OSFI Guideline B-10, Third-Party Risk Management (2023); Guideline B-13, Technology and Cyber Risk Management (2022); Guideline E-21, Operational Risk and Resilience (2024); OSFI, "Generative and Agentic Artificial Intelligence: Implications for Technology, Cyber Security, and Operational Resilience" (bulletin), Jul. 2026. [5] Board of Governors of the Federal Reserve System / OCC, "Supervisory Guidance on Model Risk Management," SR 11-7 / OCC 2011-12, Apr. 4, 2011. [6] CIRO, Investment Dealer and Partially Consolidated Rules, Rule 3600 (Research Reports), esp. ss. 3608–3622. [7] Regulation (EU) 2024/1689 (EU AI Act), Art. 113; GPAI obligations applicable from Aug. 2, 2025; as amended by Regulation (EU) 2026/1744 (Digital Omnibus on AI), in force July 27, 2026, deferring application of the high-risk obligations to Dec. 2, 2027 (Annex III) and Aug. 2, 2028 (Annex I) and leaving the Art. 50 transparency obligations, incl. the Dec. 2, 2026 marking deadline, unchanged. [8] OASIS, "eXtensible Access Control Markup Language (XACML) Version 3.0," OASIS Standard, Jan. 2013; Open Policy Agent, project documentation, Cloud Native Computing Foundation (graduated project), openpolicyagent.org, accessed Sep. 2026. [9] Assurance Case Working Group, "GSN Community Standard Version 3," SCSC-141C, 2021. [10] S. Rose, O. Borchert, S. Mitchell, and S. Connelly, "Zero Trust Architecture," NIST SP 800-207, Aug. 2020. [11] J. P. Anderson, "Computer Security Technology Planning Study," ESD-TR-73-51, USAF Electronic Systems Division, Oct. 1972. [12] IEC 61511:2016, Functional Safety — Safety Instrumented Systems for the Process Industry Sector / ANSI/ISA-84.00.01. [13] NIST, "Trustworthy AI in Critical Infrastructure Profile (TACIP)," Community of Interest discussion draft, version of Aug. 3, 2026. Unpublished, COI-distributed document; cited as a versioned discussion draft (date and SHA-256 recorded in the artifact repository), not as an established NIST publication. Practices 3 and 12; "Strategic Governance &amp; Executive Translation" open design area. [14] SEC, In the Matter of Knight Capital Americas LLC, Admin. Proc. File No. 3-15570, Oct. 16, 2013; Market Access Rule, 17 CFR § 240.15c3-5. [15] A. Gill, "Deterministic Runtime Enforcement: The Execution Authority for Autonomous AI Agents" (L-DREA), IEEE Access, 2026, early access, art. no. 11641546. [16] A. Gill-Lakhowal, "The Lakhowal Law of Concurrence," Zenodo, 2026, doi: 10.5281/zenodo.20369438. [17] U.S. Patent Application Publication US 2026/0127298 A1, pub. May 7, 2026. [18] S. H. Jayasundara, N. A. G. Arachchilage, and G. Russello, "SoK: Access Control Policy Generation from High-Level Natural Language Requirements," ACM Computing Surveys, vol. 57, no. 4, 2025 (online 23 Dec. 2024), doi: 10.1145/3706057. [19] M. Narouei, H. Takabi, and R. Nielsen, "Automatic Extraction of Access Control Policies From Natural-Language Documents," IEEE Transactions on Dependable and Secure Computing, vol. 17, no. 3, pp. 506–517, 2020, doi: 10.1109/TDSC.2018.2818708. [20] J. Mavračić, "Policy Cards: Machine-Readable Runtime Governance for Autonomous AI Agents," arXiv:2510.24383, 2025. [21] R. Cilla Ugarte, M. Á. Patricio Guisado, A. Berlanga de Jesús, and J. M. Molina López, "Making AI Compliance Evidence Machine-Readable," arXiv:2604.13767, 2026. [22] A. K. Sharma and J. M. Kunkel, "Ontological Knowledge Blocks: Executable Compliance and Profile-Based Validation for Trustworthy AI Systems," arXiv:2605.23297, 2026. [23] U. Uchibeke, "Before the Tool Call: Deterministic Pre-Action Authorization for Autonomous AI Agents," arXiv:2603.20953, Mar. 2026. [24] A. Rundgren, B. Jordan, and S. Erdtman, "JSON Canonicalization Scheme (JCS)," IETF RFC 8785, Jun. 2020. [25] J. L. Fleiss, "Measuring Nominal Scale Agreement Among Many Raters," Psychological Bulletin, vol. 76, no. 5, pp. 378–382, 1971. [26] K. Krippendorff, Content Analysis: An Introduction to Its Methodology, 4th ed., SAGE, 2018. [27] K. L. Gwet, "Computing Inter-Rater Reliability and Its Variance in the Presence of High Agreement," British Journal of Mathematical and Statistical Psychology, vol. 61, no. 1, pp. 29–48, 2008. [28] C. Koch, "From Governance Norms to Enforceable Controls: A Layered Translation Method for Runtime Guardrails in Agentic AI," arXiv:2604.05229, Apr. 2026. [29] A. Joshi, T. Finin, K. P. Joshi, and L. Kagal, "Deontic Policies for Runtime Governance of Agentic AI Systems," arXiv:2606.19464, Jun. 2026.</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ns1:paraId="0000025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B">
      <w:pPr>
        <w:pStyle w:val="Heading2"/>
        <w:keepNext w:val="0"/>
        <w:keepLines w:val="0"/>
        <w:spacing w:after="80" w:lineRule="auto"/>
        <w:rPr>
          <w:b w:val="1"/>
          <w:bCs w:val="1"/>
          <w:sz w:val="34"/>
          <w:szCs w:val="34"/>
        </w:rPr>
      </w:pPr>
      <w:bookmarkStart w:colFirst="0" w:colLast="0" w:name="_di5rrp2n7x48" w:id="57"/>
      <w:bookmarkEnd w:id="57"/>
      <w:r w:rsidDel="00000000" w:rsidR="00000000" w:rsidRPr="00000000">
        <w:rPr>
          <w:b w:val="1"/>
          <w:bCs w:val="1"/>
          <w:sz w:val="34"/>
          <w:szCs w:val="34"/>
          <w:rtl w:val="0"/>
        </w:rPr>
        <w:t xml:space="preserve">BIOGRAPHY</w:t>
      </w:r>
    </w:p>
    <w:p w:rsidR="00000000" w:rsidDel="00000000" w:rsidP="00000000" w:rsidRDefault="00000000" w:rsidRPr="00000000" ns1:paraId="0000025C">
      <w:pPr>
        <w:spacing w:after="240" w:before="240" w:lineRule="auto"/>
        <w:rPr/>
      </w:pPr>
      <w:r w:rsidDel="00000000" w:rsidR="00000000" w:rsidRPr="00000000">
        <w:rPr>
          <w:b w:val="1"/>
          <w:bCs w:val="1"/>
          <w:rtl w:val="0"/>
        </w:rPr>
        <w:t xml:space="preserve">ABHINANDAN GILL-LAKHOWAL</w:t>
      </w:r>
      <w:r w:rsidDel="00000000" w:rsidR="00000000" w:rsidRPr="00000000">
        <w:rPr>
          <w:rtl w:val="0"/>
        </w:rPr>
        <w:t xml:space="preserve"> (Member, IEEE) received the B.Tech. degree in engineering and the M.Eng. degree from the University of British Columbia, Vancouver, BC, Canada. He has more than ten years of enterprise product-delivery experience across regulated industries, including financial services, aviation, and higher education. He is currently the Principal Advisor of Gillian Holdings Incorporated, Calgary, AB, Canada, and an independent AI governance researcher and strategist. He is the author of the L-DREA deterministic runtime enforcement architecture, its companion concurrence theory, and the published enforcement-mechanism patent application cited herein [15]–[17].</w:t>
      </w:r>
    </w:p>
    <w:p w:rsidR="00000000" w:rsidDel="00000000" w:rsidP="00000000" w:rsidRDefault="00000000" w:rsidRPr="00000000" ns1:paraId="000002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