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766E"/>
          <w:sz w:val="28"/>
        </w:rPr>
        <w:t>Board Memo - Joint SOC 2 + PCI DSS Compliance Programme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3890"/>
      </w:tblGrid>
      <w:tr>
        <w:tc>
          <w:tcPr>
            <w:tcW w:type="dxa" w:w="1417"/>
          </w:tcPr>
          <w:p>
            <w:r>
              <w:rPr>
                <w:b/>
                <w:color w:val="0F766E"/>
                <w:sz w:val="18"/>
              </w:rPr>
              <w:t>TO:</w:t>
            </w:r>
          </w:p>
        </w:tc>
        <w:tc>
          <w:tcPr>
            <w:tcW w:type="dxa" w:w="13890"/>
          </w:tcPr>
          <w:p>
            <w:r>
              <w:rPr>
                <w:color w:val="1E293B"/>
                <w:sz w:val="18"/>
              </w:rPr>
              <w:t>Risk Committee / Audit Committee of the Board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0F766E"/>
                <w:sz w:val="18"/>
              </w:rPr>
              <w:t>FROM:</w:t>
            </w:r>
          </w:p>
        </w:tc>
        <w:tc>
          <w:tcPr>
            <w:tcW w:type="dxa" w:w="13890"/>
          </w:tcPr>
          <w:p>
            <w:r>
              <w:rPr>
                <w:color w:val="1E293B"/>
                <w:sz w:val="18"/>
              </w:rPr>
              <w:t>Chief Information Security Officer (CISO)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0F766E"/>
                <w:sz w:val="18"/>
              </w:rPr>
              <w:t>SUBJECT:</w:t>
            </w:r>
          </w:p>
        </w:tc>
        <w:tc>
          <w:tcPr>
            <w:tcW w:type="dxa" w:w="13890"/>
          </w:tcPr>
          <w:p>
            <w:r>
              <w:rPr>
                <w:color w:val="1E293B"/>
                <w:sz w:val="18"/>
              </w:rPr>
              <w:t>Joint SOC 2 + PCI DSS v4.0 Compliance Programme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0F766E"/>
                <w:sz w:val="18"/>
              </w:rPr>
              <w:t>DATE:</w:t>
            </w:r>
          </w:p>
        </w:tc>
        <w:tc>
          <w:tcPr>
            <w:tcW w:type="dxa" w:w="13890"/>
          </w:tcPr>
          <w:p>
            <w:r>
              <w:rPr>
                <w:color w:val="1E293B"/>
                <w:sz w:val="18"/>
              </w:rPr>
              <w:t>01 July 2026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0F766E"/>
                <w:sz w:val="18"/>
              </w:rPr>
              <w:t>REF:</w:t>
            </w:r>
          </w:p>
        </w:tc>
        <w:tc>
          <w:tcPr>
            <w:tcW w:type="dxa" w:w="13890"/>
          </w:tcPr>
          <w:p>
            <w:r>
              <w:rPr>
                <w:color w:val="1E293B"/>
                <w:sz w:val="18"/>
              </w:rPr>
              <w:t>NBFC/2026/CISO/JOINT-PROG/001</w:t>
            </w:r>
          </w:p>
        </w:tc>
      </w:tr>
    </w:tbl>
    <w:p>
      <w:pPr>
        <w:spacing w:before="80" w:after="20"/>
      </w:pPr>
      <w:r>
        <w:rPr>
          <w:b/>
          <w:color w:val="0F766E"/>
          <w:sz w:val="20"/>
        </w:rPr>
        <w:t>Purpose</w:t>
      </w:r>
    </w:p>
    <w:p>
      <w:pPr>
        <w:spacing w:after="40"/>
      </w:pPr>
      <w:r>
        <w:rPr>
          <w:sz w:val="20"/>
        </w:rPr>
        <w:t>Seek approval to run SOC 2 Type II and PCI DSS Service Provider Level 1 ROC as a single integrated programme. Combined run delivers ~30% lower engineering-hours, ~15-20% lower audit fees, and a unified board reporting cadence. NBFC touches card data AND enterprise customers; running separately doubles work and splits the audit month in two.</w:t>
      </w:r>
    </w:p>
    <w:p>
      <w:pPr>
        <w:spacing w:before="80" w:after="20"/>
      </w:pPr>
      <w:r>
        <w:rPr>
          <w:b/>
          <w:color w:val="0F766E"/>
          <w:sz w:val="20"/>
        </w:rPr>
        <w:t>Recommendation</w:t>
      </w:r>
    </w:p>
    <w:p>
      <w:pPr>
        <w:spacing w:after="40"/>
      </w:pPr>
      <w:r>
        <w:rPr>
          <w:sz w:val="20"/>
        </w:rPr>
        <w:t>Approve the joint programme. Authorise a single SteerCo (CISO + CRO + CFO + CTO), single GRC (Vanta or Drata), single 18-month roadmap, and budget of INR 1.9-3.1 crore for cycle 1. Authorise the CISO to launch by week 4 with vendor selection complete by week 6.</w:t>
      </w:r>
    </w:p>
    <w:p>
      <w:pPr>
        <w:spacing w:before="80" w:after="20"/>
      </w:pPr>
      <w:r>
        <w:rPr>
          <w:b/>
          <w:color w:val="0F766E"/>
          <w:sz w:val="20"/>
        </w:rPr>
        <w:t>Why now</w:t>
      </w:r>
    </w:p>
    <w:p>
      <w:pPr>
        <w:spacing w:after="40"/>
      </w:pPr>
      <w:r>
        <w:rPr>
          <w:sz w:val="20"/>
        </w:rPr>
        <w:t>1) Enterprise customers (banks, B2B SaaS, marketplaces) demand SOC 2 Type II before onboarding - current absence blocks sales. 2) Acquirer / card networks mandate annual PCI ROC for NBFC card data. 3) RBI IT Framework 2023 + DPDP Act 2023 + Tokenisation 2021/2023 layer regulatory weight. Two parallel programmes double engineering load; one halves it.</w:t>
      </w:r>
    </w:p>
    <w:p>
      <w:pPr>
        <w:spacing w:before="80" w:after="20"/>
      </w:pPr>
      <w:r>
        <w:rPr>
          <w:b/>
          <w:color w:val="0F766E"/>
          <w:sz w:val="20"/>
        </w:rPr>
        <w:t>Quantified wins (joint vs separate)</w:t>
      </w:r>
    </w:p>
    <w:p>
      <w:pPr>
        <w:spacing w:after="40"/>
      </w:pPr>
      <w:r>
        <w:rPr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69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3402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Separate run</w:t>
            </w:r>
          </w:p>
        </w:tc>
        <w:tc>
          <w:tcPr>
            <w:tcW w:type="dxa" w:w="3402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Joint run</w:t>
            </w:r>
          </w:p>
        </w:tc>
        <w:tc>
          <w:tcPr>
            <w:tcW w:type="dxa" w:w="4365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Delta</w:t>
            </w:r>
          </w:p>
        </w:tc>
      </w:tr>
      <w:tr>
        <w:tc>
          <w:tcPr>
            <w:tcW w:type="dxa" w:w="3969"/>
          </w:tcPr>
          <w:p>
            <w:r>
              <w:rPr>
                <w:color w:val="1E293B"/>
                <w:sz w:val="17"/>
              </w:rPr>
              <w:t>Engineering FTE-hours / qtr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1,400-1,800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950-1,200</w:t>
            </w:r>
          </w:p>
        </w:tc>
        <w:tc>
          <w:tcPr>
            <w:tcW w:type="dxa" w:w="4365"/>
          </w:tcPr>
          <w:p>
            <w:r>
              <w:rPr>
                <w:color w:val="1E293B"/>
                <w:sz w:val="17"/>
              </w:rPr>
              <w:t>-30%</w:t>
            </w:r>
          </w:p>
        </w:tc>
      </w:tr>
      <w:tr>
        <w:tc>
          <w:tcPr>
            <w:tcW w:type="dxa" w:w="3969"/>
          </w:tcPr>
          <w:p>
            <w:r>
              <w:rPr>
                <w:color w:val="1E293B"/>
                <w:sz w:val="17"/>
              </w:rPr>
              <w:t>Annual audit fees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INR 1.8-3.0 cr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INR 1.5-2.4 cr</w:t>
            </w:r>
          </w:p>
        </w:tc>
        <w:tc>
          <w:tcPr>
            <w:tcW w:type="dxa" w:w="4365"/>
          </w:tcPr>
          <w:p>
            <w:r>
              <w:rPr>
                <w:color w:val="1E293B"/>
                <w:sz w:val="17"/>
              </w:rPr>
              <w:t>-15 to -20%</w:t>
            </w:r>
          </w:p>
        </w:tc>
      </w:tr>
      <w:tr>
        <w:tc>
          <w:tcPr>
            <w:tcW w:type="dxa" w:w="3969"/>
          </w:tcPr>
          <w:p>
            <w:r>
              <w:rPr>
                <w:color w:val="1E293B"/>
                <w:sz w:val="17"/>
              </w:rPr>
              <w:t>Audit findings at first cycle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12-15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7-9</w:t>
            </w:r>
          </w:p>
        </w:tc>
        <w:tc>
          <w:tcPr>
            <w:tcW w:type="dxa" w:w="4365"/>
          </w:tcPr>
          <w:p>
            <w:r>
              <w:rPr>
                <w:color w:val="1E293B"/>
                <w:sz w:val="17"/>
              </w:rPr>
              <w:t>-40%</w:t>
            </w:r>
          </w:p>
        </w:tc>
      </w:tr>
      <w:tr>
        <w:tc>
          <w:tcPr>
            <w:tcW w:type="dxa" w:w="3969"/>
          </w:tcPr>
          <w:p>
            <w:r>
              <w:rPr>
                <w:color w:val="1E293B"/>
                <w:sz w:val="17"/>
              </w:rPr>
              <w:t>SOC 2 + PCI delivery days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270 days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210 days</w:t>
            </w:r>
          </w:p>
        </w:tc>
        <w:tc>
          <w:tcPr>
            <w:tcW w:type="dxa" w:w="4365"/>
          </w:tcPr>
          <w:p>
            <w:r>
              <w:rPr>
                <w:color w:val="1E293B"/>
                <w:sz w:val="17"/>
              </w:rPr>
              <w:t>-22%</w:t>
            </w:r>
          </w:p>
        </w:tc>
      </w:tr>
      <w:tr>
        <w:tc>
          <w:tcPr>
            <w:tcW w:type="dxa" w:w="3969"/>
          </w:tcPr>
          <w:p>
            <w:r>
              <w:rPr>
                <w:color w:val="1E293B"/>
                <w:sz w:val="17"/>
              </w:rPr>
              <w:t>Enterprise sales cycle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120 days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75 days</w:t>
            </w:r>
          </w:p>
        </w:tc>
        <w:tc>
          <w:tcPr>
            <w:tcW w:type="dxa" w:w="4365"/>
          </w:tcPr>
          <w:p>
            <w:r>
              <w:rPr>
                <w:color w:val="1E293B"/>
                <w:sz w:val="17"/>
              </w:rPr>
              <w:t>-37%</w:t>
            </w:r>
          </w:p>
        </w:tc>
      </w:tr>
      <w:tr>
        <w:tc>
          <w:tcPr>
            <w:tcW w:type="dxa" w:w="3969"/>
          </w:tcPr>
          <w:p>
            <w:r>
              <w:rPr>
                <w:color w:val="1E293B"/>
                <w:sz w:val="17"/>
              </w:rPr>
              <w:t>Compliance dashboards BAU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5-7</w:t>
            </w:r>
          </w:p>
        </w:tc>
        <w:tc>
          <w:tcPr>
            <w:tcW w:type="dxa" w:w="3402"/>
          </w:tcPr>
          <w:p>
            <w:r>
              <w:rPr>
                <w:color w:val="1E293B"/>
                <w:sz w:val="17"/>
              </w:rPr>
              <w:t>1 unified cockpit</w:t>
            </w:r>
          </w:p>
        </w:tc>
        <w:tc>
          <w:tcPr>
            <w:tcW w:type="dxa" w:w="4365"/>
          </w:tcPr>
          <w:p>
            <w:r>
              <w:rPr>
                <w:color w:val="1E293B"/>
                <w:sz w:val="17"/>
              </w:rPr>
              <w:t>Single source</w:t>
            </w:r>
          </w:p>
        </w:tc>
      </w:tr>
    </w:tbl>
    <w:p>
      <w:pPr>
        <w:spacing w:before="80" w:after="20"/>
      </w:pPr>
      <w:r>
        <w:rPr>
          <w:b/>
          <w:color w:val="0F766E"/>
          <w:sz w:val="20"/>
        </w:rPr>
        <w:t>Risk Committee ask - six decisions</w:t>
      </w:r>
    </w:p>
    <w:p>
      <w:pPr>
        <w:spacing w:after="40"/>
      </w:pPr>
      <w:r>
        <w:rPr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1474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7257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Detail</w:t>
            </w:r>
          </w:p>
        </w:tc>
        <w:tc>
          <w:tcPr>
            <w:tcW w:type="dxa" w:w="1984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type="dxa" w:w="4422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474"/>
          </w:tcPr>
          <w:p>
            <w:r>
              <w:rPr>
                <w:color w:val="1E293B"/>
                <w:sz w:val="17"/>
              </w:rPr>
              <w:t>Approve</w:t>
            </w:r>
          </w:p>
        </w:tc>
        <w:tc>
          <w:tcPr>
            <w:tcW w:type="dxa" w:w="7257"/>
          </w:tcPr>
          <w:p>
            <w:r>
              <w:rPr>
                <w:color w:val="1E293B"/>
                <w:sz w:val="17"/>
              </w:rPr>
              <w:t>Joint SOC 2 + PCI DSS programme structure + 18-month roadmap</w:t>
            </w:r>
          </w:p>
        </w:tc>
        <w:tc>
          <w:tcPr>
            <w:tcW w:type="dxa" w:w="1984"/>
          </w:tcPr>
          <w:p>
            <w:r>
              <w:rPr>
                <w:color w:val="1E293B"/>
                <w:sz w:val="17"/>
              </w:rPr>
              <w:t>Today</w:t>
            </w:r>
          </w:p>
        </w:tc>
        <w:tc>
          <w:tcPr>
            <w:tcW w:type="dxa" w:w="4422"/>
          </w:tcPr>
          <w:p>
            <w:r>
              <w:rPr>
                <w:color w:val="1E293B"/>
                <w:sz w:val="17"/>
              </w:rPr>
              <w:t>Risk Committee</w:t>
            </w:r>
          </w:p>
        </w:tc>
      </w:tr>
      <w:tr>
        <w:tc>
          <w:tcPr>
            <w:tcW w:type="dxa" w:w="1474"/>
          </w:tcPr>
          <w:p>
            <w:r>
              <w:rPr>
                <w:color w:val="1E293B"/>
                <w:sz w:val="17"/>
              </w:rPr>
              <w:t>Authorise</w:t>
            </w:r>
          </w:p>
        </w:tc>
        <w:tc>
          <w:tcPr>
            <w:tcW w:type="dxa" w:w="7257"/>
          </w:tcPr>
          <w:p>
            <w:r>
              <w:rPr>
                <w:color w:val="1E293B"/>
                <w:sz w:val="17"/>
              </w:rPr>
              <w:t>INR 1.9-3.1 crore total cycle 1 budget</w:t>
            </w:r>
          </w:p>
        </w:tc>
        <w:tc>
          <w:tcPr>
            <w:tcW w:type="dxa" w:w="1984"/>
          </w:tcPr>
          <w:p>
            <w:r>
              <w:rPr>
                <w:color w:val="1E293B"/>
                <w:sz w:val="17"/>
              </w:rPr>
              <w:t>Today</w:t>
            </w:r>
          </w:p>
        </w:tc>
        <w:tc>
          <w:tcPr>
            <w:tcW w:type="dxa" w:w="4422"/>
          </w:tcPr>
          <w:p>
            <w:r>
              <w:rPr>
                <w:color w:val="1E293B"/>
                <w:sz w:val="17"/>
              </w:rPr>
              <w:t>Risk Committee</w:t>
            </w:r>
          </w:p>
        </w:tc>
      </w:tr>
      <w:tr>
        <w:tc>
          <w:tcPr>
            <w:tcW w:type="dxa" w:w="1474"/>
          </w:tcPr>
          <w:p>
            <w:r>
              <w:rPr>
                <w:color w:val="1E293B"/>
                <w:sz w:val="17"/>
              </w:rPr>
              <w:t>Charter</w:t>
            </w:r>
          </w:p>
        </w:tc>
        <w:tc>
          <w:tcPr>
            <w:tcW w:type="dxa" w:w="7257"/>
          </w:tcPr>
          <w:p>
            <w:r>
              <w:rPr>
                <w:color w:val="1E293B"/>
                <w:sz w:val="17"/>
              </w:rPr>
              <w:t>Combined SteerCo chaired by CRO; CISO leads delivery</w:t>
            </w:r>
          </w:p>
        </w:tc>
        <w:tc>
          <w:tcPr>
            <w:tcW w:type="dxa" w:w="1984"/>
          </w:tcPr>
          <w:p>
            <w:r>
              <w:rPr>
                <w:color w:val="1E293B"/>
                <w:sz w:val="17"/>
              </w:rPr>
              <w:t>Week 2</w:t>
            </w:r>
          </w:p>
        </w:tc>
        <w:tc>
          <w:tcPr>
            <w:tcW w:type="dxa" w:w="4422"/>
          </w:tcPr>
          <w:p>
            <w:r>
              <w:rPr>
                <w:color w:val="1E293B"/>
                <w:sz w:val="17"/>
              </w:rPr>
              <w:t>CISO + CRO</w:t>
            </w:r>
          </w:p>
        </w:tc>
      </w:tr>
      <w:tr>
        <w:tc>
          <w:tcPr>
            <w:tcW w:type="dxa" w:w="1474"/>
          </w:tcPr>
          <w:p>
            <w:r>
              <w:rPr>
                <w:color w:val="1E293B"/>
                <w:sz w:val="17"/>
              </w:rPr>
              <w:t>Vendor</w:t>
            </w:r>
          </w:p>
        </w:tc>
        <w:tc>
          <w:tcPr>
            <w:tcW w:type="dxa" w:w="7257"/>
          </w:tcPr>
          <w:p>
            <w:r>
              <w:rPr>
                <w:color w:val="1E293B"/>
                <w:sz w:val="17"/>
              </w:rPr>
              <w:t>Select QSA + CPA auditor pair + GRC tool</w:t>
            </w:r>
          </w:p>
        </w:tc>
        <w:tc>
          <w:tcPr>
            <w:tcW w:type="dxa" w:w="1984"/>
          </w:tcPr>
          <w:p>
            <w:r>
              <w:rPr>
                <w:color w:val="1E293B"/>
                <w:sz w:val="17"/>
              </w:rPr>
              <w:t>Week 4</w:t>
            </w:r>
          </w:p>
        </w:tc>
        <w:tc>
          <w:tcPr>
            <w:tcW w:type="dxa" w:w="4422"/>
          </w:tcPr>
          <w:p>
            <w:r>
              <w:rPr>
                <w:color w:val="1E293B"/>
                <w:sz w:val="17"/>
              </w:rPr>
              <w:t>CFO + CISO</w:t>
            </w:r>
          </w:p>
        </w:tc>
      </w:tr>
      <w:tr>
        <w:tc>
          <w:tcPr>
            <w:tcW w:type="dxa" w:w="1474"/>
          </w:tcPr>
          <w:p>
            <w:r>
              <w:rPr>
                <w:color w:val="1E293B"/>
                <w:sz w:val="17"/>
              </w:rPr>
              <w:t>Programme</w:t>
            </w:r>
          </w:p>
        </w:tc>
        <w:tc>
          <w:tcPr>
            <w:tcW w:type="dxa" w:w="7257"/>
          </w:tcPr>
          <w:p>
            <w:r>
              <w:rPr>
                <w:color w:val="1E293B"/>
                <w:sz w:val="17"/>
              </w:rPr>
              <w:t>Mobilise SteerCo + evidence repository + RACI</w:t>
            </w:r>
          </w:p>
        </w:tc>
        <w:tc>
          <w:tcPr>
            <w:tcW w:type="dxa" w:w="1984"/>
          </w:tcPr>
          <w:p>
            <w:r>
              <w:rPr>
                <w:color w:val="1E293B"/>
                <w:sz w:val="17"/>
              </w:rPr>
              <w:t>Week 6</w:t>
            </w:r>
          </w:p>
        </w:tc>
        <w:tc>
          <w:tcPr>
            <w:tcW w:type="dxa" w:w="4422"/>
          </w:tcPr>
          <w:p>
            <w:r>
              <w:rPr>
                <w:color w:val="1E293B"/>
                <w:sz w:val="17"/>
              </w:rPr>
              <w:t>CISO</w:t>
            </w:r>
          </w:p>
        </w:tc>
      </w:tr>
      <w:tr>
        <w:tc>
          <w:tcPr>
            <w:tcW w:type="dxa" w:w="1474"/>
          </w:tcPr>
          <w:p>
            <w:r>
              <w:rPr>
                <w:color w:val="1E293B"/>
                <w:sz w:val="17"/>
              </w:rPr>
              <w:t>Window</w:t>
            </w:r>
          </w:p>
        </w:tc>
        <w:tc>
          <w:tcPr>
            <w:tcW w:type="dxa" w:w="7257"/>
          </w:tcPr>
          <w:p>
            <w:r>
              <w:rPr>
                <w:color w:val="1E293B"/>
                <w:sz w:val="17"/>
              </w:rPr>
              <w:t>Begin first joint observation window</w:t>
            </w:r>
          </w:p>
        </w:tc>
        <w:tc>
          <w:tcPr>
            <w:tcW w:type="dxa" w:w="1984"/>
          </w:tcPr>
          <w:p>
            <w:r>
              <w:rPr>
                <w:color w:val="1E293B"/>
                <w:sz w:val="17"/>
              </w:rPr>
              <w:t>Week 12</w:t>
            </w:r>
          </w:p>
        </w:tc>
        <w:tc>
          <w:tcPr>
            <w:tcW w:type="dxa" w:w="4422"/>
          </w:tcPr>
          <w:p>
            <w:r>
              <w:rPr>
                <w:color w:val="1E293B"/>
                <w:sz w:val="17"/>
              </w:rPr>
              <w:t>CISO</w:t>
            </w:r>
          </w:p>
        </w:tc>
      </w:tr>
    </w:tbl>
    <w:p>
      <w:pPr>
        <w:spacing w:before="80" w:after="20"/>
      </w:pPr>
      <w:r>
        <w:rPr>
          <w:b/>
          <w:color w:val="0F766E"/>
          <w:sz w:val="20"/>
        </w:rPr>
        <w:t>Top four risks and mitigations</w:t>
      </w:r>
    </w:p>
    <w:p>
      <w:pPr>
        <w:spacing w:after="40"/>
      </w:pPr>
      <w:r>
        <w:rPr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118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6520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5499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118"/>
          </w:tcPr>
          <w:p>
            <w:r>
              <w:rPr>
                <w:color w:val="1E293B"/>
                <w:sz w:val="17"/>
              </w:rPr>
              <w:t>Two parallel programmes</w:t>
            </w:r>
          </w:p>
        </w:tc>
        <w:tc>
          <w:tcPr>
            <w:tcW w:type="dxa" w:w="6520"/>
          </w:tcPr>
          <w:p>
            <w:r>
              <w:rPr>
                <w:color w:val="1E293B"/>
                <w:sz w:val="17"/>
              </w:rPr>
              <w:t>Engineering burnout + duplicated controls</w:t>
            </w:r>
          </w:p>
        </w:tc>
        <w:tc>
          <w:tcPr>
            <w:tcW w:type="dxa" w:w="5499"/>
          </w:tcPr>
          <w:p>
            <w:r>
              <w:rPr>
                <w:color w:val="1E293B"/>
                <w:sz w:val="17"/>
              </w:rPr>
              <w:t>Joint SteerCo + shared evidence + shared GRC tool</w:t>
            </w:r>
          </w:p>
        </w:tc>
      </w:tr>
      <w:tr>
        <w:tc>
          <w:tcPr>
            <w:tcW w:type="dxa" w:w="3118"/>
          </w:tcPr>
          <w:p>
            <w:r>
              <w:rPr>
                <w:color w:val="1E293B"/>
                <w:sz w:val="17"/>
              </w:rPr>
              <w:t>Audit date collision</w:t>
            </w:r>
          </w:p>
        </w:tc>
        <w:tc>
          <w:tcPr>
            <w:tcW w:type="dxa" w:w="6520"/>
          </w:tcPr>
          <w:p>
            <w:r>
              <w:rPr>
                <w:color w:val="1E293B"/>
                <w:sz w:val="17"/>
              </w:rPr>
              <w:t>SOC 2 + PCI in same month</w:t>
            </w:r>
          </w:p>
        </w:tc>
        <w:tc>
          <w:tcPr>
            <w:tcW w:type="dxa" w:w="5499"/>
          </w:tcPr>
          <w:p>
            <w:r>
              <w:rPr>
                <w:color w:val="1E293B"/>
                <w:sz w:val="17"/>
              </w:rPr>
              <w:t>Sequential fieldwork; PCI Sep-Oct, SOC 2 Jan-Feb</w:t>
            </w:r>
          </w:p>
        </w:tc>
      </w:tr>
      <w:tr>
        <w:tc>
          <w:tcPr>
            <w:tcW w:type="dxa" w:w="3118"/>
          </w:tcPr>
          <w:p>
            <w:r>
              <w:rPr>
                <w:color w:val="1E293B"/>
                <w:sz w:val="17"/>
              </w:rPr>
              <w:t>Vendor AOC expiry slip</w:t>
            </w:r>
          </w:p>
        </w:tc>
        <w:tc>
          <w:tcPr>
            <w:tcW w:type="dxa" w:w="6520"/>
          </w:tcPr>
          <w:p>
            <w:r>
              <w:rPr>
                <w:color w:val="1E293B"/>
                <w:sz w:val="17"/>
              </w:rPr>
              <w:t>Vendor SOC 2 or PCI AOC expires quietly</w:t>
            </w:r>
          </w:p>
        </w:tc>
        <w:tc>
          <w:tcPr>
            <w:tcW w:type="dxa" w:w="5499"/>
          </w:tcPr>
          <w:p>
            <w:r>
              <w:rPr>
                <w:color w:val="1E293B"/>
                <w:sz w:val="17"/>
              </w:rPr>
              <w:t>Quarterly CISO review + automated calendar alerts</w:t>
            </w:r>
          </w:p>
        </w:tc>
      </w:tr>
      <w:tr>
        <w:tc>
          <w:tcPr>
            <w:tcW w:type="dxa" w:w="3118"/>
          </w:tcPr>
          <w:p>
            <w:r>
              <w:rPr>
                <w:color w:val="1E293B"/>
                <w:sz w:val="17"/>
              </w:rPr>
              <w:t>RBI 2-hour timer</w:t>
            </w:r>
          </w:p>
        </w:tc>
        <w:tc>
          <w:tcPr>
            <w:tcW w:type="dxa" w:w="6520"/>
          </w:tcPr>
          <w:p>
            <w:r>
              <w:rPr>
                <w:color w:val="1E293B"/>
                <w:sz w:val="17"/>
              </w:rPr>
              <w:t>Cyber incident hits the cliff</w:t>
            </w:r>
          </w:p>
        </w:tc>
        <w:tc>
          <w:tcPr>
            <w:tcW w:type="dxa" w:w="5499"/>
          </w:tcPr>
          <w:p>
            <w:r>
              <w:rPr>
                <w:color w:val="1E293B"/>
                <w:sz w:val="17"/>
              </w:rPr>
              <w:t>Quarterly tabletop + parallel clocks playbook</w:t>
            </w:r>
          </w:p>
        </w:tc>
      </w:tr>
    </w:tbl>
    <w:p>
      <w:pPr>
        <w:spacing w:before="80" w:after="20"/>
      </w:pPr>
      <w:r>
        <w:rPr>
          <w:b/>
          <w:color w:val="0F766E"/>
          <w:sz w:val="20"/>
        </w:rPr>
        <w:t>Specific decisions requested</w:t>
      </w:r>
    </w:p>
    <w:p>
      <w:pPr>
        <w:spacing w:after="40"/>
      </w:pPr>
      <w:r>
        <w:rPr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1701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Action verb</w:t>
            </w:r>
          </w:p>
        </w:tc>
        <w:tc>
          <w:tcPr>
            <w:tcW w:type="dxa" w:w="13436"/>
            <w:shd w:val="clear" w:color="auto" w:fill="0F766E"/>
          </w:tcPr>
          <w:p>
            <w:r>
              <w:rPr>
                <w:b/>
                <w:color w:val="FFFFFF"/>
                <w:sz w:val="17"/>
              </w:rPr>
              <w:t>Decision text</w:t>
            </w:r>
          </w:p>
        </w:tc>
      </w:tr>
      <w:tr>
        <w:tc>
          <w:tcPr>
            <w:tcW w:type="dxa" w:w="1701"/>
          </w:tcPr>
          <w:p>
            <w:r>
              <w:rPr>
                <w:color w:val="1E293B"/>
                <w:sz w:val="17"/>
              </w:rPr>
              <w:t>Approve</w:t>
            </w:r>
          </w:p>
        </w:tc>
        <w:tc>
          <w:tcPr>
            <w:tcW w:type="dxa" w:w="13436"/>
          </w:tcPr>
          <w:p>
            <w:r>
              <w:rPr>
                <w:color w:val="1E293B"/>
                <w:sz w:val="17"/>
              </w:rPr>
              <w:t>Joint SOC 2 + PCI DSS programme structure and 18-month roadmap</w:t>
            </w:r>
          </w:p>
        </w:tc>
      </w:tr>
      <w:tr>
        <w:tc>
          <w:tcPr>
            <w:tcW w:type="dxa" w:w="1701"/>
          </w:tcPr>
          <w:p>
            <w:r>
              <w:rPr>
                <w:color w:val="1E293B"/>
                <w:sz w:val="17"/>
              </w:rPr>
              <w:t>Authorise</w:t>
            </w:r>
          </w:p>
        </w:tc>
        <w:tc>
          <w:tcPr>
            <w:tcW w:type="dxa" w:w="13436"/>
          </w:tcPr>
          <w:p>
            <w:r>
              <w:rPr>
                <w:color w:val="1E293B"/>
                <w:sz w:val="17"/>
              </w:rPr>
              <w:t>INR 1.9-3.1 crore cycle 1 budget</w:t>
            </w:r>
          </w:p>
        </w:tc>
      </w:tr>
      <w:tr>
        <w:tc>
          <w:tcPr>
            <w:tcW w:type="dxa" w:w="1701"/>
          </w:tcPr>
          <w:p>
            <w:r>
              <w:rPr>
                <w:color w:val="1E293B"/>
                <w:sz w:val="17"/>
              </w:rPr>
              <w:t>Charter</w:t>
            </w:r>
          </w:p>
        </w:tc>
        <w:tc>
          <w:tcPr>
            <w:tcW w:type="dxa" w:w="13436"/>
          </w:tcPr>
          <w:p>
            <w:r>
              <w:rPr>
                <w:color w:val="1E293B"/>
                <w:sz w:val="17"/>
              </w:rPr>
              <w:t>Combined SteerCo chaired by CRO, CISO-led execution</w:t>
            </w:r>
          </w:p>
        </w:tc>
      </w:tr>
      <w:tr>
        <w:tc>
          <w:tcPr>
            <w:tcW w:type="dxa" w:w="1701"/>
          </w:tcPr>
          <w:p>
            <w:r>
              <w:rPr>
                <w:color w:val="1E293B"/>
                <w:sz w:val="17"/>
              </w:rPr>
              <w:t>Schedule</w:t>
            </w:r>
          </w:p>
        </w:tc>
        <w:tc>
          <w:tcPr>
            <w:tcW w:type="dxa" w:w="13436"/>
          </w:tcPr>
          <w:p>
            <w:r>
              <w:rPr>
                <w:color w:val="1E293B"/>
                <w:sz w:val="17"/>
              </w:rPr>
              <w:t>First joint observation window start by 30 Sep 2026</w:t>
            </w:r>
          </w:p>
        </w:tc>
      </w:tr>
      <w:tr>
        <w:tc>
          <w:tcPr>
            <w:tcW w:type="dxa" w:w="1701"/>
          </w:tcPr>
          <w:p>
            <w:r>
              <w:rPr>
                <w:color w:val="1E293B"/>
                <w:sz w:val="17"/>
              </w:rPr>
              <w:t>Authorise</w:t>
            </w:r>
          </w:p>
        </w:tc>
        <w:tc>
          <w:tcPr>
            <w:tcW w:type="dxa" w:w="13436"/>
          </w:tcPr>
          <w:p>
            <w:r>
              <w:rPr>
                <w:color w:val="1E293B"/>
                <w:sz w:val="17"/>
              </w:rPr>
              <w:t>CISO to negotiate single GRC tool capex &lt;= INR 65 lakh</w:t>
            </w:r>
          </w:p>
        </w:tc>
      </w:tr>
    </w:tbl>
    <w:p>
      <w:pPr>
        <w:spacing w:before="80" w:after="20"/>
      </w:pPr>
      <w:r>
        <w:rPr>
          <w:b/>
          <w:color w:val="0F766E"/>
          <w:sz w:val="20"/>
        </w:rPr>
        <w:t>Closing</w:t>
      </w:r>
    </w:p>
    <w:p>
      <w:pPr>
        <w:spacing w:after="40"/>
      </w:pPr>
      <w:r>
        <w:rPr>
          <w:sz w:val="20"/>
        </w:rPr>
      </w:r>
    </w:p>
    <w:p>
      <w:r>
        <w:rPr>
          <w:sz w:val="20"/>
        </w:rPr>
        <w:t>Programme charter with detailed milestones, vendor shortlist and contingencies will be circulated post-approval under separate cover. Submitted for Risk Committee review.</w:t>
      </w:r>
    </w:p>
    <w:p>
      <w:pPr>
        <w:spacing w:before="80"/>
      </w:pPr>
      <w:r>
        <w:rPr>
          <w:color w:val="475569"/>
          <w:sz w:val="18"/>
        </w:rPr>
        <w:t>- CISO  |  Reviewed: CFO  |  Reviewed: CRO</w:t>
      </w:r>
    </w:p>
    <w:sectPr w:rsidR="00FC693F" w:rsidRPr="0006063C" w:rsidSect="00034616">
      <w:pgSz w:w="16838" w:h="11906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