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B91C5C"/>
          <w:sz w:val="36"/>
        </w:rPr>
        <w:t>Request for Proposal - PCI DSS v4.0 / v4.0.1 ROC Services</w:t>
      </w:r>
    </w:p>
    <w:p>
      <w:pPr>
        <w:spacing w:after="40"/>
      </w:pPr>
      <w:r>
        <w:rPr>
          <w:sz w:val="20"/>
        </w:rPr>
        <w:t>Issuer: &lt;NBFC Legal Name&gt;      Issue date: &lt;DD-MMM-YYYY&gt;</w:t>
      </w:r>
    </w:p>
    <w:p>
      <w:pPr>
        <w:spacing w:after="40"/>
      </w:pPr>
      <w:r>
        <w:rPr>
          <w:sz w:val="20"/>
        </w:rPr>
        <w:t>RFP ref: RFP-PCI-&lt;yyyy&gt;-&lt;seq&gt;      Closing date: &lt;DD-MMM-YYYY&gt;</w:t>
      </w:r>
    </w:p>
    <w:p>
      <w:r>
        <w:rPr>
          <w:b/>
          <w:sz w:val="20"/>
        </w:rPr>
        <w:t>Merchant Level: 1 (&gt;= 6M Visa/MC transactions/year) OR Level 2 (1-6M) - confirm applicable level</w:t>
      </w:r>
    </w:p>
    <w:p>
      <w:r>
        <w:rPr>
          <w:b/>
          <w:sz w:val="20"/>
        </w:rPr>
        <w:t>1. Scope of work</w:t>
      </w:r>
    </w:p>
    <w:p>
      <w:pPr>
        <w:spacing w:after="40"/>
      </w:pPr>
      <w:r>
        <w:rPr>
          <w:sz w:val="20"/>
        </w:rPr>
        <w:t>Annual Report on Compliance (ROC) for the Cardholder Data Environment (CDE) defined below. Engagement must cover PCI DSS v4.0.1 mandatory requirements and the v3.2.1-defined future-dated controls that have already become effective.</w:t>
      </w:r>
    </w:p>
    <w:p>
      <w:pPr>
        <w:pStyle w:val="ListBullet"/>
      </w:pPr>
      <w:r>
        <w:rPr>
          <w:sz w:val="20"/>
        </w:rPr>
        <w:t>PCI ROC (AoC) for full v4.0.1 mandatory and applicable customized-approach controls.</w:t>
      </w:r>
    </w:p>
    <w:p>
      <w:pPr>
        <w:pStyle w:val="ListBullet"/>
      </w:pPr>
      <w:r>
        <w:rPr>
          <w:sz w:val="20"/>
        </w:rPr>
        <w:t>Quarterly ASV scan coordination (use approved PCI SSC ASV).</w:t>
      </w:r>
    </w:p>
    <w:p>
      <w:pPr>
        <w:pStyle w:val="ListBullet"/>
      </w:pPr>
      <w:r>
        <w:rPr>
          <w:sz w:val="20"/>
        </w:rPr>
        <w:t>Annual penetration test scope review.</w:t>
      </w:r>
    </w:p>
    <w:p>
      <w:pPr>
        <w:pStyle w:val="ListBullet"/>
      </w:pPr>
      <w:r>
        <w:rPr>
          <w:sz w:val="20"/>
        </w:rPr>
        <w:t>Annual internal-vulnerability scan review and sign-off.</w:t>
      </w:r>
    </w:p>
    <w:p>
      <w:pPr>
        <w:pStyle w:val="ListBullet"/>
      </w:pPr>
      <w:r>
        <w:rPr>
          <w:sz w:val="20"/>
        </w:rPr>
        <w:t>Coordinated ROC + advisory for SAQ-eligible subservice organisations (payment gateway, DRM).</w:t>
      </w:r>
    </w:p>
    <w:p>
      <w:r>
        <w:rPr>
          <w:b/>
          <w:sz w:val="20"/>
        </w:rPr>
        <w:t>2. CDE description</w:t>
      </w:r>
    </w:p>
    <w:p>
      <w:pPr>
        <w:pStyle w:val="ListBullet"/>
      </w:pPr>
      <w:r>
        <w:rPr>
          <w:sz w:val="20"/>
        </w:rPr>
        <w:t>Tokenisation gateway from &lt;Vendor&gt; for debit-card disbursal.</w:t>
      </w:r>
    </w:p>
    <w:p>
      <w:pPr>
        <w:pStyle w:val="ListBullet"/>
      </w:pPr>
      <w:r>
        <w:rPr>
          <w:sz w:val="20"/>
        </w:rPr>
        <w:t>Card vault - isolated VPC with HSM (FIPS 140-2 Level 3) holding PAN only, no CHD storage.</w:t>
      </w:r>
    </w:p>
    <w:p>
      <w:pPr>
        <w:pStyle w:val="ListBullet"/>
      </w:pPr>
      <w:r>
        <w:rPr>
          <w:sz w:val="20"/>
        </w:rPr>
        <w:t>Reconciliation channel to &lt;Acquirer&gt; for settlement.</w:t>
      </w:r>
    </w:p>
    <w:p>
      <w:pPr>
        <w:pStyle w:val="ListBullet"/>
      </w:pPr>
      <w:r>
        <w:rPr>
          <w:sz w:val="20"/>
        </w:rPr>
        <w:t>Card-flow endpoints on mobile app - PCI Scoped Mobile (Mobile v4).</w:t>
      </w:r>
    </w:p>
    <w:p>
      <w:pPr>
        <w:pStyle w:val="ListBullet"/>
      </w:pPr>
      <w:r>
        <w:rPr>
          <w:sz w:val="20"/>
        </w:rPr>
        <w:t>Customer PAN never logged in plaintext - tokenised at SDK ingress only.</w:t>
      </w:r>
    </w:p>
    <w:p>
      <w:r>
        <w:rPr>
          <w:b/>
          <w:sz w:val="20"/>
        </w:rPr>
        <w:t>3. Mandatory QSA qualifications</w:t>
      </w:r>
    </w:p>
    <w:p>
      <w:pPr>
        <w:pStyle w:val="ListBullet"/>
      </w:pPr>
      <w:r>
        <w:rPr>
          <w:sz w:val="20"/>
        </w:rPr>
        <w:t>Active PCI SSC Qualified Security Assessor firm and named QSA employees on engagement.</w:t>
      </w:r>
    </w:p>
    <w:p>
      <w:pPr>
        <w:pStyle w:val="ListBullet"/>
      </w:pPr>
      <w:r>
        <w:rPr>
          <w:sz w:val="20"/>
        </w:rPr>
        <w:t>NBFC or payment aggregator MC/VISA ROC track record - minimum 5 ROCs in last 36 months.</w:t>
      </w:r>
    </w:p>
    <w:p>
      <w:pPr>
        <w:pStyle w:val="ListBullet"/>
      </w:pPr>
      <w:r>
        <w:rPr>
          <w:sz w:val="20"/>
        </w:rPr>
        <w:t>QSA-led onsite assessment (no remote-only for Level 1).</w:t>
      </w:r>
    </w:p>
    <w:p>
      <w:pPr>
        <w:pStyle w:val="ListBullet"/>
      </w:pPr>
      <w:r>
        <w:rPr>
          <w:sz w:val="20"/>
        </w:rPr>
        <w:t>Two partner / lead QSA allocation; named resumes required.</w:t>
      </w:r>
    </w:p>
    <w:p>
      <w:pPr>
        <w:pStyle w:val="ListBullet"/>
      </w:pPr>
      <w:r>
        <w:rPr>
          <w:sz w:val="20"/>
        </w:rPr>
        <w:t>PI / E&amp;O insurance &gt;=Rs 50 Cr; cyber insurance &gt;=Rs 25 Cr.</w:t>
      </w:r>
    </w:p>
    <w:p>
      <w:pPr>
        <w:pStyle w:val="ListBullet"/>
      </w:pPr>
      <w:r>
        <w:rPr>
          <w:sz w:val="20"/>
        </w:rPr>
        <w:t>Independence from all CDE vendors and the acquirer bank.</w:t>
      </w:r>
    </w:p>
    <w:p>
      <w:r>
        <w:rPr>
          <w:b/>
          <w:sz w:val="20"/>
        </w:rPr>
        <w:t>4. v4.0.1 mandatory requirements - explicit attention</w:t>
      </w:r>
    </w:p>
    <w:p>
      <w:pPr>
        <w:pStyle w:val="ListBullet"/>
      </w:pPr>
      <w:r>
        <w:rPr>
          <w:sz w:val="20"/>
        </w:rPr>
        <w:t>3.5.1 PAN encrypted when stored (AES-256 / TDES minimum).</w:t>
      </w:r>
    </w:p>
    <w:p>
      <w:pPr>
        <w:pStyle w:val="ListBullet"/>
      </w:pPr>
      <w:r>
        <w:rPr>
          <w:sz w:val="20"/>
        </w:rPr>
        <w:t>4.1 strong cryptography for transmission over open networks (TLS 1.2+).</w:t>
      </w:r>
    </w:p>
    <w:p>
      <w:pPr>
        <w:pStyle w:val="ListBullet"/>
      </w:pPr>
      <w:r>
        <w:rPr>
          <w:sz w:val="20"/>
        </w:rPr>
        <w:t>5.4.1 phishing protections - MFA on all CDE access, anti-phishing technical controls.</w:t>
      </w:r>
    </w:p>
    <w:p>
      <w:pPr>
        <w:pStyle w:val="ListBullet"/>
      </w:pPr>
      <w:r>
        <w:rPr>
          <w:sz w:val="20"/>
        </w:rPr>
        <w:t>6.4.3 Targeted Risk Analysis (TRA) for each customised approach and PCI control with annual cadence.</w:t>
      </w:r>
    </w:p>
    <w:p>
      <w:pPr>
        <w:pStyle w:val="ListBullet"/>
      </w:pPr>
      <w:r>
        <w:rPr>
          <w:sz w:val="20"/>
        </w:rPr>
        <w:t>8.4.2 MFA for all access into CDE - not just admins.</w:t>
      </w:r>
    </w:p>
    <w:p>
      <w:pPr>
        <w:pStyle w:val="ListBullet"/>
      </w:pPr>
      <w:r>
        <w:rPr>
          <w:sz w:val="20"/>
        </w:rPr>
        <w:t>10.4.1.1 automated log review for CDE systems (daily / weekly).</w:t>
      </w:r>
    </w:p>
    <w:p>
      <w:pPr>
        <w:pStyle w:val="ListBullet"/>
      </w:pPr>
      <w:r>
        <w:rPr>
          <w:sz w:val="20"/>
        </w:rPr>
        <w:t>11.6.1 change- and tamper-detection on payment pages.</w:t>
      </w:r>
    </w:p>
    <w:p>
      <w:pPr>
        <w:pStyle w:val="ListBullet"/>
      </w:pPr>
      <w:r>
        <w:rPr>
          <w:sz w:val="20"/>
        </w:rPr>
        <w:t>12.3.1 inventory of all CDE components and sensitive data flows.</w:t>
      </w:r>
    </w:p>
    <w:p>
      <w:r>
        <w:rPr>
          <w:b/>
          <w:sz w:val="20"/>
        </w:rPr>
        <w:t>5. Sampling &amp; substantive testing</w:t>
      </w:r>
    </w:p>
    <w:p>
      <w:pPr>
        <w:pStyle w:val="ListBullet"/>
      </w:pPr>
      <w:r>
        <w:rPr>
          <w:sz w:val="20"/>
        </w:rPr>
        <w:t>TRA methodology must be shared at bid stage; customised-approach controls require lead-QSA sign-off per control.</w:t>
      </w:r>
    </w:p>
    <w:p>
      <w:pPr>
        <w:pStyle w:val="ListBullet"/>
      </w:pPr>
      <w:r>
        <w:rPr>
          <w:sz w:val="20"/>
        </w:rPr>
        <w:t>RBA (Risk-Based Approach) scoping - bidder to declare which eligible controls are RBA-ed and provide residual-risk rationale.</w:t>
      </w:r>
    </w:p>
    <w:p>
      <w:pPr>
        <w:pStyle w:val="ListBullet"/>
      </w:pPr>
      <w:r>
        <w:rPr>
          <w:sz w:val="20"/>
        </w:rPr>
        <w:t>Sample sizes for transaction-level controls (issue, settlement, refund) - minimum 25 each.</w:t>
      </w:r>
    </w:p>
    <w:p>
      <w:pPr>
        <w:pStyle w:val="ListBullet"/>
      </w:pPr>
      <w:r>
        <w:rPr>
          <w:sz w:val="20"/>
        </w:rPr>
        <w:t>Penetration test review to align with ROC period (must be no older than 6 months at ROC-issuance).</w:t>
      </w:r>
    </w:p>
    <w:p>
      <w:r>
        <w:rPr>
          <w:b/>
          <w:sz w:val="20"/>
        </w:rPr>
        <w:t>6. Deliverables</w:t>
      </w:r>
    </w:p>
    <w:p>
      <w:pPr>
        <w:pStyle w:val="ListBullet"/>
      </w:pPr>
      <w:r>
        <w:rPr>
          <w:sz w:val="20"/>
        </w:rPr>
        <w:t>Pre-engagement scoping memo (Week 3).</w:t>
      </w:r>
    </w:p>
    <w:p>
      <w:pPr>
        <w:pStyle w:val="ListBullet"/>
      </w:pPr>
      <w:r>
        <w:rPr>
          <w:sz w:val="20"/>
        </w:rPr>
        <w:t>CDE network diagram red-lined review (Week 6).</w:t>
      </w:r>
    </w:p>
    <w:p>
      <w:pPr>
        <w:pStyle w:val="ListBullet"/>
      </w:pPr>
      <w:r>
        <w:rPr>
          <w:sz w:val="20"/>
        </w:rPr>
        <w:t>Pre-attestation gap memo (Week 12).</w:t>
      </w:r>
    </w:p>
    <w:p>
      <w:pPr>
        <w:pStyle w:val="ListBullet"/>
      </w:pPr>
      <w:r>
        <w:rPr>
          <w:sz w:val="20"/>
        </w:rPr>
        <w:t>Draft ROC with full v4 workbook (Week 18).</w:t>
      </w:r>
    </w:p>
    <w:p>
      <w:pPr>
        <w:pStyle w:val="ListBullet"/>
      </w:pPr>
      <w:r>
        <w:rPr>
          <w:sz w:val="20"/>
        </w:rPr>
        <w:t>Final ROC + AoC signed by lead QSA.</w:t>
      </w:r>
    </w:p>
    <w:p>
      <w:pPr>
        <w:pStyle w:val="ListBullet"/>
      </w:pPr>
      <w:r>
        <w:rPr>
          <w:sz w:val="20"/>
        </w:rPr>
        <w:t>Quarterly ASV scan summary (4 events/year).</w:t>
      </w:r>
    </w:p>
    <w:p>
      <w:pPr>
        <w:pStyle w:val="ListBullet"/>
      </w:pPr>
      <w:r>
        <w:rPr>
          <w:sz w:val="20"/>
        </w:rPr>
        <w:t>Pen test review memo (signed).</w:t>
      </w:r>
    </w:p>
    <w:p>
      <w:pPr>
        <w:pStyle w:val="ListBullet"/>
      </w:pPr>
      <w:r>
        <w:rPr>
          <w:sz w:val="20"/>
        </w:rPr>
        <w:t>Customised Approach Workbook for any controls not met by defined approach.</w:t>
      </w:r>
    </w:p>
    <w:p>
      <w:r>
        <w:rPr>
          <w:b/>
          <w:sz w:val="20"/>
        </w:rPr>
        <w:t>7. Engagement timeline</w:t>
      </w:r>
    </w:p>
    <w:p>
      <w:r>
        <w:rPr>
          <w:b/>
          <w:sz w:val="20"/>
        </w:rPr>
        <w:t>RFP-issue: &lt;date&gt;        Q&amp;A deadline: &lt;date&gt;</w:t>
      </w:r>
    </w:p>
    <w:p>
      <w:r>
        <w:rPr>
          <w:b/>
          <w:sz w:val="20"/>
        </w:rPr>
        <w:t>Bid submission: &lt;date&gt;   Shortlist: &lt;date&gt;</w:t>
      </w:r>
    </w:p>
    <w:p>
      <w:r>
        <w:rPr>
          <w:b/>
          <w:sz w:val="20"/>
        </w:rPr>
        <w:t>Bid presentation: &lt;date&gt; Chooser: &lt;date&gt;</w:t>
      </w:r>
    </w:p>
    <w:p>
      <w:r>
        <w:rPr>
          <w:b/>
          <w:sz w:val="20"/>
        </w:rPr>
        <w:t>Scoping kickoff: &lt;date&gt; ASV scan Qx:</w:t>
      </w:r>
    </w:p>
    <w:p>
      <w:r>
        <w:rPr>
          <w:b/>
          <w:sz w:val="20"/>
        </w:rPr>
        <w:t>Fieldwork: &lt;date&gt; to &lt;date&gt;       ROC final: &lt;date&gt;</w:t>
      </w:r>
    </w:p>
    <w:p>
      <w:r>
        <w:rPr>
          <w:b/>
          <w:sz w:val="20"/>
        </w:rPr>
        <w:t>8. Fee structure (INR)</w:t>
      </w:r>
    </w:p>
    <w:p>
      <w:pPr>
        <w:pStyle w:val="ListBullet"/>
      </w:pPr>
      <w:r>
        <w:rPr>
          <w:sz w:val="20"/>
        </w:rPr>
        <w:t>Fixed-fee ROC including all v4 + AC workbooks + AoC.</w:t>
      </w:r>
    </w:p>
    <w:p>
      <w:pPr>
        <w:pStyle w:val="ListBullet"/>
      </w:pPr>
      <w:r>
        <w:rPr>
          <w:sz w:val="20"/>
        </w:rPr>
        <w:t>Hourly rates: Lead QSA, QSA, Senior, Staff.</w:t>
      </w:r>
    </w:p>
    <w:p>
      <w:pPr>
        <w:pStyle w:val="ListBullet"/>
      </w:pPr>
      <w:r>
        <w:rPr>
          <w:sz w:val="20"/>
        </w:rPr>
        <w:t>Travel / OOP ceiling.</w:t>
      </w:r>
    </w:p>
    <w:p>
      <w:pPr>
        <w:pStyle w:val="ListBullet"/>
      </w:pPr>
      <w:r>
        <w:rPr>
          <w:sz w:val="20"/>
        </w:rPr>
        <w:t>Optional: Integrated QSA + SSAE18 (SOC 2) bid - preferred to reduce subservice duplication.</w:t>
      </w:r>
    </w:p>
    <w:p>
      <w:pPr>
        <w:pStyle w:val="ListBullet"/>
      </w:pPr>
      <w:r>
        <w:rPr>
          <w:sz w:val="20"/>
        </w:rPr>
        <w:t>Optional: Pen-test review and ASV subscription fee.</w:t>
      </w:r>
    </w:p>
    <w:p>
      <w:r>
        <w:rPr>
          <w:b/>
          <w:sz w:val="20"/>
        </w:rPr>
        <w:t>9. Compliance &amp; escalations</w:t>
      </w:r>
    </w:p>
    <w:p>
      <w:pPr>
        <w:pStyle w:val="ListBullet"/>
      </w:pPr>
      <w:r>
        <w:rPr>
          <w:sz w:val="20"/>
        </w:rPr>
        <w:t>All non-compliance findings rated 'high' or 'critical' must be reported to CISO within 24h of detection.</w:t>
      </w:r>
    </w:p>
    <w:p>
      <w:pPr>
        <w:pStyle w:val="ListBullet"/>
      </w:pPr>
      <w:r>
        <w:rPr>
          <w:sz w:val="20"/>
        </w:rPr>
        <w:t>Breach-imminent findings must trigger acquirer 24h notification clock - bidder must confirm they will draft the acquirer template.</w:t>
      </w:r>
    </w:p>
    <w:p>
      <w:pPr>
        <w:pStyle w:val="ListBullet"/>
      </w:pPr>
      <w:r>
        <w:rPr>
          <w:sz w:val="20"/>
        </w:rPr>
        <w:t>Bidder must align with our CERT-IN 6h and DPDP 72h breach-clocks. Acquirer 24h sits between CERT-IN 6h and DPDP 72h - bidder's draft must fit.</w:t>
      </w:r>
    </w:p>
    <w:p>
      <w:r>
        <w:rPr>
          <w:b/>
          <w:sz w:val="20"/>
        </w:rPr>
        <w:t>10. Independence confirmations</w:t>
      </w:r>
    </w:p>
    <w:p>
      <w:pPr>
        <w:pStyle w:val="ListBullet"/>
      </w:pPr>
      <w:r>
        <w:rPr>
          <w:sz w:val="20"/>
        </w:rPr>
        <w:t>No CDE vendor relationship in past 5 years.</w:t>
      </w:r>
    </w:p>
    <w:p>
      <w:pPr>
        <w:pStyle w:val="ListBullet"/>
      </w:pPr>
      <w:r>
        <w:rPr>
          <w:sz w:val="20"/>
        </w:rPr>
        <w:t>No acquirer-bank relationship affecting this ROC.</w:t>
      </w:r>
    </w:p>
    <w:p>
      <w:pPr>
        <w:pStyle w:val="ListBullet"/>
      </w:pPr>
      <w:r>
        <w:rPr>
          <w:sz w:val="20"/>
        </w:rPr>
        <w:t>Lead QSA has not been NBFC employee, director, or contractor in past 5 years.</w:t>
      </w:r>
    </w:p>
    <w:p>
      <w:pPr>
        <w:pStyle w:val="ListBullet"/>
      </w:pPr>
      <w:r>
        <w:rPr>
          <w:sz w:val="20"/>
        </w:rPr>
        <w:t>No marketing / referral payments between QSA and card networks for this engagement.</w:t>
      </w:r>
    </w:p>
    <w:p>
      <w:r>
        <w:rPr>
          <w:b/>
          <w:sz w:val="20"/>
        </w:rPr>
        <w:t>11. Submission format</w:t>
      </w:r>
    </w:p>
    <w:p>
      <w:pPr>
        <w:pStyle w:val="ListBullet"/>
      </w:pPr>
      <w:r>
        <w:rPr>
          <w:sz w:val="20"/>
        </w:rPr>
        <w:t>Cover letter (1 page) signed by Country Manager.</w:t>
      </w:r>
    </w:p>
    <w:p>
      <w:pPr>
        <w:pStyle w:val="ListBullet"/>
      </w:pPr>
      <w:r>
        <w:rPr>
          <w:sz w:val="20"/>
        </w:rPr>
        <w:t>Executive summary - approach, lead QSA bios, schedule, fee.</w:t>
      </w:r>
    </w:p>
    <w:p>
      <w:pPr>
        <w:pStyle w:val="ListBullet"/>
      </w:pPr>
      <w:r>
        <w:rPr>
          <w:sz w:val="20"/>
        </w:rPr>
        <w:t>Resumes for QSA-led team.</w:t>
      </w:r>
    </w:p>
    <w:p>
      <w:pPr>
        <w:pStyle w:val="ListBullet"/>
      </w:pPr>
      <w:r>
        <w:rPr>
          <w:sz w:val="20"/>
        </w:rPr>
        <w:t>Plan-of-test (15 pp) including TRA methodology and RBA rationale.</w:t>
      </w:r>
    </w:p>
    <w:p>
      <w:pPr>
        <w:pStyle w:val="ListBullet"/>
      </w:pPr>
      <w:r>
        <w:rPr>
          <w:sz w:val="20"/>
        </w:rPr>
        <w:t>Sealed fee proposal (xlsx Rate Card).</w:t>
      </w:r>
    </w:p>
    <w:p>
      <w:pPr>
        <w:pStyle w:val="ListBullet"/>
      </w:pPr>
      <w:r>
        <w:rPr>
          <w:sz w:val="20"/>
        </w:rPr>
        <w:t>Recent 3 ROCs (redacted) for NBFC / payment-aggregator clients.</w:t>
      </w:r>
    </w:p>
    <w:p>
      <w:pPr>
        <w:pStyle w:val="ListBullet"/>
      </w:pPr>
      <w:r>
        <w:rPr>
          <w:sz w:val="20"/>
        </w:rPr>
        <w:t>Insurance certificates.</w:t>
      </w:r>
    </w:p>
    <w:p>
      <w:pPr>
        <w:pStyle w:val="ListBullet"/>
      </w:pPr>
      <w:r>
        <w:rPr>
          <w:sz w:val="20"/>
        </w:rPr>
        <w:t>Sample of customised-approach workbook from a previous ROC.</w:t>
      </w:r>
    </w:p>
    <w:p>
      <w:r>
        <w:rPr>
          <w:b/>
          <w:sz w:val="20"/>
        </w:rPr>
        <w:t>12. Evaluation criteria</w:t>
      </w:r>
    </w:p>
    <w:p>
      <w:pPr>
        <w:pStyle w:val="ListBullet"/>
      </w:pPr>
      <w:r>
        <w:rPr>
          <w:sz w:val="20"/>
        </w:rPr>
        <w:t>QSA firm NBFC / payment track record - 25%</w:t>
      </w:r>
    </w:p>
    <w:p>
      <w:pPr>
        <w:pStyle w:val="ListBullet"/>
      </w:pPr>
      <w:r>
        <w:rPr>
          <w:sz w:val="20"/>
        </w:rPr>
        <w:t>Quality of plan-of-test &amp; TRA methodology - 25%</w:t>
      </w:r>
    </w:p>
    <w:p>
      <w:pPr>
        <w:pStyle w:val="ListBullet"/>
      </w:pPr>
      <w:r>
        <w:rPr>
          <w:sz w:val="20"/>
        </w:rPr>
        <w:t>Quality of QSA team - 20%</w:t>
      </w:r>
    </w:p>
    <w:p>
      <w:pPr>
        <w:pStyle w:val="ListBullet"/>
      </w:pPr>
      <w:r>
        <w:rPr>
          <w:sz w:val="20"/>
        </w:rPr>
        <w:t>Fee - 20%</w:t>
      </w:r>
    </w:p>
    <w:p>
      <w:pPr>
        <w:pStyle w:val="ListBullet"/>
      </w:pPr>
      <w:r>
        <w:rPr>
          <w:sz w:val="20"/>
        </w:rPr>
        <w:t>Insurance / indemnity / independence - 10%</w:t>
      </w:r>
    </w:p>
    <w:p>
      <w:r>
        <w:rPr>
          <w:b/>
          <w:sz w:val="20"/>
        </w:rPr>
        <w:t>13. Contacts</w:t>
      </w:r>
    </w:p>
    <w:p>
      <w:pPr>
        <w:spacing w:after="40"/>
      </w:pPr>
      <w:r>
        <w:rPr>
          <w:sz w:val="20"/>
        </w:rPr>
        <w:t>RFP focal: &lt;Name&gt;, CFO Procurement - procurement@nbfc.in</w:t>
      </w:r>
    </w:p>
    <w:p>
      <w:pPr>
        <w:spacing w:after="40"/>
      </w:pPr>
      <w:r>
        <w:rPr>
          <w:sz w:val="20"/>
        </w:rPr>
        <w:t>PCI focal: &lt;Name&gt;, CISO - ciso@nbfc.in</w:t>
      </w:r>
    </w:p>
    <w:p>
      <w:pPr>
        <w:spacing w:after="40"/>
      </w:pPr>
      <w:r>
        <w:rPr>
          <w:sz w:val="20"/>
        </w:rPr>
        <w:t>Compliance: &lt;Name&gt;, DPO - dpo@nbfc.in</w:t>
      </w:r>
    </w:p>
    <w:p>
      <w:pPr>
        <w:spacing w:after="40"/>
      </w:pPr>
      <w:r>
        <w:rPr>
          <w:sz w:val="20"/>
        </w:rPr>
        <w:t>All queries via procurement portal &lt;URL&gt; until &lt;date&gt;.</w:t>
      </w:r>
    </w:p>
    <w:p>
      <w:pPr>
        <w:spacing w:after="40"/>
      </w:pPr>
      <w:r>
        <w:rPr>
          <w:sz w:val="20"/>
        </w:rPr>
        <w:t>&lt;NBFC&gt; reserves the right to reject any or all bids without assigning reasons. This RFP does not constitute an offer of engagement.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