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A4A"/>
          <w:sz w:val="36"/>
        </w:rPr>
        <w:t>Request for Proposal - SOC 2 Type II Audit Services</w:t>
      </w:r>
    </w:p>
    <w:p>
      <w:pPr>
        <w:spacing w:after="40"/>
      </w:pPr>
      <w:r>
        <w:rPr>
          <w:sz w:val="20"/>
        </w:rPr>
        <w:t>Issuer: &lt;NBFC Legal Name&gt;      Issue date: &lt;DD-MMM-YYYY&gt;</w:t>
      </w:r>
    </w:p>
    <w:p>
      <w:pPr>
        <w:spacing w:after="40"/>
      </w:pPr>
      <w:r>
        <w:rPr>
          <w:sz w:val="20"/>
        </w:rPr>
        <w:t>RFP ref: RFP-SOC2-&lt;yyyy&gt;-&lt;seq&gt;      Closing date: &lt;DD-MMM-YYYY&gt;</w:t>
      </w:r>
    </w:p>
    <w:p>
      <w:r>
        <w:rPr>
          <w:color w:val="B4B4B4"/>
          <w:sz w:val="16"/>
        </w:rPr>
        <w:t>____________________________________________________________</w:t>
      </w:r>
    </w:p>
    <w:p>
      <w:r>
        <w:rPr>
          <w:rFonts w:ascii="Calibri" w:hAnsi="Calibri"/>
          <w:b/>
          <w:color w:val="0F2A4A"/>
          <w:sz w:val="28"/>
        </w:rPr>
        <w:t>1. Background &amp; scope</w:t>
      </w:r>
    </w:p>
    <w:p>
      <w:pPr>
        <w:spacing w:after="40"/>
      </w:pPr>
      <w:r>
        <w:rPr>
          <w:sz w:val="20"/>
        </w:rPr>
        <w:t>&lt;NBFC&gt; is a Reserve Bank of India-registered non-banking financial company with &lt;N&gt; data principals and &lt;N&gt; employees. We process loan applications on AWS, integrate with a co-lending partner bank, and serve &lt;N&gt; downstream fintech customers via API. The SOC 2 Type II attestation is required for the customer-facing trust portal and fintech partner due-diligence.</w:t>
      </w:r>
    </w:p>
    <w:p>
      <w:pPr>
        <w:spacing w:after="40"/>
      </w:pPr>
      <w:r>
        <w:rPr>
          <w:sz w:val="20"/>
        </w:rPr>
        <w:t>Scope period: &lt;01-Jan-YYYY&gt; to &lt;31-Dec-YYYY&gt;. Examination window preferred &lt;Sep-YYYY&gt; to &lt;Feb-YYYY+1&gt;.</w:t>
      </w:r>
    </w:p>
    <w:p>
      <w:r>
        <w:rPr>
          <w:rFonts w:ascii="Calibri" w:hAnsi="Calibri"/>
          <w:b/>
          <w:color w:val="0F2A4A"/>
          <w:sz w:val="28"/>
        </w:rPr>
        <w:t>2. Trust Services Criteria (TSC) coverage required</w:t>
      </w:r>
    </w:p>
    <w:p>
      <w:pPr>
        <w:pStyle w:val="ListBullet"/>
      </w:pPr>
      <w:r>
        <w:rPr>
          <w:sz w:val="20"/>
        </w:rPr>
        <w:t>CC1 Control Environment</w:t>
      </w:r>
    </w:p>
    <w:p>
      <w:pPr>
        <w:pStyle w:val="ListBullet"/>
      </w:pPr>
      <w:r>
        <w:rPr>
          <w:sz w:val="20"/>
        </w:rPr>
        <w:t>CC2 Communication &amp; Information</w:t>
      </w:r>
    </w:p>
    <w:p>
      <w:pPr>
        <w:pStyle w:val="ListBullet"/>
      </w:pPr>
      <w:r>
        <w:rPr>
          <w:sz w:val="20"/>
        </w:rPr>
        <w:t>CC3 Risk Assessment</w:t>
      </w:r>
    </w:p>
    <w:p>
      <w:pPr>
        <w:pStyle w:val="ListBullet"/>
      </w:pPr>
      <w:r>
        <w:rPr>
          <w:sz w:val="20"/>
        </w:rPr>
        <w:t>CC4 Monitoring Activities</w:t>
      </w:r>
    </w:p>
    <w:p>
      <w:pPr>
        <w:pStyle w:val="ListBullet"/>
      </w:pPr>
      <w:r>
        <w:rPr>
          <w:sz w:val="20"/>
        </w:rPr>
        <w:t>CC5 Control Activities</w:t>
      </w:r>
    </w:p>
    <w:p>
      <w:pPr>
        <w:pStyle w:val="ListBullet"/>
      </w:pPr>
      <w:r>
        <w:rPr>
          <w:sz w:val="20"/>
        </w:rPr>
        <w:t>CC6 Logical and Physical Access</w:t>
      </w:r>
    </w:p>
    <w:p>
      <w:pPr>
        <w:pStyle w:val="ListBullet"/>
      </w:pPr>
      <w:r>
        <w:rPr>
          <w:sz w:val="20"/>
        </w:rPr>
        <w:t>CC7 System Operations</w:t>
      </w:r>
    </w:p>
    <w:p>
      <w:pPr>
        <w:pStyle w:val="ListBullet"/>
      </w:pPr>
      <w:r>
        <w:rPr>
          <w:sz w:val="20"/>
        </w:rPr>
        <w:t>CC8 Change Management</w:t>
      </w:r>
    </w:p>
    <w:p>
      <w:pPr>
        <w:pStyle w:val="ListBullet"/>
      </w:pPr>
      <w:r>
        <w:rPr>
          <w:sz w:val="20"/>
        </w:rPr>
        <w:t>CC9 Risk Mitigation</w:t>
      </w:r>
    </w:p>
    <w:p>
      <w:pPr>
        <w:pStyle w:val="ListBullet"/>
      </w:pPr>
      <w:r>
        <w:rPr>
          <w:sz w:val="20"/>
        </w:rPr>
        <w:t>A  Availability</w:t>
      </w:r>
    </w:p>
    <w:p>
      <w:pPr>
        <w:pStyle w:val="ListBullet"/>
      </w:pPr>
      <w:r>
        <w:rPr>
          <w:sz w:val="20"/>
        </w:rPr>
        <w:t>C  Confidentiality</w:t>
      </w:r>
    </w:p>
    <w:p>
      <w:pPr>
        <w:pStyle w:val="ListBullet"/>
      </w:pPr>
      <w:r>
        <w:rPr>
          <w:sz w:val="20"/>
        </w:rPr>
        <w:t>PI Processing Integrity (if processing loan calculations)</w:t>
      </w:r>
    </w:p>
    <w:p>
      <w:pPr>
        <w:pStyle w:val="ListBullet"/>
      </w:pPr>
      <w:r>
        <w:rPr>
          <w:sz w:val="20"/>
        </w:rPr>
        <w:t>P  Privacy (if hosted customer PII in-scope)</w:t>
      </w:r>
    </w:p>
    <w:p>
      <w:r>
        <w:rPr>
          <w:rFonts w:ascii="Calibri" w:hAnsi="Calibri"/>
          <w:b/>
          <w:color w:val="0F2A4A"/>
          <w:sz w:val="28"/>
        </w:rPr>
        <w:t>3. Mandatory auditor qualifications</w:t>
      </w:r>
    </w:p>
    <w:p>
      <w:pPr>
        <w:pStyle w:val="ListBullet"/>
      </w:pPr>
      <w:r>
        <w:rPr>
          <w:sz w:val="20"/>
        </w:rPr>
        <w:t>AICPA-licensed CPA firm with active peer review (must submit most recent peer review report).</w:t>
      </w:r>
    </w:p>
    <w:p>
      <w:pPr>
        <w:pStyle w:val="ListBullet"/>
      </w:pPr>
      <w:r>
        <w:rPr>
          <w:sz w:val="20"/>
        </w:rPr>
        <w:t>SOC 2 practice lead with at least 5 attestations in last 36 months for cloud-native fintech / NBFCs.</w:t>
      </w:r>
    </w:p>
    <w:p>
      <w:pPr>
        <w:pStyle w:val="ListBullet"/>
      </w:pPr>
      <w:r>
        <w:rPr>
          <w:sz w:val="20"/>
        </w:rPr>
        <w:t>Independence from &lt;NBFC&gt; and all material subservice organisations (must sign independence confirmation).</w:t>
      </w:r>
    </w:p>
    <w:p>
      <w:pPr>
        <w:pStyle w:val="ListBullet"/>
      </w:pPr>
      <w:r>
        <w:rPr>
          <w:sz w:val="20"/>
        </w:rPr>
        <w:t>At least 2 partners / directors allocated to the engagement; named resumes required.</w:t>
      </w:r>
    </w:p>
    <w:p>
      <w:pPr>
        <w:pStyle w:val="ListBullet"/>
      </w:pPr>
      <w:r>
        <w:rPr>
          <w:sz w:val="20"/>
        </w:rPr>
        <w:t>Carries professional indemnity cover &gt;=Rs 50 Cr per claim for cyber-related errors/omissions.</w:t>
      </w:r>
    </w:p>
    <w:p>
      <w:pPr>
        <w:pStyle w:val="ListBullet"/>
      </w:pPr>
      <w:r>
        <w:rPr>
          <w:sz w:val="20"/>
        </w:rPr>
        <w:t>Refs from 2 AICPA peer-reviewed NBFC / SOC 2 customers with comparable scope (will be contacted).</w:t>
      </w:r>
    </w:p>
    <w:p>
      <w:r>
        <w:rPr>
          <w:rFonts w:ascii="Calibri" w:hAnsi="Calibri"/>
          <w:b/>
          <w:color w:val="0F2A4A"/>
          <w:sz w:val="28"/>
        </w:rPr>
        <w:t>4. NBFC systems in-scope</w:t>
      </w:r>
    </w:p>
    <w:p>
      <w:pPr>
        <w:pStyle w:val="ListBullet"/>
      </w:pPr>
      <w:r>
        <w:rPr>
          <w:sz w:val="20"/>
        </w:rPr>
        <w:t>Loan Origination System (LOS) on AWS EC2 / RDS, Mumbai (ap-south-1).</w:t>
      </w:r>
    </w:p>
    <w:p>
      <w:pPr>
        <w:pStyle w:val="ListBullet"/>
      </w:pPr>
      <w:r>
        <w:rPr>
          <w:sz w:val="20"/>
        </w:rPr>
        <w:t>Mobile lending app - iOS + Android (&gt;=1M installs).</w:t>
      </w:r>
    </w:p>
    <w:p>
      <w:pPr>
        <w:pStyle w:val="ListBullet"/>
      </w:pPr>
      <w:r>
        <w:rPr>
          <w:sz w:val="20"/>
        </w:rPr>
        <w:t>Co-lending partner-bank API gateway.</w:t>
      </w:r>
    </w:p>
    <w:p>
      <w:pPr>
        <w:pStyle w:val="ListBullet"/>
      </w:pPr>
      <w:r>
        <w:rPr>
          <w:sz w:val="20"/>
        </w:rPr>
        <w:t>Customer KYC storage with DPDP-tagged personal data.</w:t>
      </w:r>
    </w:p>
    <w:p>
      <w:pPr>
        <w:pStyle w:val="ListBullet"/>
      </w:pPr>
      <w:r>
        <w:rPr>
          <w:sz w:val="20"/>
        </w:rPr>
        <w:t>Card disbursal flow via payment aggregator - check CDE overlap.</w:t>
      </w:r>
    </w:p>
    <w:p>
      <w:pPr>
        <w:pStyle w:val="ListBullet"/>
      </w:pPr>
      <w:r>
        <w:rPr>
          <w:sz w:val="20"/>
        </w:rPr>
        <w:t>Subservice organisations: AWS (compute), &lt;DRM Vendor&gt; (DRM), &lt;CDN&gt; (web).</w:t>
      </w:r>
    </w:p>
    <w:p>
      <w:r>
        <w:rPr>
          <w:rFonts w:ascii="Calibri" w:hAnsi="Calibri"/>
          <w:b/>
          <w:color w:val="0F2A4A"/>
          <w:sz w:val="28"/>
        </w:rPr>
        <w:t>5. Sampling expectations</w:t>
      </w:r>
    </w:p>
    <w:p>
      <w:pPr>
        <w:spacing w:after="40"/>
      </w:pPr>
      <w:r>
        <w:rPr>
          <w:sz w:val="20"/>
        </w:rPr>
        <w:t>Auditor's plan-of-test must commit to:</w:t>
      </w:r>
    </w:p>
    <w:p>
      <w:pPr>
        <w:pStyle w:val="ListBullet"/>
      </w:pPr>
      <w:r>
        <w:rPr>
          <w:sz w:val="20"/>
        </w:rPr>
        <w:t>Sample sizes per CC family using AICPA AT-C §205 / §320 guidance.</w:t>
      </w:r>
    </w:p>
    <w:p>
      <w:pPr>
        <w:pStyle w:val="ListBullet"/>
      </w:pPr>
      <w:r>
        <w:rPr>
          <w:sz w:val="20"/>
        </w:rPr>
        <w:t>Monetary-unit sampling for transaction-level controls (loan disbursal, repayment posting).</w:t>
      </w:r>
    </w:p>
    <w:p>
      <w:pPr>
        <w:pStyle w:val="ListBullet"/>
      </w:pPr>
      <w:r>
        <w:rPr>
          <w:sz w:val="20"/>
        </w:rPr>
        <w:t>Full-population testing for change-management controls.</w:t>
      </w:r>
    </w:p>
    <w:p>
      <w:pPr>
        <w:pStyle w:val="ListBullet"/>
      </w:pPr>
      <w:r>
        <w:rPr>
          <w:sz w:val="20"/>
        </w:rPr>
        <w:t>Sampling for SOC 2 bridge period covering &lt;Oct-YYYY&gt; to &lt;Dec-YYYY&gt;.</w:t>
      </w:r>
    </w:p>
    <w:p>
      <w:pPr>
        <w:spacing w:after="40"/>
      </w:pPr>
      <w:r>
        <w:rPr>
          <w:sz w:val="20"/>
        </w:rPr>
        <w:t>Auditor will hand sampling tables to &lt;NBFC&gt; 30 days before fieldwork.</w:t>
      </w:r>
    </w:p>
    <w:p>
      <w:r>
        <w:rPr>
          <w:rFonts w:ascii="Calibri" w:hAnsi="Calibri"/>
          <w:b/>
          <w:color w:val="0F2A4A"/>
          <w:sz w:val="28"/>
        </w:rPr>
        <w:t>6. Deliverables</w:t>
      </w:r>
    </w:p>
    <w:p>
      <w:pPr>
        <w:pStyle w:val="ListBullet"/>
      </w:pPr>
      <w:r>
        <w:rPr>
          <w:sz w:val="20"/>
        </w:rPr>
        <w:t>Planning memo (Week 4).</w:t>
      </w:r>
    </w:p>
    <w:p>
      <w:pPr>
        <w:pStyle w:val="ListBullet"/>
      </w:pPr>
      <w:r>
        <w:rPr>
          <w:sz w:val="20"/>
        </w:rPr>
        <w:t>Risk assessment matrix covering TSCs, services, and supporting ITGCs.</w:t>
      </w:r>
    </w:p>
    <w:p>
      <w:pPr>
        <w:pStyle w:val="ListBullet"/>
      </w:pPr>
      <w:r>
        <w:rPr>
          <w:sz w:val="20"/>
        </w:rPr>
        <w:t>Internal-control walkthrough matrix (Week 8).</w:t>
      </w:r>
    </w:p>
    <w:p>
      <w:pPr>
        <w:pStyle w:val="ListBullet"/>
      </w:pPr>
      <w:r>
        <w:rPr>
          <w:sz w:val="20"/>
        </w:rPr>
        <w:t>Draft Type II report with exceptions log (2 weeks before issuance).</w:t>
      </w:r>
    </w:p>
    <w:p>
      <w:pPr>
        <w:pStyle w:val="ListBullet"/>
      </w:pPr>
      <w:r>
        <w:rPr>
          <w:sz w:val="20"/>
        </w:rPr>
        <w:t>Final SOC 2 Type II report (PDF + XBRL structured data if available).</w:t>
      </w:r>
    </w:p>
    <w:p>
      <w:pPr>
        <w:pStyle w:val="ListBullet"/>
      </w:pPr>
      <w:r>
        <w:rPr>
          <w:sz w:val="20"/>
        </w:rPr>
        <w:t>Bridge letter covering &lt;Jan-YYYY+1&gt; to &lt;date of final report&gt;.</w:t>
      </w:r>
    </w:p>
    <w:p>
      <w:pPr>
        <w:pStyle w:val="ListBullet"/>
      </w:pPr>
      <w:r>
        <w:rPr>
          <w:sz w:val="20"/>
        </w:rPr>
        <w:t>Subservice organisation carve-out (or inclusive) memo for AWS / DRM / CDN.</w:t>
      </w:r>
    </w:p>
    <w:p>
      <w:pPr>
        <w:pStyle w:val="ListBullet"/>
      </w:pPr>
      <w:r>
        <w:rPr>
          <w:sz w:val="20"/>
        </w:rPr>
        <w:t>Management letter with advisory observations, severity-ranked.</w:t>
      </w:r>
    </w:p>
    <w:p>
      <w:r>
        <w:rPr>
          <w:rFonts w:ascii="Calibri" w:hAnsi="Calibri"/>
          <w:b/>
          <w:color w:val="0F2A4A"/>
          <w:sz w:val="28"/>
        </w:rPr>
        <w:t>7. Engagement timeline</w:t>
      </w:r>
    </w:p>
    <w:p>
      <w:pPr>
        <w:spacing w:after="40"/>
      </w:pPr>
      <w:r>
        <w:rPr>
          <w:sz w:val="20"/>
        </w:rPr>
        <w:t>RFP-issue: &lt;date&gt;        Q&amp;A deadline: &lt;date&gt;</w:t>
      </w:r>
    </w:p>
    <w:p>
      <w:pPr>
        <w:spacing w:after="40"/>
      </w:pPr>
      <w:r>
        <w:rPr>
          <w:sz w:val="20"/>
        </w:rPr>
        <w:t>Bid submission: &lt;date&gt;   Shortlist: &lt;date&gt;</w:t>
      </w:r>
    </w:p>
    <w:p>
      <w:pPr>
        <w:spacing w:after="40"/>
      </w:pPr>
      <w:r>
        <w:rPr>
          <w:sz w:val="20"/>
        </w:rPr>
        <w:t>Bid presentation: &lt;date&gt; Chooser: &lt;date&gt;</w:t>
      </w:r>
    </w:p>
    <w:p>
      <w:pPr>
        <w:spacing w:after="40"/>
      </w:pPr>
      <w:r>
        <w:rPr>
          <w:sz w:val="20"/>
        </w:rPr>
        <w:t>Planning kickoff: &lt;date&gt; Fieldwork start: &lt;date&gt;</w:t>
      </w:r>
    </w:p>
    <w:p>
      <w:pPr>
        <w:spacing w:after="40"/>
      </w:pPr>
      <w:r>
        <w:rPr>
          <w:sz w:val="20"/>
        </w:rPr>
        <w:t>Draft report: &lt;date&gt;    Final report: &lt;date&gt;</w:t>
      </w:r>
    </w:p>
    <w:p>
      <w:r>
        <w:rPr>
          <w:rFonts w:ascii="Calibri" w:hAnsi="Calibri"/>
          <w:b/>
          <w:color w:val="0F2A4A"/>
          <w:sz w:val="28"/>
        </w:rPr>
        <w:t>8. Fee structure</w:t>
      </w:r>
    </w:p>
    <w:p>
      <w:pPr>
        <w:spacing w:after="40"/>
      </w:pPr>
      <w:r>
        <w:rPr>
          <w:sz w:val="20"/>
        </w:rPr>
        <w:t>Bid in INR. Provide:</w:t>
      </w:r>
    </w:p>
    <w:p>
      <w:pPr>
        <w:pStyle w:val="ListBullet"/>
      </w:pPr>
      <w:r>
        <w:rPr>
          <w:sz w:val="20"/>
        </w:rPr>
        <w:t>Firm-fixed fee for SOC 2 Type II (full TSCs above).</w:t>
      </w:r>
    </w:p>
    <w:p>
      <w:pPr>
        <w:pStyle w:val="ListBullet"/>
      </w:pPr>
      <w:r>
        <w:rPr>
          <w:sz w:val="20"/>
        </w:rPr>
        <w:t>Hourly rates for partner, director, manager, senior, staff (prorated).</w:t>
      </w:r>
    </w:p>
    <w:p>
      <w:pPr>
        <w:pStyle w:val="ListBullet"/>
      </w:pPr>
      <w:r>
        <w:rPr>
          <w:sz w:val="20"/>
        </w:rPr>
        <w:t>Out-of-pocket ceiling (travel, copies).</w:t>
      </w:r>
    </w:p>
    <w:p>
      <w:pPr>
        <w:pStyle w:val="ListBullet"/>
      </w:pPr>
      <w:r>
        <w:rPr>
          <w:sz w:val="20"/>
        </w:rPr>
        <w:t>Bridge-letter / SSAE-18 update fee per event.</w:t>
      </w:r>
    </w:p>
    <w:p>
      <w:pPr>
        <w:pStyle w:val="ListBullet"/>
      </w:pPr>
      <w:r>
        <w:rPr>
          <w:sz w:val="20"/>
        </w:rPr>
        <w:t>Optional: SOC 2 + ISO 27001 + NIST CSF 2.0 integrated bid (preferred).</w:t>
      </w:r>
    </w:p>
    <w:p>
      <w:r>
        <w:rPr>
          <w:rFonts w:ascii="Calibri" w:hAnsi="Calibri"/>
          <w:b/>
          <w:color w:val="0F2A4A"/>
          <w:sz w:val="28"/>
        </w:rPr>
        <w:t>9. Confidentiality &amp; NDA</w:t>
      </w:r>
    </w:p>
    <w:p>
      <w:pPr>
        <w:spacing w:after="40"/>
      </w:pPr>
      <w:r>
        <w:rPr>
          <w:sz w:val="20"/>
        </w:rPr>
        <w:t>Auditor will sign mutual NDA before RFP submission. Bid is binding for 90 days.</w:t>
      </w:r>
    </w:p>
    <w:p>
      <w:r>
        <w:rPr>
          <w:rFonts w:ascii="Calibri" w:hAnsi="Calibri"/>
          <w:b/>
          <w:color w:val="0F2A4A"/>
          <w:sz w:val="28"/>
        </w:rPr>
        <w:t>10. Insurance &amp; indemnity</w:t>
      </w:r>
    </w:p>
    <w:p>
      <w:pPr>
        <w:pStyle w:val="ListBullet"/>
      </w:pPr>
      <w:r>
        <w:rPr>
          <w:sz w:val="20"/>
        </w:rPr>
        <w:t>PI / E&amp;O insurance &gt;=Rs 50 Cr per claim with NBFC named additional insured.</w:t>
      </w:r>
    </w:p>
    <w:p>
      <w:pPr>
        <w:pStyle w:val="ListBullet"/>
      </w:pPr>
      <w:r>
        <w:rPr>
          <w:sz w:val="20"/>
        </w:rPr>
        <w:t>Cyber insurance &gt;=Rs 25 Cr.</w:t>
      </w:r>
    </w:p>
    <w:p>
      <w:pPr>
        <w:pStyle w:val="ListBullet"/>
      </w:pPr>
      <w:r>
        <w:rPr>
          <w:sz w:val="20"/>
        </w:rPr>
        <w:t>No claim history breach certificate.</w:t>
      </w:r>
    </w:p>
    <w:p>
      <w:pPr>
        <w:pStyle w:val="ListBullet"/>
      </w:pPr>
      <w:r>
        <w:rPr>
          <w:sz w:val="20"/>
        </w:rPr>
        <w:t>Indemnity language - auditor indemnifies NBFC for negligent findings in the report.</w:t>
      </w:r>
    </w:p>
    <w:p>
      <w:r>
        <w:rPr>
          <w:rFonts w:ascii="Calibri" w:hAnsi="Calibri"/>
          <w:b/>
          <w:color w:val="0F2A4A"/>
          <w:sz w:val="28"/>
        </w:rPr>
        <w:t>11. Independence confirmations</w:t>
      </w:r>
    </w:p>
    <w:p>
      <w:pPr>
        <w:pStyle w:val="ListBullet"/>
      </w:pPr>
      <w:r>
        <w:rPr>
          <w:sz w:val="20"/>
        </w:rPr>
        <w:t>No service, product, or sales relationship with &lt;NBFC&gt; for past 5 years.</w:t>
      </w:r>
    </w:p>
    <w:p>
      <w:pPr>
        <w:pStyle w:val="ListBullet"/>
      </w:pPr>
      <w:r>
        <w:rPr>
          <w:sz w:val="20"/>
        </w:rPr>
        <w:t>No contingent fees.</w:t>
      </w:r>
    </w:p>
    <w:p>
      <w:pPr>
        <w:pStyle w:val="ListBullet"/>
      </w:pPr>
      <w:r>
        <w:rPr>
          <w:sz w:val="20"/>
        </w:rPr>
        <w:t>Engagement partner has not served as NBFC's employee / director / advisor.</w:t>
      </w:r>
    </w:p>
    <w:p>
      <w:pPr>
        <w:pStyle w:val="ListBullet"/>
      </w:pPr>
      <w:r>
        <w:rPr>
          <w:sz w:val="20"/>
        </w:rPr>
        <w:t>No internal-control design / implementation work for &lt;NBFC&gt; in scope year.</w:t>
      </w:r>
    </w:p>
    <w:p>
      <w:r>
        <w:rPr>
          <w:rFonts w:ascii="Calibri" w:hAnsi="Calibri"/>
          <w:b/>
          <w:color w:val="0F2A4A"/>
          <w:sz w:val="28"/>
        </w:rPr>
        <w:t>12. Required submission format</w:t>
      </w:r>
    </w:p>
    <w:p>
      <w:pPr>
        <w:pStyle w:val="ListBullet"/>
      </w:pPr>
      <w:r>
        <w:rPr>
          <w:sz w:val="20"/>
        </w:rPr>
        <w:t>Cover letter (1 page, signed by Country Head).</w:t>
      </w:r>
    </w:p>
    <w:p>
      <w:pPr>
        <w:pStyle w:val="ListBullet"/>
      </w:pPr>
      <w:r>
        <w:rPr>
          <w:sz w:val="20"/>
        </w:rPr>
        <w:t>Executive summary (2 pp) - engagement approach, key-staff, dates.</w:t>
      </w:r>
    </w:p>
    <w:p>
      <w:pPr>
        <w:pStyle w:val="ListBullet"/>
      </w:pPr>
      <w:r>
        <w:rPr>
          <w:sz w:val="20"/>
        </w:rPr>
        <w:t>Resumes (engagement partner, manager, in-charge).</w:t>
      </w:r>
    </w:p>
    <w:p>
      <w:pPr>
        <w:pStyle w:val="ListBullet"/>
      </w:pPr>
      <w:r>
        <w:rPr>
          <w:sz w:val="20"/>
        </w:rPr>
        <w:t>Plan-of-test (10 pp).</w:t>
      </w:r>
    </w:p>
    <w:p>
      <w:pPr>
        <w:pStyle w:val="ListBullet"/>
      </w:pPr>
      <w:r>
        <w:rPr>
          <w:sz w:val="20"/>
        </w:rPr>
        <w:t>Fee proposal in sealed PDF + xlsx (Rate Card tab).</w:t>
      </w:r>
    </w:p>
    <w:p>
      <w:pPr>
        <w:pStyle w:val="ListBullet"/>
      </w:pPr>
      <w:r>
        <w:rPr>
          <w:sz w:val="20"/>
        </w:rPr>
        <w:t>Recent peer review report (redacted).</w:t>
      </w:r>
    </w:p>
    <w:p>
      <w:pPr>
        <w:pStyle w:val="ListBullet"/>
      </w:pPr>
      <w:r>
        <w:rPr>
          <w:sz w:val="20"/>
        </w:rPr>
        <w:t>2 NBFC / fintech SOC 2 client refs (will be phone-confirmed).</w:t>
      </w:r>
    </w:p>
    <w:p>
      <w:r>
        <w:rPr>
          <w:rFonts w:ascii="Calibri" w:hAnsi="Calibri"/>
          <w:b/>
          <w:color w:val="0F2A4A"/>
          <w:sz w:val="28"/>
        </w:rPr>
        <w:t>13. Evaluation criteria (weights shown)</w:t>
      </w:r>
    </w:p>
    <w:p>
      <w:pPr>
        <w:pStyle w:val="ListBullet"/>
      </w:pPr>
      <w:r>
        <w:rPr>
          <w:sz w:val="20"/>
        </w:rPr>
        <w:t>Audit firm experience &amp; NBFC track record - 25%</w:t>
      </w:r>
    </w:p>
    <w:p>
      <w:pPr>
        <w:pStyle w:val="ListBullet"/>
      </w:pPr>
      <w:r>
        <w:rPr>
          <w:sz w:val="20"/>
        </w:rPr>
        <w:t>Quality of methodology &amp; plan-of-test - 25%</w:t>
      </w:r>
    </w:p>
    <w:p>
      <w:pPr>
        <w:pStyle w:val="ListBullet"/>
      </w:pPr>
      <w:r>
        <w:rPr>
          <w:sz w:val="20"/>
        </w:rPr>
        <w:t>Key-staff quality - 20%</w:t>
      </w:r>
    </w:p>
    <w:p>
      <w:pPr>
        <w:pStyle w:val="ListBullet"/>
      </w:pPr>
      <w:r>
        <w:rPr>
          <w:sz w:val="20"/>
        </w:rPr>
        <w:t>Fee - 20%</w:t>
      </w:r>
    </w:p>
    <w:p>
      <w:pPr>
        <w:pStyle w:val="ListBullet"/>
      </w:pPr>
      <w:r>
        <w:rPr>
          <w:sz w:val="20"/>
        </w:rPr>
        <w:t>Insurance / indemnity independence - 10%</w:t>
      </w:r>
    </w:p>
    <w:p>
      <w:r>
        <w:rPr>
          <w:rFonts w:ascii="Calibri" w:hAnsi="Calibri"/>
          <w:b/>
          <w:color w:val="0F2A4A"/>
          <w:sz w:val="28"/>
        </w:rPr>
        <w:t>14. RFP contacts</w:t>
      </w:r>
    </w:p>
    <w:p>
      <w:pPr>
        <w:spacing w:after="40"/>
      </w:pPr>
      <w:r>
        <w:rPr>
          <w:sz w:val="20"/>
        </w:rPr>
        <w:t>RFP focal: &lt;Name&gt;, CFO Office - procurement@nbfc.in</w:t>
      </w:r>
    </w:p>
    <w:p>
      <w:pPr>
        <w:spacing w:after="40"/>
      </w:pPr>
      <w:r>
        <w:rPr>
          <w:sz w:val="20"/>
        </w:rPr>
        <w:t>Technical: &lt;Name&gt;, CISO Office - ciso@nbfc.in</w:t>
      </w:r>
    </w:p>
    <w:p>
      <w:pPr>
        <w:spacing w:after="40"/>
      </w:pPr>
      <w:r>
        <w:rPr>
          <w:sz w:val="20"/>
        </w:rPr>
        <w:t>Compliance: &lt;Name&gt;, DPO - dpo@nbfc.in</w:t>
      </w:r>
    </w:p>
    <w:p>
      <w:pPr>
        <w:spacing w:after="40"/>
      </w:pPr>
      <w:r>
        <w:rPr>
          <w:sz w:val="20"/>
        </w:rPr>
        <w:t>All questions via procurement portal &lt;URL&gt; until &lt;date&gt;.</w:t>
      </w:r>
    </w:p>
    <w:p>
      <w:r>
        <w:rPr>
          <w:color w:val="B4B4B4"/>
          <w:sz w:val="16"/>
        </w:rPr>
        <w:t>____________________________________________________________</w:t>
      </w:r>
    </w:p>
    <w:p>
      <w:pPr>
        <w:spacing w:after="40"/>
      </w:pPr>
      <w:r>
        <w:rPr>
          <w:sz w:val="20"/>
        </w:rPr>
        <w:t>&lt;NBFC&gt; reserves the right to reject any or all bids without assigning reasons. This RFP does not constitute an offer of engagement.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