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jc w:val="center"/>
        <w:rPr>
          <w:rFonts w:ascii="Cambria" w:cs="Cambria" w:eastAsia="Cambria" w:hAnsi="Cambria"/>
          <w:color w:val="000000"/>
          <w:sz w:val="46"/>
          <w:szCs w:val="46"/>
        </w:rPr>
      </w:pPr>
      <w:bookmarkStart w:colFirst="0" w:colLast="0" w:name="_kkj5d7gkjhsl" w:id="0"/>
      <w:bookmarkEnd w:id="0"/>
      <w:r w:rsidDel="00000000" w:rsidR="00000000" w:rsidRPr="00000000">
        <w:rPr>
          <w:rFonts w:ascii="Cambria" w:cs="Cambria" w:eastAsia="Cambria" w:hAnsi="Cambria"/>
          <w:color w:val="000000"/>
          <w:sz w:val="46"/>
          <w:szCs w:val="46"/>
          <w:rtl w:val="0"/>
        </w:rPr>
        <w:t xml:space="preserve">TEST</w:t>
      </w:r>
      <w:r w:rsidDel="00000000" w:rsidR="00000000" w:rsidRPr="00000000">
        <w:rPr>
          <w:rFonts w:ascii="Cambria" w:cs="Cambria" w:eastAsia="Cambria" w:hAnsi="Cambria"/>
          <w:color w:val="000000"/>
          <w:sz w:val="46"/>
          <w:szCs w:val="46"/>
          <w:rtl w:val="0"/>
        </w:rPr>
        <w:t xml:space="preserve"> DESIGN SPECIFICATION FROM INSPECTION CHECKLIST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Pr>
          <w:rFonts w:ascii="Arial" w:hAnsi="Arial"/>
          <w:b/>
          <w:sz w:val="22"/>
        </w:rPr>
        <w:t>Kelas PKPL : PKPL (Pengujian Kualitas Perangkat Lunak)</w:t>
      </w:r>
    </w:p>
    <w:p w:rsidR="00000000" w:rsidDel="00000000" w:rsidP="00000000" w:rsidRDefault="00000000" w:rsidRPr="00000000" w14:paraId="00000004">
      <w:pPr>
        <w:rPr/>
      </w:pPr>
      <w:r>
        <w:rPr>
          <w:rFonts w:ascii="Arial" w:hAnsi="Arial"/>
          <w:b/>
          <w:sz w:val="22"/>
        </w:rPr>
        <w:t>Nomor Kelompok : Kelompok 6 (GadgetStock) — Kakas Bantu: SonarQube</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9"/>
        <w:gridCol w:w="2259"/>
        <w:gridCol w:w="4120"/>
        <w:tblGridChange w:id="0">
          <w:tblGrid>
            <w:gridCol w:w="2259"/>
            <w:gridCol w:w="2259"/>
            <w:gridCol w:w="4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
            <w:r>
              <w:rPr>
                <w:b/>
                <w:sz w:val="20"/>
              </w:rPr>
              <w:t>Nama Anggota Kelompok :</w:t>
              <w:br/>
            </w:r>
            <w:r>
              <w:rPr>
                <w:sz w:val="19"/>
              </w:rPr>
              <w:t>1. Achmad Ardi Sukmadi</w:t>
              <w:br/>
              <w:t>2. Arvin Rahmad Hidayat (Security Tester)</w:t>
              <w:br/>
              <w:t>3. Laode Siradi Amrin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
            <w:r>
              <w:rPr>
                <w:b/>
                <w:sz w:val="20"/>
              </w:rPr>
              <w:t>NIM :</w:t>
              <w:br/>
            </w:r>
            <w:r>
              <w:rPr>
                <w:sz w:val="19"/>
              </w:rPr>
              <w:t>202310370311049</w:t>
              <w:br/>
              <w:t>202310370311024</w:t>
              <w:br/>
              <w:t>202310370311016</w:t>
            </w:r>
          </w:p>
        </w:tc>
      </w:tr>
    </w:tbl>
    <w:p w:rsidR="00000000" w:rsidDel="00000000" w:rsidP="00000000" w:rsidRDefault="00000000" w:rsidRPr="00000000" w14:paraId="0000000E">
      <w:pPr>
        <w:pStyle w:val="Heading2"/>
        <w:keepNext w:val="0"/>
        <w:keepLines w:val="0"/>
        <w:spacing w:after="80" w:before="360" w:lineRule="auto"/>
        <w:jc w:val="both"/>
        <w:rPr/>
      </w:pPr>
      <w:bookmarkStart w:colFirst="0" w:colLast="0" w:name="_j03mla8rbfhi" w:id="1"/>
      <w:bookmarkEnd w:id="1"/>
      <w:r w:rsidDel="00000000" w:rsidR="00000000" w:rsidRPr="00000000">
        <w:rPr>
          <w:rFonts w:ascii="Cambria" w:cs="Cambria" w:eastAsia="Cambria" w:hAnsi="Cambria"/>
          <w:color w:val="000000"/>
          <w:sz w:val="34"/>
          <w:szCs w:val="34"/>
          <w:rtl w:val="0"/>
        </w:rPr>
        <w:t xml:space="preserve">Coverage Items for Security</w:t>
      </w:r>
      <w:r w:rsidDel="00000000" w:rsidR="00000000" w:rsidRPr="00000000">
        <w:rPr>
          <w:rtl w:val="0"/>
        </w:rPr>
      </w:r>
    </w:p>
    <w:tbl>
      <w:tblPr>
        <w:tblStyle w:val="Table2"/>
        <w:tblW w:w="942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710"/>
        <w:gridCol w:w="2228"/>
        <w:gridCol w:w="1855"/>
        <w:gridCol w:w="1855"/>
        <w:tblGridChange w:id="0">
          <w:tblGrid>
            <w:gridCol w:w="1770"/>
            <w:gridCol w:w="1710"/>
            <w:gridCol w:w="2228"/>
            <w:gridCol w:w="1855"/>
            <w:gridCol w:w="185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center"/>
            <w:shd w:fill="1A365D"/>
            <w:shd w:fill="1B2A4A"/>
          </w:tcPr>
          <w:p>
            <w:pPr>
              <w:spacing w:before="40" w:after="40" w:line="276" w:lineRule="auto"/>
              <w:jc w:val="center"/>
            </w:pPr>
            <w:r/>
            <w:r>
              <w:rPr>
                <w:rFonts w:ascii="Arial" w:hAnsi="Arial"/>
                <w:b/>
                <w:color w:val="FFFFFF"/>
                <w:sz w:val="18"/>
              </w:rPr>
              <w:t>ID</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center"/>
            <w:shd w:fill="1A365D"/>
            <w:shd w:fill="1B2A4A"/>
          </w:tcPr>
          <w:p>
            <w:pPr>
              <w:spacing w:before="40" w:after="40" w:line="276" w:lineRule="auto"/>
              <w:jc w:val="center"/>
            </w:pPr>
            <w:r/>
            <w:r>
              <w:rPr>
                <w:rFonts w:ascii="Arial" w:hAnsi="Arial"/>
                <w:b/>
                <w:color w:val="FFFFFF"/>
                <w:sz w:val="18"/>
              </w:rPr>
              <w:t>Kriteria (SonarQube Rule &amp; SKPL)</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center"/>
            <w:shd w:fill="1A365D"/>
            <w:shd w:fill="1B2A4A"/>
          </w:tcPr>
          <w:p>
            <w:pPr>
              <w:spacing w:before="40" w:after="40" w:line="276" w:lineRule="auto"/>
              <w:jc w:val="center"/>
            </w:pPr>
            <w:r/>
            <w:r>
              <w:rPr>
                <w:rFonts w:ascii="Arial" w:hAnsi="Arial"/>
                <w:b/>
                <w:color w:val="FFFFFF"/>
                <w:sz w:val="18"/>
              </w:rPr>
              <w:t>Related Test Condition</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center"/>
            <w:shd w:fill="1A365D"/>
            <w:shd w:fill="1B2A4A"/>
          </w:tcPr>
          <w:p>
            <w:pPr>
              <w:spacing w:before="40" w:after="40" w:line="276" w:lineRule="auto"/>
              <w:jc w:val="center"/>
            </w:pPr>
            <w:r/>
            <w:r>
              <w:rPr>
                <w:rFonts w:ascii="Arial" w:hAnsi="Arial"/>
                <w:b/>
                <w:color w:val="FFFFFF"/>
                <w:sz w:val="18"/>
              </w:rPr>
              <w:t>Link GitHub pengerjaan testing</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center"/>
            <w:shd w:fill="1A365D"/>
            <w:shd w:fill="1B2A4A"/>
          </w:tcPr>
          <w:p>
            <w:pPr>
              <w:spacing w:before="40" w:after="40" w:line="276" w:lineRule="auto"/>
              <w:jc w:val="center"/>
            </w:pPr>
            <w:r/>
            <w:r>
              <w:rPr>
                <w:rFonts w:ascii="Arial" w:hAnsi="Arial"/>
                <w:b/>
                <w:color w:val="FFFFFF"/>
                <w:sz w:val="18"/>
              </w:rPr>
              <w:t>Tangkap Layar Total test case berbanding successful test (SonarQube)</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shd w:fill="FFFFFF"/>
            <w:shd w:fill="FFFFFF"/>
          </w:tcPr>
          <w:p>
            <w:pPr>
              <w:spacing w:before="40" w:after="40" w:line="276" w:lineRule="auto"/>
              <w:jc w:val="center"/>
            </w:pPr>
            <w:r/>
            <w:r>
              <w:rPr>
                <w:rFonts w:ascii="Arial" w:hAnsi="Arial"/>
                <w:b/>
                <w:color w:val="1B2A4A"/>
                <w:sz w:val="19"/>
              </w:rPr>
              <w:t>NFR-001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shd w:fill="FFFFFF"/>
            <w:shd w:fill="FFFFFF"/>
          </w:tcPr>
          <w:p>
            <w:pPr>
              <w:spacing w:before="40" w:after="40" w:line="276" w:lineRule="auto"/>
              <w:jc w:val="left"/>
            </w:pPr>
            <w:r/>
            <w:r>
              <w:rPr>
                <w:rFonts w:ascii="Arial" w:hAnsi="Arial"/>
                <w:b w:val="0"/>
                <w:color w:val="000000"/>
                <w:sz w:val="17"/>
              </w:rPr>
              <w:t>Autentikasi Pengguna &amp; Validasi Kredensial</w:t>
              <w:br/>
              <w:t>(Kakas Bantu: SonarQube Rule RSPEC-2068 &amp; CWE-259/521)</w:t>
              <w:br/>
              <w:br/>
              <w:t>Sistem wajib memvalidasi kelengkapan form autentikasi, format Employee ID (GS-EMP- Kasir, GS-SPV- Manajer, GS-ADM- Admin), dan panjang kata sandi &gt;= 6 karakter guna mencegah serangan brute force dan kredensial lemah.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shd w:fill="FFFFFF"/>
            <w:shd w:fill="FFFFFF"/>
          </w:tcPr>
          <w:p>
            <w:pPr>
              <w:spacing w:before="40" w:after="40" w:line="276" w:lineRule="auto"/>
              <w:jc w:val="left"/>
            </w:pPr>
            <w:r/>
            <w:r>
              <w:rPr>
                <w:rFonts w:ascii="Arial" w:hAnsi="Arial"/>
                <w:b w:val="0"/>
                <w:color w:val="000000"/>
                <w:sz w:val="17"/>
              </w:rPr>
              <w:t>Modul: api/auth/index.js, public/js/pages/auth.js</w:t>
              <w:br/>
              <w:br/>
              <w:t>Kakas Bantu: SonarQube SAST &amp; Jest Test Runner</w:t>
              <w:br/>
              <w:t>Fungsi / Suite: AuthValidationTest</w:t>
              <w:br/>
              <w:t>• validateLogin (cek kelengkapan input)</w:t>
              <w:br/>
              <w:t>• validateSignup (format ID &amp; min length)</w:t>
              <w:br/>
              <w:t>• determineRole (pemetaan role otomatis)</w:t>
              <w:br/>
              <w:t>• validatePasswordChange (panjang &gt;= 6)</w:t>
              <w:br/>
              <w:br/>
              <w:t>Hasil: 9 / 9 Test Cases Passed (100% Success)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shd w:fill="FFFFFF"/>
            <w:shd w:fill="FFFFFF"/>
          </w:tcPr>
          <w:p>
            <w:pPr>
              <w:spacing w:before="40" w:after="40" w:line="276" w:lineRule="auto"/>
              <w:jc w:val="left"/>
            </w:pPr>
            <w:r/>
            <w:r>
              <w:rPr>
                <w:rFonts w:ascii="Arial" w:hAnsi="Arial"/>
                <w:b w:val="0"/>
                <w:color w:val="0D47A1"/>
                <w:sz w:val="17"/>
              </w:rPr>
              <w:t>https://github.com/SukmadiArdi/GadgetStock/blob/main/tests/AuthTest.test.js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shd w:fill="FFFFFF"/>
            <w:shd w:fill="FFFFFF"/>
          </w:tcPr>
          <w:p>
            <w:pPr>
              <w:spacing w:before="40" w:after="40"/>
              <w:jc w:val="center"/>
            </w:pPr>
            <w:r/>
            <w:r>
              <w:drawing>
                <wp:inline>
                  <wp:extent cx="2148840" cy="899514"/>
                  <wp:docPr id="5" name="Picture 5"/>
                  <wp:cNvGraphicFramePr>
                    <a:graphicFrameLocks noChangeAspect="1"/>
                  </wp:cNvGraphicFramePr>
                  <a:graphic>
                    <a:graphicData uri="http://schemas.openxmlformats.org/drawingml/2006/picture">
                      <pic:pic>
                        <pic:nvPicPr>
                          <pic:cNvPr id="0" name="sonarqube_nfr001_auth.png"/>
                          <pic:cNvPicPr/>
                        </pic:nvPicPr>
                        <pic:blipFill>
                          <a:blip r:embed="rId10"/>
                          <a:stretch>
                            <a:fillRect/>
                          </a:stretch>
                        </pic:blipFill>
                        <pic:spPr>
                          <a:xfrm>
                            <a:off x="0" y="0"/>
                            <a:ext cx="2148840" cy="899514"/>
                          </a:xfrm>
                          <a:prstGeom prst="rect"/>
                        </pic:spPr>
                      </pic:pic>
                    </a:graphicData>
                  </a:graphic>
                </wp:inline>
              </w:drawing>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shd w:fill="F8FAFC"/>
            <w:shd w:fill="F8FAFC"/>
          </w:tcPr>
          <w:p>
            <w:pPr>
              <w:spacing w:before="40" w:after="40" w:line="276" w:lineRule="auto"/>
              <w:jc w:val="center"/>
            </w:pPr>
            <w:r/>
            <w:r>
              <w:rPr>
                <w:rFonts w:ascii="Arial" w:hAnsi="Arial"/>
                <w:b/>
                <w:color w:val="1B2A4A"/>
                <w:sz w:val="19"/>
              </w:rPr>
              <w:t>NFR-002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shd w:fill="F8FAFC"/>
            <w:shd w:fill="F8FAFC"/>
          </w:tcPr>
          <w:p>
            <w:pPr>
              <w:spacing w:before="40" w:after="40" w:line="276" w:lineRule="auto"/>
              <w:jc w:val="left"/>
            </w:pPr>
            <w:r/>
            <w:r>
              <w:rPr>
                <w:rFonts w:ascii="Arial" w:hAnsi="Arial"/>
                <w:b w:val="0"/>
                <w:color w:val="000000"/>
                <w:sz w:val="17"/>
              </w:rPr>
              <w:t>Role-Based Access Control (RBAC) &amp; Proteksi Akses Kritis</w:t>
              <w:br/>
              <w:t>(Kakas Bantu: SonarQube Rule RSPEC-5883 &amp; CWE-285)</w:t>
              <w:br/>
              <w:br/>
              <w:t>Sistem harus menegakkan pembatasan hak akses peran pengguna secara ketat. Kasir (cashier) dibatasi hanya ke fitur operasional kasir (POS, checkout, nota, view inventori) dan dilarang mengakses laporan keuangan, analitik, kelola produk, dan pengaturan toko. Manajer dan Admin diberikan akses penuh.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shd w:fill="F8FAFC"/>
            <w:shd w:fill="F8FAFC"/>
          </w:tcPr>
          <w:p>
            <w:pPr>
              <w:spacing w:before="40" w:after="40" w:line="276" w:lineRule="auto"/>
              <w:jc w:val="left"/>
            </w:pPr>
            <w:r/>
            <w:r>
              <w:rPr>
                <w:rFonts w:ascii="Arial" w:hAnsi="Arial"/>
                <w:b w:val="0"/>
                <w:color w:val="000000"/>
                <w:sz w:val="17"/>
              </w:rPr>
              <w:t>Modul: public/js/utils.js, public/js/router.js</w:t>
              <w:br/>
              <w:br/>
              <w:t>Kakas Bantu: SonarQube SAST &amp; Jest Test Runner</w:t>
              <w:br/>
              <w:t>Fungsi / Suite: RbacPrivilegeProtectionTest</w:t>
              <w:br/>
              <w:t>• canAccess(feature, user)</w:t>
              <w:br/>
              <w:t>• isManagerOrAbove(user)</w:t>
              <w:br/>
              <w:t>• checkRouteAccess (Route Guards)</w:t>
              <w:br/>
              <w:br/>
              <w:t>Hasil: 9 / 9 Test Cases Passed (100% Success)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shd w:fill="F8FAFC"/>
            <w:shd w:fill="F8FAFC"/>
          </w:tcPr>
          <w:p>
            <w:pPr>
              <w:spacing w:before="40" w:after="40" w:line="276" w:lineRule="auto"/>
              <w:jc w:val="left"/>
            </w:pPr>
            <w:r/>
            <w:r>
              <w:rPr>
                <w:rFonts w:ascii="Arial" w:hAnsi="Arial"/>
                <w:b w:val="0"/>
                <w:color w:val="0D47A1"/>
                <w:sz w:val="17"/>
              </w:rPr>
              <w:t>https://github.com/SukmadiArdi/GadgetStock/blob/main/tests/RbacSecurity.test.js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shd w:fill="F8FAFC"/>
            <w:shd w:fill="F8FAFC"/>
          </w:tcPr>
          <w:p>
            <w:pPr>
              <w:spacing w:before="40" w:after="40"/>
              <w:jc w:val="center"/>
            </w:pPr>
            <w:r/>
            <w:r>
              <w:drawing>
                <wp:inline>
                  <wp:extent cx="2148840" cy="899514"/>
                  <wp:docPr id="6" name="Picture 6"/>
                  <wp:cNvGraphicFramePr>
                    <a:graphicFrameLocks noChangeAspect="1"/>
                  </wp:cNvGraphicFramePr>
                  <a:graphic>
                    <a:graphicData uri="http://schemas.openxmlformats.org/drawingml/2006/picture">
                      <pic:pic>
                        <pic:nvPicPr>
                          <pic:cNvPr id="0" name="sonarqube_nfr002_rbac.png"/>
                          <pic:cNvPicPr/>
                        </pic:nvPicPr>
                        <pic:blipFill>
                          <a:blip r:embed="rId11"/>
                          <a:stretch>
                            <a:fillRect/>
                          </a:stretch>
                        </pic:blipFill>
                        <pic:spPr>
                          <a:xfrm>
                            <a:off x="0" y="0"/>
                            <a:ext cx="2148840" cy="899514"/>
                          </a:xfrm>
                          <a:prstGeom prst="rect"/>
                        </pic:spPr>
                      </pic:pic>
                    </a:graphicData>
                  </a:graphic>
                </wp:inline>
              </w:drawing>
            </w:r>
          </w:p>
        </w:tc>
      </w:tr>
      <w:tr>
        <w:tc>
          <w:tcPr>
            <w:tcW w:type="dxa" w:w="1770"/>
            <w:vAlign w:val="center"/>
            <w:shd w:fill="FFFFFF"/>
            <w:shd w:fill="FFFFFF"/>
          </w:tcPr>
          <w:p>
            <w:pPr>
              <w:spacing w:before="40" w:after="40" w:line="276" w:lineRule="auto"/>
              <w:jc w:val="center"/>
            </w:pPr>
            <w:r/>
            <w:r>
              <w:rPr>
                <w:rFonts w:ascii="Arial" w:hAnsi="Arial"/>
                <w:b/>
                <w:color w:val="1B2A4A"/>
                <w:sz w:val="19"/>
              </w:rPr>
              <w:t>NFR-003</w:t>
            </w:r>
          </w:p>
        </w:tc>
        <w:tc>
          <w:tcPr>
            <w:tcW w:type="dxa" w:w="1710"/>
            <w:vAlign w:val="center"/>
            <w:shd w:fill="FFFFFF"/>
            <w:shd w:fill="FFFFFF"/>
          </w:tcPr>
          <w:p>
            <w:pPr>
              <w:spacing w:before="40" w:after="40" w:line="276" w:lineRule="auto"/>
              <w:jc w:val="left"/>
            </w:pPr>
            <w:r/>
            <w:r>
              <w:rPr>
                <w:rFonts w:ascii="Arial" w:hAnsi="Arial"/>
                <w:b w:val="0"/>
                <w:color w:val="000000"/>
                <w:sz w:val="17"/>
              </w:rPr>
              <w:t>Sanitasi Input Pengguna &amp; Pencegahan Cross-Site Scripting (XSS)</w:t>
              <w:br/>
              <w:t>(Kakas Bantu: SonarQube Rule RSPEC-5147 &amp; CWE-79)</w:t>
              <w:br/>
              <w:br/>
              <w:t>Seluruh input teks bebas dari pengguna (nama pelanggan customer_name, catatan transaksi notes, parameter pencarian) wajib disanitasi dari payload HTML dan script berbahaya (&lt;script&gt;, &lt;iframe&gt;, event listener onload/onerror) sebelum dirender ke DOM/struk atau disimpan ke DB.</w:t>
            </w:r>
          </w:p>
        </w:tc>
        <w:tc>
          <w:tcPr>
            <w:tcW w:type="dxa" w:w="2228"/>
            <w:vAlign w:val="center"/>
            <w:shd w:fill="FFFFFF"/>
            <w:shd w:fill="FFFFFF"/>
          </w:tcPr>
          <w:p>
            <w:pPr>
              <w:spacing w:before="40" w:after="40" w:line="276" w:lineRule="auto"/>
              <w:jc w:val="left"/>
            </w:pPr>
            <w:r/>
            <w:r>
              <w:rPr>
                <w:rFonts w:ascii="Arial" w:hAnsi="Arial"/>
                <w:b w:val="0"/>
                <w:color w:val="000000"/>
                <w:sz w:val="17"/>
              </w:rPr>
              <w:t>Modul: public/js/pages/receipt.js, public/js/pages/checkout.js, api/transactions/index.js</w:t>
              <w:br/>
              <w:br/>
              <w:t>Kakas Bantu: SonarQube SAST &amp; Jest Test Runner</w:t>
              <w:br/>
              <w:t>Fungsi / Suite: InputSanitizationXssTest</w:t>
              <w:br/>
              <w:t>• sanitizeHtml (HTML Entity Encoding)</w:t>
              <w:br/>
              <w:t>• containsDangerousHtml (deteksi injeksi script &amp; event handler)</w:t>
              <w:br/>
              <w:t>• Attribute breakout neutralization</w:t>
              <w:br/>
              <w:br/>
              <w:t>Hasil: 6 / 6 Test Cases Passed (100% Success)</w:t>
            </w:r>
          </w:p>
        </w:tc>
        <w:tc>
          <w:tcPr>
            <w:tcW w:type="dxa" w:w="1855"/>
            <w:vAlign w:val="center"/>
            <w:shd w:fill="FFFFFF"/>
            <w:shd w:fill="FFFFFF"/>
          </w:tcPr>
          <w:p>
            <w:pPr>
              <w:spacing w:before="40" w:after="40" w:line="276" w:lineRule="auto"/>
              <w:jc w:val="left"/>
            </w:pPr>
            <w:r/>
            <w:r>
              <w:rPr>
                <w:rFonts w:ascii="Arial" w:hAnsi="Arial"/>
                <w:b w:val="0"/>
                <w:color w:val="0D47A1"/>
                <w:sz w:val="17"/>
              </w:rPr>
              <w:t>https://github.com/SukmadiArdi/GadgetStock/blob/main/tests/InputSanitization.test.js</w:t>
            </w:r>
          </w:p>
        </w:tc>
        <w:tc>
          <w:tcPr>
            <w:tcW w:type="dxa" w:w="1855"/>
            <w:shd w:fill="FFFFFF"/>
            <w:shd w:fill="FFFFFF"/>
          </w:tcPr>
          <w:p>
            <w:pPr>
              <w:spacing w:before="40" w:after="40"/>
              <w:jc w:val="center"/>
            </w:pPr>
            <w:r/>
            <w:r>
              <w:drawing>
                <wp:inline>
                  <wp:extent cx="2148840" cy="899514"/>
                  <wp:docPr id="7" name="Picture 7"/>
                  <wp:cNvGraphicFramePr>
                    <a:graphicFrameLocks noChangeAspect="1"/>
                  </wp:cNvGraphicFramePr>
                  <a:graphic>
                    <a:graphicData uri="http://schemas.openxmlformats.org/drawingml/2006/picture">
                      <pic:pic>
                        <pic:nvPicPr>
                          <pic:cNvPr id="0" name="sonarqube_nfr003_xss.png"/>
                          <pic:cNvPicPr/>
                        </pic:nvPicPr>
                        <pic:blipFill>
                          <a:blip r:embed="rId12"/>
                          <a:stretch>
                            <a:fillRect/>
                          </a:stretch>
                        </pic:blipFill>
                        <pic:spPr>
                          <a:xfrm>
                            <a:off x="0" y="0"/>
                            <a:ext cx="2148840" cy="899514"/>
                          </a:xfrm>
                          <a:prstGeom prst="rect"/>
                        </pic:spPr>
                      </pic:pic>
                    </a:graphicData>
                  </a:graphic>
                </wp:inline>
              </w:drawing>
            </w:r>
          </w:p>
        </w:tc>
      </w:tr>
      <w:tr>
        <w:tc>
          <w:tcPr>
            <w:tcW w:type="dxa" w:w="1770"/>
            <w:vAlign w:val="center"/>
            <w:shd w:fill="F8FAFC"/>
            <w:shd w:fill="F8FAFC"/>
          </w:tcPr>
          <w:p>
            <w:pPr>
              <w:spacing w:before="40" w:after="40" w:line="276" w:lineRule="auto"/>
              <w:jc w:val="center"/>
            </w:pPr>
            <w:r/>
            <w:r>
              <w:rPr>
                <w:rFonts w:ascii="Arial" w:hAnsi="Arial"/>
                <w:b/>
                <w:color w:val="1B2A4A"/>
                <w:sz w:val="19"/>
              </w:rPr>
              <w:t>NFR-004</w:t>
            </w:r>
          </w:p>
        </w:tc>
        <w:tc>
          <w:tcPr>
            <w:tcW w:type="dxa" w:w="1710"/>
            <w:vAlign w:val="center"/>
            <w:shd w:fill="F8FAFC"/>
            <w:shd w:fill="F8FAFC"/>
          </w:tcPr>
          <w:p>
            <w:pPr>
              <w:spacing w:before="40" w:after="40" w:line="276" w:lineRule="auto"/>
              <w:jc w:val="left"/>
            </w:pPr>
            <w:r/>
            <w:r>
              <w:rPr>
                <w:rFonts w:ascii="Arial" w:hAnsi="Arial"/>
                <w:b w:val="0"/>
                <w:color w:val="000000"/>
                <w:sz w:val="17"/>
              </w:rPr>
              <w:t>Validasi Integritas Data Skema &amp; Penegakan RLS Database</w:t>
              <w:br/>
              <w:t>(Kakas Bantu: SonarQube Rule RSPEC-3641 &amp; CWE-20/89)</w:t>
              <w:br/>
              <w:br/>
              <w:t>Sistem menjamin integritas data (harga jual &gt;= 0, stok &gt;= 0, kuantitas item &gt; 0, keranjang tidak kosong) serta aturan Row Level Security (RLS) PostgreSQL Supabase yang membatasi hak INSERT/UPDATE/DELETE produk hanya untuk Manajer dan Admin. Mode Demo memblokir seluruh operasi mutasi data.</w:t>
            </w:r>
          </w:p>
        </w:tc>
        <w:tc>
          <w:tcPr>
            <w:tcW w:type="dxa" w:w="2228"/>
            <w:vAlign w:val="center"/>
            <w:shd w:fill="F8FAFC"/>
            <w:shd w:fill="F8FAFC"/>
          </w:tcPr>
          <w:p>
            <w:pPr>
              <w:spacing w:before="40" w:after="40" w:line="276" w:lineRule="auto"/>
              <w:jc w:val="left"/>
            </w:pPr>
            <w:r/>
            <w:r>
              <w:rPr>
                <w:rFonts w:ascii="Arial" w:hAnsi="Arial"/>
                <w:b w:val="0"/>
                <w:color w:val="000000"/>
                <w:sz w:val="17"/>
              </w:rPr>
              <w:t>Modul: supabase/schema.sql, api/products/, api/transactions/, public/js/api.js</w:t>
              <w:br/>
              <w:br/>
              <w:t>Kakas Bantu: SonarQube SAST &amp; Jest Test Runner</w:t>
              <w:br/>
              <w:t>Fungsi / Suite: DatabaseConstraintsRlsTest</w:t>
              <w:br/>
              <w:t>• validateProductSchema (price &gt;= 0, stock &gt;= 0)</w:t>
              <w:br/>
              <w:t>• validateTransactionPayload (qty &gt; 0, items non-empty)</w:t>
              <w:br/>
              <w:t>• evaluateRlsPolicy (RLS DML security rules)</w:t>
              <w:br/>
              <w:t>• simulateDemoModeGuard (block POST/PUT/DELETE)</w:t>
              <w:br/>
              <w:br/>
              <w:t>Hasil: 10 / 10 Test Cases Passed (100% Success)</w:t>
            </w:r>
          </w:p>
        </w:tc>
        <w:tc>
          <w:tcPr>
            <w:tcW w:type="dxa" w:w="1855"/>
            <w:vAlign w:val="center"/>
            <w:shd w:fill="F8FAFC"/>
            <w:shd w:fill="F8FAFC"/>
          </w:tcPr>
          <w:p>
            <w:pPr>
              <w:spacing w:before="40" w:after="40" w:line="276" w:lineRule="auto"/>
              <w:jc w:val="left"/>
            </w:pPr>
            <w:r/>
            <w:r>
              <w:rPr>
                <w:rFonts w:ascii="Arial" w:hAnsi="Arial"/>
                <w:b w:val="0"/>
                <w:color w:val="0D47A1"/>
                <w:sz w:val="17"/>
              </w:rPr>
              <w:t>https://github.com/SukmadiArdi/GadgetStock/blob/main/tests/DatabaseIntegrity.test.js</w:t>
            </w:r>
          </w:p>
        </w:tc>
        <w:tc>
          <w:tcPr>
            <w:tcW w:type="dxa" w:w="1855"/>
            <w:shd w:fill="F8FAFC"/>
            <w:shd w:fill="F8FAFC"/>
          </w:tcPr>
          <w:p>
            <w:pPr>
              <w:spacing w:before="40" w:after="40"/>
              <w:jc w:val="center"/>
            </w:pPr>
            <w:r/>
            <w:r>
              <w:drawing>
                <wp:inline>
                  <wp:extent cx="2148840" cy="899514"/>
                  <wp:docPr id="8" name="Picture 8"/>
                  <wp:cNvGraphicFramePr>
                    <a:graphicFrameLocks noChangeAspect="1"/>
                  </wp:cNvGraphicFramePr>
                  <a:graphic>
                    <a:graphicData uri="http://schemas.openxmlformats.org/drawingml/2006/picture">
                      <pic:pic>
                        <pic:nvPicPr>
                          <pic:cNvPr id="0" name="sonarqube_nfr004_rls.png"/>
                          <pic:cNvPicPr/>
                        </pic:nvPicPr>
                        <pic:blipFill>
                          <a:blip r:embed="rId13"/>
                          <a:stretch>
                            <a:fillRect/>
                          </a:stretch>
                        </pic:blipFill>
                        <pic:spPr>
                          <a:xfrm>
                            <a:off x="0" y="0"/>
                            <a:ext cx="2148840" cy="899514"/>
                          </a:xfrm>
                          <a:prstGeom prst="rect"/>
                        </pic:spPr>
                      </pic:pic>
                    </a:graphicData>
                  </a:graphic>
                </wp:inline>
              </w:drawing>
            </w:r>
          </w:p>
        </w:tc>
      </w:tr>
    </w:tbl>
    <w:p w:rsidR="00000000" w:rsidDel="00000000" w:rsidP="00000000" w:rsidRDefault="00000000" w:rsidRPr="00000000" w14:paraId="0000001E">
      <w:pPr>
        <w:pStyle w:val="Heading2"/>
        <w:keepNext w:val="0"/>
        <w:keepLines w:val="0"/>
        <w:spacing w:after="80" w:before="360" w:lineRule="auto"/>
        <w:jc w:val="both"/>
        <w:rPr/>
      </w:pPr>
      <w:bookmarkStart w:colFirst="0" w:colLast="0" w:name="_31wppkd3jaq7" w:id="2"/>
      <w:bookmarkEnd w:id="2"/>
      <w:r w:rsidDel="00000000" w:rsidR="00000000" w:rsidRPr="00000000">
        <w:rPr>
          <w:rFonts w:ascii="Cambria" w:cs="Cambria" w:eastAsia="Cambria" w:hAnsi="Cambria"/>
          <w:color w:val="000000"/>
          <w:sz w:val="34"/>
          <w:szCs w:val="34"/>
          <w:rtl w:val="0"/>
        </w:rPr>
        <w:t xml:space="preserve">Coverage Items for Mantainability</w:t>
      </w:r>
      <w:r w:rsidDel="00000000" w:rsidR="00000000" w:rsidRPr="00000000">
        <w:rPr>
          <w:rtl w:val="0"/>
        </w:rPr>
      </w:r>
    </w:p>
    <w:tbl>
      <w:tblPr>
        <w:tblStyle w:val="Table3"/>
        <w:tblW w:w="942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710"/>
        <w:gridCol w:w="2228"/>
        <w:gridCol w:w="1855"/>
        <w:gridCol w:w="1855"/>
        <w:tblGridChange w:id="0">
          <w:tblGrid>
            <w:gridCol w:w="1770"/>
            <w:gridCol w:w="1710"/>
            <w:gridCol w:w="2228"/>
            <w:gridCol w:w="1855"/>
            <w:gridCol w:w="185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Pr>
          <w:p w:rsidR="00000000" w:rsidDel="00000000" w:rsidP="00000000" w:rsidRDefault="00000000" w:rsidRPr="00000000" w14:paraId="0000001F">
            <w:pPr>
              <w:spacing w:after="0" w:line="276"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Pr>
          <w:p w:rsidR="00000000" w:rsidDel="00000000" w:rsidP="00000000" w:rsidRDefault="00000000" w:rsidRPr="00000000" w14:paraId="00000020">
            <w:pPr>
              <w:spacing w:after="0" w:line="276" w:lineRule="auto"/>
              <w:rPr/>
            </w:pPr>
            <w:r w:rsidDel="00000000" w:rsidR="00000000" w:rsidRPr="00000000">
              <w:rPr>
                <w:rtl w:val="0"/>
              </w:rPr>
              <w:t xml:space="preserve">Kriteria</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Pr>
          <w:p w:rsidR="00000000" w:rsidDel="00000000" w:rsidP="00000000" w:rsidRDefault="00000000" w:rsidRPr="00000000" w14:paraId="00000021">
            <w:pPr>
              <w:spacing w:after="0" w:line="276" w:lineRule="auto"/>
              <w:rPr/>
            </w:pPr>
            <w:r w:rsidDel="00000000" w:rsidR="00000000" w:rsidRPr="00000000">
              <w:rPr>
                <w:rtl w:val="0"/>
              </w:rPr>
              <w:t xml:space="preserve">Related Test Condition</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Pr>
          <w:p w:rsidR="00000000" w:rsidDel="00000000" w:rsidP="00000000" w:rsidRDefault="00000000" w:rsidRPr="00000000" w14:paraId="00000022">
            <w:pPr>
              <w:spacing w:after="0" w:line="276" w:lineRule="auto"/>
              <w:rPr/>
            </w:pPr>
            <w:r w:rsidDel="00000000" w:rsidR="00000000" w:rsidRPr="00000000">
              <w:rPr>
                <w:rtl w:val="0"/>
              </w:rPr>
              <w:t xml:space="preserve">Link GitHub pengerjaan testing</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Pr>
          <w:p w:rsidR="00000000" w:rsidDel="00000000" w:rsidP="00000000" w:rsidRDefault="00000000" w:rsidRPr="00000000" w14:paraId="00000023">
            <w:pPr>
              <w:spacing w:after="0" w:line="276" w:lineRule="auto"/>
              <w:rPr/>
            </w:pPr>
            <w:r w:rsidDel="00000000" w:rsidR="00000000" w:rsidRPr="00000000">
              <w:rPr>
                <w:rtl w:val="0"/>
              </w:rPr>
              <w:t xml:space="preserve">Tangkap Layar Test case / success ful test</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line="276" w:lineRule="auto"/>
              <w:jc w:val="both"/>
              <w:rPr/>
            </w:pPr>
            <w:r w:rsidDel="00000000" w:rsidR="00000000" w:rsidRPr="00000000">
              <w:rPr>
                <w:rtl w:val="0"/>
              </w:rPr>
              <w:t xml:space="preserve">NFR-003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line="276" w:lineRule="auto"/>
              <w:jc w:val="both"/>
              <w:rPr/>
            </w:pPr>
            <w:r w:rsidDel="00000000" w:rsidR="00000000" w:rsidRPr="00000000">
              <w:rPr>
                <w:rtl w:val="0"/>
              </w:rPr>
              <w:t xml:space="preserve">Tulis jelas apa Kriteria 1 anda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line="276" w:lineRule="auto"/>
              <w:jc w:val="both"/>
              <w:rPr/>
            </w:pPr>
            <w:r w:rsidDel="00000000" w:rsidR="00000000" w:rsidRPr="00000000">
              <w:rPr>
                <w:rtl w:val="0"/>
              </w:rPr>
              <w:t xml:space="preserve">Class… Modul… yang berkorelasi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line="276"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line="276" w:lineRule="auto"/>
              <w:jc w:val="both"/>
              <w:rPr/>
            </w:pP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line="276" w:lineRule="auto"/>
              <w:jc w:val="both"/>
              <w:rPr/>
            </w:pPr>
            <w:r w:rsidDel="00000000" w:rsidR="00000000" w:rsidRPr="00000000">
              <w:rPr>
                <w:rtl w:val="0"/>
              </w:rPr>
              <w:t xml:space="preserve">NFR-004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line="276" w:lineRule="auto"/>
              <w:jc w:val="both"/>
              <w:rPr/>
            </w:pPr>
            <w:r w:rsidDel="00000000" w:rsidR="00000000" w:rsidRPr="00000000">
              <w:rPr>
                <w:rtl w:val="0"/>
              </w:rPr>
              <w:t xml:space="preserve">Tulis jelas apa Kriteria 2 anda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line="276" w:lineRule="auto"/>
              <w:jc w:val="both"/>
              <w:rPr/>
            </w:pPr>
            <w:r w:rsidDel="00000000" w:rsidR="00000000" w:rsidRPr="00000000">
              <w:rPr>
                <w:rtl w:val="0"/>
              </w:rPr>
              <w:t xml:space="preserve">Class… Modul… yang berkorelasi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line="276" w:lineRule="auto"/>
              <w:jc w:val="both"/>
              <w:rPr/>
            </w:pPr>
            <w:r w:rsidDel="00000000" w:rsidR="00000000" w:rsidRPr="00000000">
              <w:rPr>
                <w:rtl w:val="0"/>
              </w:rPr>
            </w:r>
          </w:p>
        </w:tc>
      </w:tr>
    </w:tbl>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 LANJUTKAN UNTUK SELURUH ASPEK YANG ANDA TEMUKAN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