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val="0"/>
          <w:i w:val="0"/>
          <w:sz w:val="48"/>
        </w:rPr>
        <w:t>Physics-Informed Surrogate Modelling for Remaining Useful Life Estimation in Commercial Turbofan Engines Using NASA C-MAPSS with Asymmetric Safety-Aware Loss Evaluation</w:t>
      </w:r>
    </w:p>
    <w:p>
      <w:pPr>
        <w:spacing w:before="0" w:after="200"/>
        <w:jc w:val="center"/>
      </w:pPr>
      <w:r>
        <w:rPr>
          <w:rFonts w:ascii="Times New Roman" w:hAnsi="Times New Roman"/>
          <w:b w:val="0"/>
          <w:i/>
          <w:sz w:val="16"/>
        </w:rPr>
        <w:t>*Note: Sub-titles are not captured in Xplore and should not be used</w:t>
      </w:r>
    </w:p>
    <w:tbl>
      <w:tblPr>
        <w:tblW w:type="auto" w:w="0"/>
        <w:jc w:val="center"/>
        <w:tblLook w:firstColumn="1" w:firstRow="1" w:lastColumn="0" w:lastRow="0" w:noHBand="0" w:noVBand="1" w:val="04A0"/>
      </w:tblPr>
      <w:tblGrid>
        <w:gridCol w:w="3360"/>
        <w:gridCol w:w="3360"/>
        <w:gridCol w:w="3360"/>
      </w:tblGrid>
      <w:tr>
        <w:tc>
          <w:tcPr>
            <w:tcW w:type="dxa" w:w="3168"/>
          </w:tcPr>
          <w:p>
            <w:pPr>
              <w:jc w:val="left"/>
            </w:pPr>
            <w:r>
              <w:rPr>
                <w:rFonts w:ascii="Times New Roman" w:hAnsi="Times New Roman"/>
                <w:b w:val="0"/>
                <w:i w:val="0"/>
                <w:sz w:val="16"/>
              </w:rPr>
              <w:t>line 1: 1st A. Author</w:t>
            </w:r>
          </w:p>
          <w:p>
            <w:pPr>
              <w:jc w:val="left"/>
            </w:pPr>
            <w:r>
              <w:rPr>
                <w:rFonts w:ascii="Times New Roman" w:hAnsi="Times New Roman"/>
                <w:b w:val="0"/>
                <w:i/>
                <w:sz w:val="16"/>
              </w:rPr>
              <w:t>line 2: Dept. Aerospace &amp; Reliability Eng.</w:t>
            </w:r>
          </w:p>
          <w:p>
            <w:pPr>
              <w:jc w:val="left"/>
            </w:pPr>
            <w:r>
              <w:rPr>
                <w:rFonts w:ascii="Times New Roman" w:hAnsi="Times New Roman"/>
                <w:b w:val="0"/>
                <w:i/>
                <w:sz w:val="16"/>
              </w:rPr>
              <w:t xml:space="preserve">         (of Affiliation)</w:t>
            </w:r>
          </w:p>
          <w:p>
            <w:pPr>
              <w:jc w:val="left"/>
            </w:pPr>
            <w:r>
              <w:rPr>
                <w:rFonts w:ascii="Times New Roman" w:hAnsi="Times New Roman"/>
                <w:b w:val="0"/>
                <w:i/>
                <w:sz w:val="16"/>
              </w:rPr>
              <w:t>line 3: Institute of Advanced Propulsion Systems</w:t>
            </w:r>
          </w:p>
          <w:p>
            <w:pPr>
              <w:jc w:val="left"/>
            </w:pPr>
            <w:r>
              <w:rPr>
                <w:rFonts w:ascii="Times New Roman" w:hAnsi="Times New Roman"/>
                <w:b w:val="0"/>
                <w:i/>
                <w:sz w:val="16"/>
              </w:rPr>
              <w:t xml:space="preserve">         (of Affiliation)</w:t>
            </w:r>
          </w:p>
          <w:p>
            <w:pPr>
              <w:jc w:val="left"/>
            </w:pPr>
            <w:r>
              <w:rPr>
                <w:rFonts w:ascii="Times New Roman" w:hAnsi="Times New Roman"/>
                <w:b w:val="0"/>
                <w:i w:val="0"/>
                <w:sz w:val="16"/>
              </w:rPr>
              <w:t>line 4: City, Country</w:t>
            </w:r>
          </w:p>
          <w:p>
            <w:pPr>
              <w:jc w:val="left"/>
            </w:pPr>
            <w:r>
              <w:rPr>
                <w:rFonts w:ascii="Times New Roman" w:hAnsi="Times New Roman"/>
                <w:b w:val="0"/>
                <w:i w:val="0"/>
                <w:sz w:val="16"/>
              </w:rPr>
              <w:t>line 5: a.author@aps.edu</w:t>
            </w:r>
          </w:p>
        </w:tc>
        <w:tc>
          <w:tcPr>
            <w:tcW w:type="dxa" w:w="3168"/>
          </w:tcPr>
          <w:p>
            <w:pPr>
              <w:jc w:val="left"/>
            </w:pPr>
            <w:r>
              <w:rPr>
                <w:rFonts w:ascii="Times New Roman" w:hAnsi="Times New Roman"/>
                <w:b w:val="0"/>
                <w:i w:val="0"/>
                <w:sz w:val="16"/>
              </w:rPr>
              <w:t>line 1: 2nd B. Author</w:t>
            </w:r>
          </w:p>
          <w:p>
            <w:pPr>
              <w:jc w:val="left"/>
            </w:pPr>
            <w:r>
              <w:rPr>
                <w:rFonts w:ascii="Times New Roman" w:hAnsi="Times New Roman"/>
                <w:b w:val="0"/>
                <w:i/>
                <w:sz w:val="16"/>
              </w:rPr>
              <w:t>line 2: Dept. Machine Learning &amp; Intelligent Systems</w:t>
            </w:r>
          </w:p>
          <w:p>
            <w:pPr>
              <w:jc w:val="left"/>
            </w:pPr>
            <w:r>
              <w:rPr>
                <w:rFonts w:ascii="Times New Roman" w:hAnsi="Times New Roman"/>
                <w:b w:val="0"/>
                <w:i/>
                <w:sz w:val="16"/>
              </w:rPr>
              <w:t xml:space="preserve">         (of Affiliation)</w:t>
            </w:r>
          </w:p>
          <w:p>
            <w:pPr>
              <w:jc w:val="left"/>
            </w:pPr>
            <w:r>
              <w:rPr>
                <w:rFonts w:ascii="Times New Roman" w:hAnsi="Times New Roman"/>
                <w:b w:val="0"/>
                <w:i/>
                <w:sz w:val="16"/>
              </w:rPr>
              <w:t>line 3: Institute of Advanced Propulsion Systems</w:t>
            </w:r>
          </w:p>
          <w:p>
            <w:pPr>
              <w:jc w:val="left"/>
            </w:pPr>
            <w:r>
              <w:rPr>
                <w:rFonts w:ascii="Times New Roman" w:hAnsi="Times New Roman"/>
                <w:b w:val="0"/>
                <w:i/>
                <w:sz w:val="16"/>
              </w:rPr>
              <w:t xml:space="preserve">         (of Affiliation)</w:t>
            </w:r>
          </w:p>
          <w:p>
            <w:pPr>
              <w:jc w:val="left"/>
            </w:pPr>
            <w:r>
              <w:rPr>
                <w:rFonts w:ascii="Times New Roman" w:hAnsi="Times New Roman"/>
                <w:b w:val="0"/>
                <w:i w:val="0"/>
                <w:sz w:val="16"/>
              </w:rPr>
              <w:t>line 4: City, Country</w:t>
            </w:r>
          </w:p>
          <w:p>
            <w:pPr>
              <w:jc w:val="left"/>
            </w:pPr>
            <w:r>
              <w:rPr>
                <w:rFonts w:ascii="Times New Roman" w:hAnsi="Times New Roman"/>
                <w:b w:val="0"/>
                <w:i w:val="0"/>
                <w:sz w:val="16"/>
              </w:rPr>
              <w:t>line 5: b.author@aps.edu</w:t>
            </w:r>
          </w:p>
        </w:tc>
        <w:tc>
          <w:tcPr>
            <w:tcW w:type="dxa" w:w="3168"/>
          </w:tcPr>
          <w:p>
            <w:pPr>
              <w:jc w:val="left"/>
            </w:pPr>
            <w:r>
              <w:rPr>
                <w:rFonts w:ascii="Times New Roman" w:hAnsi="Times New Roman"/>
                <w:b w:val="0"/>
                <w:i w:val="0"/>
                <w:sz w:val="16"/>
              </w:rPr>
              <w:t>line 1: 3rd C. Author</w:t>
            </w:r>
          </w:p>
          <w:p>
            <w:pPr>
              <w:jc w:val="left"/>
            </w:pPr>
            <w:r>
              <w:rPr>
                <w:rFonts w:ascii="Times New Roman" w:hAnsi="Times New Roman"/>
                <w:b w:val="0"/>
                <w:i/>
                <w:sz w:val="16"/>
              </w:rPr>
              <w:t>line 2: Dept. Avionics &amp; Control Systems</w:t>
            </w:r>
          </w:p>
          <w:p>
            <w:pPr>
              <w:jc w:val="left"/>
            </w:pPr>
            <w:r>
              <w:rPr>
                <w:rFonts w:ascii="Times New Roman" w:hAnsi="Times New Roman"/>
                <w:b w:val="0"/>
                <w:i/>
                <w:sz w:val="16"/>
              </w:rPr>
              <w:t xml:space="preserve">         (of Affiliation)</w:t>
            </w:r>
          </w:p>
          <w:p>
            <w:pPr>
              <w:jc w:val="left"/>
            </w:pPr>
            <w:r>
              <w:rPr>
                <w:rFonts w:ascii="Times New Roman" w:hAnsi="Times New Roman"/>
                <w:b w:val="0"/>
                <w:i/>
                <w:sz w:val="16"/>
              </w:rPr>
              <w:t>line 3: Aerospace Research Consortium</w:t>
            </w:r>
          </w:p>
          <w:p>
            <w:pPr>
              <w:jc w:val="left"/>
            </w:pPr>
            <w:r>
              <w:rPr>
                <w:rFonts w:ascii="Times New Roman" w:hAnsi="Times New Roman"/>
                <w:b w:val="0"/>
                <w:i/>
                <w:sz w:val="16"/>
              </w:rPr>
              <w:t xml:space="preserve">         (of Affiliation)</w:t>
            </w:r>
          </w:p>
          <w:p>
            <w:pPr>
              <w:jc w:val="left"/>
            </w:pPr>
            <w:r>
              <w:rPr>
                <w:rFonts w:ascii="Times New Roman" w:hAnsi="Times New Roman"/>
                <w:b w:val="0"/>
                <w:i w:val="0"/>
                <w:sz w:val="16"/>
              </w:rPr>
              <w:t>line 4: City, Country</w:t>
            </w:r>
          </w:p>
          <w:p>
            <w:pPr>
              <w:jc w:val="left"/>
            </w:pPr>
            <w:r>
              <w:rPr>
                <w:rFonts w:ascii="Times New Roman" w:hAnsi="Times New Roman"/>
                <w:b w:val="0"/>
                <w:i w:val="0"/>
                <w:sz w:val="16"/>
              </w:rPr>
              <w:t>line 5: c.author@arc.org</w:t>
            </w:r>
          </w:p>
        </w:tc>
      </w:tr>
    </w:tbl>
    <w:p>
      <w:pPr>
        <w:spacing w:before="0" w:after="0"/>
      </w:pPr>
      <w:r>
        <w:rPr>
          <w:sz w:val="16"/>
        </w:rPr>
      </w:r>
    </w:p>
    <w:p>
      <w:pPr>
        <w:sectPr>
          <w:pgSz w:w="12240" w:h="15840"/>
          <w:pgMar w:top="1080" w:right="1080" w:bottom="1440" w:left="1080" w:header="720" w:footer="720" w:gutter="0"/>
          <w:cols w:space="720"/>
          <w:docGrid w:linePitch="360"/>
        </w:sectPr>
      </w:pPr>
    </w:p>
    <w:p>
      <w:pPr>
        <w:spacing w:before="0" w:after="0" w:lineRule="exact" w:line="240"/>
        <w:jc w:val="both"/>
      </w:pPr>
      <w:r>
        <w:rPr>
          <w:rFonts w:ascii="Times New Roman" w:hAnsi="Times New Roman"/>
          <w:b/>
          <w:i/>
          <w:sz w:val="20"/>
        </w:rPr>
        <w:t>Abstract</w:t>
      </w:r>
      <w:r>
        <w:rPr>
          <w:rFonts w:ascii="Times New Roman" w:hAnsi="Times New Roman"/>
          <w:b w:val="0"/>
          <w:i/>
          <w:sz w:val="20"/>
        </w:rPr>
        <w:t>—Turbofan jet engine degradation remains one of the highest-cost failure modes in commercial aviation, where premature unscheduled engine removals cost airlines upwards of $450,000 per event and in-flight engine shutdowns carry catastrophic safety consequences. Existing approaches to Remaining Useful Life (RUL) estimation on the NASA C-MAPSS benchmark predominantly optimise symmetric Mean Squared Error (MSE) loss functions, creating an inherent safety misalignment. This paper presents a physics-informed aerothermal surrogate pipeline that integrates High-Pressure Compressor (HPC) gas-path degradation physics into feature engineering, applies zero-variance channel pruning to eliminate uninformative sensor flatlines, constructs 5-cycle trailing rolling statistics to suppress aerodynamic turbulence noise, and enforces a piecewise linear RUL target clamped at 125 cycles. We formally characterise the NASA Asymmetric Scoring Function and derive its theoretical basis for asymmetric exponential penalisation of late predictions. Comparative evaluation across Random Forest, XGBoost, and a two-layer PyTorch LSTM demonstrates RMSE scores between 13.5 and 16.7 flight cycles, with the physics-guided LSTM achieving a NASA Score of 318.2 and a mean signed error of -2.1 cycles (conservative bias). Results confirm that asymmetry-aware evaluation and physics-grounded feature coupling yield systematic improvements over naively-symmetric baselines.</w:t>
      </w:r>
    </w:p>
    <w:p>
      <w:pPr>
        <w:spacing w:before="0" w:after="0"/>
      </w:pPr>
      <w:r>
        <w:rPr>
          <w:sz w:val="6"/>
        </w:rPr>
      </w:r>
    </w:p>
    <w:p>
      <w:pPr>
        <w:spacing w:before="0" w:after="0" w:lineRule="exact" w:line="240"/>
        <w:jc w:val="both"/>
      </w:pPr>
      <w:r>
        <w:rPr>
          <w:rFonts w:ascii="Times New Roman" w:hAnsi="Times New Roman"/>
          <w:b w:val="0"/>
          <w:i/>
          <w:sz w:val="20"/>
        </w:rPr>
        <w:t>Keywords—</w:t>
      </w:r>
      <w:r>
        <w:rPr>
          <w:rFonts w:ascii="Times New Roman" w:hAnsi="Times New Roman"/>
          <w:b w:val="0"/>
          <w:i w:val="0"/>
          <w:sz w:val="20"/>
        </w:rPr>
        <w:t>predictive maintenance, remaining useful life, turbofan degradation, NASA C-MAPSS, asymmetric loss function, LSTM, digital twin</w:t>
      </w:r>
    </w:p>
    <w:p>
      <w:pPr>
        <w:spacing w:before="0" w:after="0"/>
      </w:pPr>
      <w:r>
        <w:rPr>
          <w:sz w:val="10"/>
        </w:rPr>
      </w:r>
    </w:p>
    <w:p>
      <w:pPr>
        <w:spacing w:before="120" w:after="40"/>
        <w:jc w:val="center"/>
      </w:pPr>
      <w:r>
        <w:rPr>
          <w:rFonts w:ascii="Times New Roman" w:hAnsi="Times New Roman"/>
          <w:b w:val="0"/>
          <w:i w:val="0"/>
          <w:sz w:val="20"/>
        </w:rPr>
        <w:t>I. INTRODUCTION</w:t>
      </w:r>
    </w:p>
    <w:p>
      <w:pPr>
        <w:spacing w:before="0" w:after="0"/>
      </w:pPr>
      <w:r>
        <w:rPr>
          <w:sz w:val="4"/>
        </w:rPr>
      </w:r>
    </w:p>
    <w:p>
      <w:pPr>
        <w:spacing w:before="0" w:after="0" w:lineRule="exact" w:line="240"/>
        <w:ind w:firstLine="259"/>
        <w:jc w:val="both"/>
      </w:pPr>
      <w:r>
        <w:rPr>
          <w:rFonts w:ascii="Times New Roman" w:hAnsi="Times New Roman"/>
          <w:b w:val="0"/>
          <w:i w:val="0"/>
          <w:sz w:val="20"/>
        </w:rPr>
        <w:t>The global commercial aviation sector operates a fleet exceeding 25,000 aircraft. High-bypass turbofan engines—exemplified by the GE90-115B, CFM56-7B, and Rolls-Royce Trent 700—cost between $15M and $30M per unit [1]. The mechanical failure dynamics of gas-turbine engines, specifically progressive degradation of High-Pressure Compressor (HPC) blade tip clearances and low-pressure turbine fouling, produce complex multi-variate time-series telemetry encoding each engine's thermodynamic history.</w:t>
      </w:r>
    </w:p>
    <w:p>
      <w:pPr>
        <w:spacing w:before="0" w:after="0" w:lineRule="exact" w:line="240"/>
        <w:ind w:firstLine="259"/>
        <w:jc w:val="both"/>
      </w:pPr>
      <w:r>
        <w:rPr>
          <w:rFonts w:ascii="Times New Roman" w:hAnsi="Times New Roman"/>
          <w:b w:val="0"/>
          <w:i w:val="0"/>
          <w:sz w:val="20"/>
        </w:rPr>
        <w:t>Current industry practice adheres to scheduled interval maintenance (SIM), wherein engines are removed at fixed calendar thresholds (every 5,000 flight hours). This creates two failure modes: (i) premature removal of engines with minimal degradation, wasting over $450,000 per shop visit; and (ii) missed anomaly detection producing In-Flight Shutdown (IFSD) events [2].</w:t>
      </w:r>
    </w:p>
    <w:p>
      <w:pPr>
        <w:spacing w:before="0" w:after="0" w:lineRule="exact" w:line="240"/>
        <w:ind w:firstLine="259"/>
        <w:jc w:val="both"/>
      </w:pPr>
      <w:r>
        <w:rPr>
          <w:rFonts w:ascii="Times New Roman" w:hAnsi="Times New Roman"/>
          <w:b w:val="0"/>
          <w:i w:val="0"/>
          <w:sz w:val="20"/>
        </w:rPr>
        <w:t>Three critical gaps persist in the literature: (1) symmetric MSE loss misaligns optimisation with aviation safety requirements; (2) most pipelines apply data-driven selection without thermodynamic physics grounding; and (3) few works address interpretability for operational deployment. This paper addresses all three gaps. Major contributions include:</w:t>
      </w:r>
    </w:p>
    <w:p>
      <w:pPr>
        <w:spacing w:before="0" w:after="0"/>
      </w:pPr>
      <w:r>
        <w:rPr>
          <w:sz w:val="2"/>
        </w:rPr>
      </w:r>
    </w:p>
    <w:p>
      <w:pPr>
        <w:pStyle w:val="ListBullet"/>
        <w:spacing w:before="0" w:after="0" w:lineRule="exact" w:line="240"/>
        <w:ind w:left="288"/>
        <w:jc w:val="both"/>
      </w:pPr>
      <w:r>
        <w:rPr>
          <w:rFonts w:ascii="Times New Roman" w:hAnsi="Times New Roman"/>
          <w:b w:val="0"/>
          <w:i w:val="0"/>
          <w:sz w:val="20"/>
        </w:rPr>
        <w:t>Formal zero-variance pruning reducing 21 to 14 sensor channels with thermodynamic justification.</w:t>
      </w:r>
    </w:p>
    <w:p>
      <w:pPr>
        <w:pStyle w:val="ListBullet"/>
        <w:spacing w:before="0" w:after="0" w:lineRule="exact" w:line="240"/>
        <w:ind w:left="288"/>
        <w:jc w:val="both"/>
      </w:pPr>
      <w:r>
        <w:rPr>
          <w:rFonts w:ascii="Times New Roman" w:hAnsi="Times New Roman"/>
          <w:b w:val="0"/>
          <w:i w:val="0"/>
          <w:sz w:val="20"/>
        </w:rPr>
        <w:t>Physics-informed degradation factor Δ_deg coupling HPC pressure drop, outlet temperatures, and fuel compensation.</w:t>
      </w:r>
    </w:p>
    <w:p>
      <w:pPr>
        <w:pStyle w:val="ListBullet"/>
        <w:spacing w:before="0" w:after="0" w:lineRule="exact" w:line="240"/>
        <w:ind w:left="288"/>
        <w:jc w:val="both"/>
      </w:pPr>
      <w:r>
        <w:rPr>
          <w:rFonts w:ascii="Times New Roman" w:hAnsi="Times New Roman"/>
          <w:b w:val="0"/>
          <w:i w:val="0"/>
          <w:sz w:val="20"/>
        </w:rPr>
        <w:t>Formal characterisation of the NASA Asymmetric Scoring Function with derived 1.75x late/early penalty ratio.</w:t>
      </w:r>
    </w:p>
    <w:p>
      <w:pPr>
        <w:pStyle w:val="ListBullet"/>
        <w:spacing w:before="0" w:after="0" w:lineRule="exact" w:line="240"/>
        <w:ind w:left="288"/>
        <w:jc w:val="both"/>
      </w:pPr>
      <w:r>
        <w:rPr>
          <w:rFonts w:ascii="Times New Roman" w:hAnsi="Times New Roman"/>
          <w:b w:val="0"/>
          <w:i w:val="0"/>
          <w:sz w:val="20"/>
        </w:rPr>
        <w:t>Two-layer dropout-regularised LSTM trained on 30-cycle sliding windows achieving RMSE = 13.47 cycles.</w:t>
      </w:r>
    </w:p>
    <w:p>
      <w:pPr>
        <w:pStyle w:val="ListBullet"/>
        <w:spacing w:before="0" w:after="0" w:lineRule="exact" w:line="240"/>
        <w:ind w:left="288"/>
        <w:jc w:val="both"/>
      </w:pPr>
      <w:r>
        <w:rPr>
          <w:rFonts w:ascii="Times New Roman" w:hAnsi="Times New Roman"/>
          <w:b w:val="0"/>
          <w:i w:val="0"/>
          <w:sz w:val="20"/>
        </w:rPr>
        <w:t>Browser-native Digital Twin dashboard enabling real-time counterfactual fault injection.</w:t>
      </w:r>
    </w:p>
    <w:p>
      <w:pPr>
        <w:spacing w:before="0" w:after="0"/>
      </w:pPr>
      <w:r>
        <w:rPr>
          <w:sz w:val="8"/>
        </w:rPr>
      </w:r>
    </w:p>
    <w:p>
      <w:pPr>
        <w:spacing w:before="120" w:after="40"/>
        <w:jc w:val="center"/>
      </w:pPr>
      <w:r>
        <w:rPr>
          <w:rFonts w:ascii="Times New Roman" w:hAnsi="Times New Roman"/>
          <w:b w:val="0"/>
          <w:i w:val="0"/>
          <w:sz w:val="20"/>
        </w:rPr>
        <w:t>II. RELATED WORK</w:t>
      </w:r>
    </w:p>
    <w:p>
      <w:pPr>
        <w:spacing w:before="0" w:after="0"/>
      </w:pPr>
      <w:r>
        <w:rPr>
          <w:sz w:val="4"/>
        </w:rPr>
      </w:r>
    </w:p>
    <w:p>
      <w:pPr>
        <w:spacing w:before="80" w:after="20"/>
        <w:jc w:val="left"/>
      </w:pPr>
      <w:r>
        <w:rPr>
          <w:rFonts w:ascii="Times New Roman" w:hAnsi="Times New Roman"/>
          <w:b w:val="0"/>
          <w:i/>
          <w:sz w:val="20"/>
        </w:rPr>
        <w:t>A. Time-Series RUL Estimation on C-MAPSS</w:t>
      </w:r>
    </w:p>
    <w:p>
      <w:pPr>
        <w:spacing w:before="0" w:after="0" w:lineRule="exact" w:line="240"/>
        <w:ind w:firstLine="259"/>
        <w:jc w:val="both"/>
      </w:pPr>
      <w:r>
        <w:rPr>
          <w:rFonts w:ascii="Times New Roman" w:hAnsi="Times New Roman"/>
          <w:b w:val="0"/>
          <w:i w:val="0"/>
          <w:sz w:val="20"/>
        </w:rPr>
        <w:t>Classical statistical methods (HMM, SVR) and MLP baselines were introduced alongside the dataset by Saxena et al. [3]. Gradient-boosted ensembles demonstrated RMSE ≈ 14.8 on FD001 [4]. Deep architectures now dominate: Zheng et al. [5] pioneered LSTM application (RMSE ≈ 16.14); Li et al. [6] proposed Temporal Convolutional Networks (RMSE ≈ 12.6); Transformer variants [7] achieved RMSE ≈ 11.8 at substantially greater computational cost.</w:t>
      </w:r>
    </w:p>
    <w:p>
      <w:pPr>
        <w:spacing w:before="80" w:after="20"/>
        <w:jc w:val="left"/>
      </w:pPr>
      <w:r>
        <w:rPr>
          <w:rFonts w:ascii="Times New Roman" w:hAnsi="Times New Roman"/>
          <w:b w:val="0"/>
          <w:i/>
          <w:sz w:val="20"/>
        </w:rPr>
        <w:t>B. Loss Function Design for Safety-Critical Applications</w:t>
      </w:r>
    </w:p>
    <w:p>
      <w:pPr>
        <w:spacing w:before="0" w:after="0" w:lineRule="exact" w:line="240"/>
        <w:ind w:firstLine="259"/>
        <w:jc w:val="both"/>
      </w:pPr>
      <w:r>
        <w:rPr>
          <w:rFonts w:ascii="Times New Roman" w:hAnsi="Times New Roman"/>
          <w:b w:val="0"/>
          <w:i w:val="0"/>
          <w:sz w:val="20"/>
        </w:rPr>
        <w:t>The vast majority of RUL papers report symmetric RMSE as the primary metric. Saxena and Goebel [8] formally specified the asymmetric scoring function for the IJCNN 2008 competition, recognising that late predictions carry categorically greater risk. Despite this, few training objectives explicitly incorporate asymmetry. Mo et al. [9] proposed asymmetric penalty-based training loss demonstrating improved NASA Score at marginal RMSE cost.</w:t>
      </w:r>
    </w:p>
    <w:p>
      <w:pPr>
        <w:spacing w:before="80" w:after="20"/>
        <w:jc w:val="left"/>
      </w:pPr>
      <w:r>
        <w:rPr>
          <w:rFonts w:ascii="Times New Roman" w:hAnsi="Times New Roman"/>
          <w:b w:val="0"/>
          <w:i/>
          <w:sz w:val="20"/>
        </w:rPr>
        <w:t>C. Physics-Informed Machine Learning for Prognostics</w:t>
      </w:r>
    </w:p>
    <w:p>
      <w:pPr>
        <w:spacing w:before="0" w:after="0" w:lineRule="exact" w:line="240"/>
        <w:ind w:firstLine="259"/>
        <w:jc w:val="both"/>
      </w:pPr>
      <w:r>
        <w:rPr>
          <w:rFonts w:ascii="Times New Roman" w:hAnsi="Times New Roman"/>
          <w:b w:val="0"/>
          <w:i w:val="0"/>
          <w:sz w:val="20"/>
        </w:rPr>
        <w:t>Physics-Informed Neural Networks (PINNs) [10] have been applied to structural health monitoring and battery state-of-health estimation, but limited work applies explicit thermodynamic gas-path physics to turbofan prognostic feature design. The present work encodes HPC gas-path physics within feature engineering enabling real-time browser-native inference without backend servers.</w:t>
      </w:r>
    </w:p>
    <w:p>
      <w:pPr>
        <w:spacing w:before="0" w:after="0"/>
      </w:pPr>
      <w:r>
        <w:rPr>
          <w:sz w:val="8"/>
        </w:rPr>
      </w:r>
    </w:p>
    <w:p>
      <w:pPr>
        <w:spacing w:before="120" w:after="40"/>
        <w:jc w:val="center"/>
      </w:pPr>
      <w:r>
        <w:rPr>
          <w:rFonts w:ascii="Times New Roman" w:hAnsi="Times New Roman"/>
          <w:b w:val="0"/>
          <w:i w:val="0"/>
          <w:sz w:val="20"/>
        </w:rPr>
        <w:t>III. PROPOSED FRAMEWORK: PHYSICS-INFORMED AEROTHERMAL RUL PIPELINE</w:t>
      </w:r>
    </w:p>
    <w:p>
      <w:pPr>
        <w:spacing w:before="0" w:after="0"/>
      </w:pPr>
      <w:r>
        <w:rPr>
          <w:sz w:val="4"/>
        </w:rPr>
      </w:r>
    </w:p>
    <w:p>
      <w:pPr>
        <w:spacing w:before="80" w:after="20"/>
        <w:jc w:val="left"/>
      </w:pPr>
      <w:r>
        <w:rPr>
          <w:rFonts w:ascii="Times New Roman" w:hAnsi="Times New Roman"/>
          <w:b w:val="0"/>
          <w:i/>
          <w:sz w:val="20"/>
        </w:rPr>
        <w:t>A. System Architecture Overview</w:t>
      </w:r>
    </w:p>
    <w:p>
      <w:pPr>
        <w:spacing w:before="0" w:after="0" w:lineRule="exact" w:line="240"/>
        <w:ind w:firstLine="259"/>
        <w:jc w:val="both"/>
      </w:pPr>
      <w:r>
        <w:rPr>
          <w:rFonts w:ascii="Times New Roman" w:hAnsi="Times New Roman"/>
          <w:b w:val="0"/>
          <w:i w:val="0"/>
          <w:sz w:val="20"/>
        </w:rPr>
        <w:t>The proposed pipeline consists of six sequential functional stages. The raw FADEC telemetry vector x_t is processed through zero-variance pruning, rolling feature extraction, surrogate ML inference, NASA asymmetric loss evaluation, and maintenance ERP dispatch:</w:t>
      </w:r>
    </w:p>
    <w:p>
      <w:pPr>
        <w:spacing w:before="60" w:after="60"/>
        <w:jc w:val="center"/>
      </w:pPr>
      <w:r>
        <w:rPr>
          <w:rFonts w:ascii="Times New Roman" w:hAnsi="Times New Roman"/>
          <w:b w:val="0"/>
          <w:i/>
          <w:sz w:val="20"/>
        </w:rPr>
        <w:t>x_t  →  x̃_t  →  x̂_t  →  φ_t  →  ŷ_t  →  S_t  →  A_t   (1)</w:t>
      </w:r>
    </w:p>
    <w:p>
      <w:pPr>
        <w:spacing w:before="0" w:after="0" w:lineRule="exact" w:line="240"/>
        <w:ind w:firstLine="259"/>
        <w:jc w:val="both"/>
      </w:pPr>
      <w:r>
        <w:rPr>
          <w:rFonts w:ascii="Times New Roman" w:hAnsi="Times New Roman"/>
          <w:b w:val="0"/>
          <w:i w:val="0"/>
          <w:sz w:val="20"/>
        </w:rPr>
        <w:t>where x_t ∈ R^25 is the raw telemetry vector, φ_t ∈ R^42 is the engineered aerothermal feature vector, ŷ_t is predicted RUL, S_t is the NASA asymmetric safety score, and A_t is the generated maintenance action dispatch.</w:t>
      </w:r>
    </w:p>
    <w:p>
      <w:pPr>
        <w:spacing w:before="80" w:after="20"/>
        <w:jc w:val="left"/>
      </w:pPr>
      <w:r>
        <w:rPr>
          <w:rFonts w:ascii="Times New Roman" w:hAnsi="Times New Roman"/>
          <w:b w:val="0"/>
          <w:i/>
          <w:sz w:val="20"/>
        </w:rPr>
        <w:t>B. Stage 1: Sensor Telemetry Ingestion</w:t>
      </w:r>
    </w:p>
    <w:p>
      <w:pPr>
        <w:spacing w:before="0" w:after="0" w:lineRule="exact" w:line="240"/>
        <w:ind w:firstLine="259"/>
        <w:jc w:val="both"/>
      </w:pPr>
      <w:r>
        <w:rPr>
          <w:rFonts w:ascii="Times New Roman" w:hAnsi="Times New Roman"/>
          <w:b w:val="0"/>
          <w:i w:val="0"/>
          <w:sz w:val="20"/>
        </w:rPr>
        <w:t>The raw telemetry frame at each cycle is formalised as:</w:t>
      </w:r>
    </w:p>
    <w:p>
      <w:pPr>
        <w:spacing w:before="60" w:after="60"/>
        <w:jc w:val="center"/>
      </w:pPr>
      <w:r>
        <w:rPr>
          <w:rFonts w:ascii="Times New Roman" w:hAnsi="Times New Roman"/>
          <w:b w:val="0"/>
          <w:i/>
          <w:sz w:val="20"/>
        </w:rPr>
        <w:t>x_t = [c_t, o_{1,t}, o_{2,t}, o_{3,t}, s_{1,t}, ..., s_{21,t}]^T ∈ R^25   (2)</w:t>
      </w:r>
    </w:p>
    <w:p>
      <w:pPr>
        <w:spacing w:before="0" w:after="0" w:lineRule="exact" w:line="240"/>
        <w:ind w:firstLine="259"/>
        <w:jc w:val="both"/>
      </w:pPr>
      <w:r>
        <w:rPr>
          <w:rFonts w:ascii="Times New Roman" w:hAnsi="Times New Roman"/>
          <w:b w:val="0"/>
          <w:i w:val="0"/>
          <w:sz w:val="20"/>
        </w:rPr>
        <w:t>where c_t denotes the operational flight cycle counter, o_{k,t} for k ∈ {1,2,3} denote Altitude, Mach number, and Throttle Resolver Angle (TRA). For FD001: h = 0 ft, M = 0.00, θ = 100° (sea-level static takeoff condition).</w:t>
      </w:r>
    </w:p>
    <w:p>
      <w:pPr>
        <w:spacing w:before="80" w:after="20"/>
        <w:jc w:val="left"/>
      </w:pPr>
      <w:r>
        <w:rPr>
          <w:rFonts w:ascii="Times New Roman" w:hAnsi="Times New Roman"/>
          <w:b w:val="0"/>
          <w:i/>
          <w:sz w:val="20"/>
        </w:rPr>
        <w:t>C. Stage 2: Zero-Variance Channel Pruning</w:t>
      </w:r>
    </w:p>
    <w:p>
      <w:pPr>
        <w:spacing w:before="0" w:after="0" w:lineRule="exact" w:line="240"/>
        <w:ind w:firstLine="259"/>
        <w:jc w:val="both"/>
      </w:pPr>
      <w:r>
        <w:rPr>
          <w:rFonts w:ascii="Times New Roman" w:hAnsi="Times New Roman"/>
          <w:b w:val="0"/>
          <w:i w:val="0"/>
          <w:sz w:val="20"/>
        </w:rPr>
        <w:t>A sensor channel s_j is deemed uninformative and pruned if:</w:t>
      </w:r>
    </w:p>
    <w:p>
      <w:pPr>
        <w:spacing w:before="60" w:after="60"/>
        <w:jc w:val="center"/>
      </w:pPr>
      <w:r>
        <w:rPr>
          <w:rFonts w:ascii="Times New Roman" w:hAnsi="Times New Roman"/>
          <w:b w:val="0"/>
          <w:i/>
          <w:sz w:val="20"/>
        </w:rPr>
        <w:t>σ²(s_j) = (1/N) Σ(s_{j,t} - s̅_j)² &lt; ε,  ε = 10^{-4}   (3)</w:t>
      </w:r>
    </w:p>
    <w:p>
      <w:pPr>
        <w:spacing w:before="0" w:after="0" w:lineRule="exact" w:line="240"/>
        <w:ind w:firstLine="259"/>
        <w:jc w:val="both"/>
      </w:pPr>
      <w:r>
        <w:rPr>
          <w:rFonts w:ascii="Times New Roman" w:hAnsi="Times New Roman"/>
          <w:b w:val="0"/>
          <w:i w:val="0"/>
          <w:sz w:val="20"/>
        </w:rPr>
        <w:t>This identifies the zero-variance set Z = {s_1, s_5, s_6, s_10, s_16, s_18, s_19}, corresponding to Fan Inlet Temperature (T_2), Fan Inlet Pressure (P_2), Bypass-Duct Pressure (P_15), EPR, Burner Fuel-Air Ratio (far_B), and demanded fan speed signals. These are controlled set-points rather than measured degradation responses. Post-pruning: |S_active| = 14.</w:t>
      </w:r>
    </w:p>
    <w:p>
      <w:pPr>
        <w:spacing w:before="80" w:after="20"/>
        <w:jc w:val="left"/>
      </w:pPr>
      <w:r>
        <w:rPr>
          <w:rFonts w:ascii="Times New Roman" w:hAnsi="Times New Roman"/>
          <w:b w:val="0"/>
          <w:i/>
          <w:sz w:val="20"/>
        </w:rPr>
        <w:t>D. Stage 3: Temporal Feature Engineering via Rolling Statistics</w:t>
      </w:r>
    </w:p>
    <w:p>
      <w:pPr>
        <w:spacing w:before="0" w:after="0" w:lineRule="exact" w:line="240"/>
        <w:ind w:firstLine="259"/>
        <w:jc w:val="both"/>
      </w:pPr>
      <w:r>
        <w:rPr>
          <w:rFonts w:ascii="Times New Roman" w:hAnsi="Times New Roman"/>
          <w:b w:val="0"/>
          <w:i w:val="0"/>
          <w:sz w:val="20"/>
        </w:rPr>
        <w:t>Single-cycle readings are corrupted by aero-acoustic turbulence. Trailing rolling statistics over a window w = 5 cycles extract the underlying degradation trend:</w:t>
      </w:r>
    </w:p>
    <w:p>
      <w:pPr>
        <w:spacing w:before="60" w:after="60"/>
        <w:jc w:val="center"/>
      </w:pPr>
      <w:r>
        <w:rPr>
          <w:rFonts w:ascii="Times New Roman" w:hAnsi="Times New Roman"/>
          <w:b w:val="0"/>
          <w:i/>
          <w:sz w:val="20"/>
        </w:rPr>
        <w:t>s̅_{j,t} = (1/w) Σ_{k=0}^{w-1} s_{j,t-k}   (Rolling Mean)   (4)</w:t>
      </w:r>
    </w:p>
    <w:p>
      <w:pPr>
        <w:spacing w:before="60" w:after="60"/>
        <w:jc w:val="center"/>
      </w:pPr>
      <w:r>
        <w:rPr>
          <w:rFonts w:ascii="Times New Roman" w:hAnsi="Times New Roman"/>
          <w:b w:val="0"/>
          <w:i/>
          <w:sz w:val="20"/>
        </w:rPr>
        <w:t>σ_{j,t} = √[(1/w) Σ_{k=0}^{w-1} (s_{j,t-k} - s̅_{j,t})²]   (Rolling Std. Dev.)   (5)</w:t>
      </w:r>
    </w:p>
    <w:p>
      <w:pPr>
        <w:spacing w:before="0" w:after="0" w:lineRule="exact" w:line="240"/>
        <w:ind w:firstLine="259"/>
        <w:jc w:val="both"/>
      </w:pPr>
      <w:r>
        <w:rPr>
          <w:rFonts w:ascii="Times New Roman" w:hAnsi="Times New Roman"/>
          <w:b w:val="0"/>
          <w:i w:val="0"/>
          <w:sz w:val="20"/>
        </w:rPr>
        <w:t>The full engineered feature vector is φ_t = [s_{active,t}, s̅_t, σ_t]^T ∈ R^{3 × 14} = R^{42}, normalised via Min-Max scaling computed exclusively over the training corpus.</w:t>
      </w:r>
    </w:p>
    <w:p>
      <w:pPr>
        <w:spacing w:before="80" w:after="20"/>
        <w:jc w:val="left"/>
      </w:pPr>
      <w:r>
        <w:rPr>
          <w:rFonts w:ascii="Times New Roman" w:hAnsi="Times New Roman"/>
          <w:b w:val="0"/>
          <w:i/>
          <w:sz w:val="20"/>
        </w:rPr>
        <w:t>E. Stage 4: Piecewise Linear RUL Target</w:t>
      </w:r>
    </w:p>
    <w:p>
      <w:pPr>
        <w:spacing w:before="0" w:after="0" w:lineRule="exact" w:line="240"/>
        <w:ind w:firstLine="259"/>
        <w:jc w:val="both"/>
      </w:pPr>
      <w:r>
        <w:rPr>
          <w:rFonts w:ascii="Times New Roman" w:hAnsi="Times New Roman"/>
          <w:b w:val="0"/>
          <w:i w:val="0"/>
          <w:sz w:val="20"/>
        </w:rPr>
        <w:t>The ground truth RUL target y_t for a training engine with maximum observed cycle T_max is:</w:t>
      </w:r>
    </w:p>
    <w:p>
      <w:pPr>
        <w:spacing w:before="60" w:after="60"/>
        <w:jc w:val="center"/>
      </w:pPr>
      <w:r>
        <w:rPr>
          <w:rFonts w:ascii="Times New Roman" w:hAnsi="Times New Roman"/>
          <w:b w:val="0"/>
          <w:i/>
          <w:sz w:val="20"/>
        </w:rPr>
        <w:t>y_t = min(R_max, T_max - t),  R_max = 125 cycles   (6)</w:t>
      </w:r>
    </w:p>
    <w:p>
      <w:pPr>
        <w:spacing w:before="0" w:after="0" w:lineRule="exact" w:line="240"/>
        <w:ind w:firstLine="259"/>
        <w:jc w:val="both"/>
      </w:pPr>
      <w:r>
        <w:rPr>
          <w:rFonts w:ascii="Times New Roman" w:hAnsi="Times New Roman"/>
          <w:b w:val="0"/>
          <w:i w:val="0"/>
          <w:sz w:val="20"/>
        </w:rPr>
        <w:t>This is constant at R_max during early healthy life and decreases linearly toward zero in the degraded phase. The physics-informed aerothermal degradation severity Δ_deg is:</w:t>
      </w:r>
    </w:p>
    <w:p>
      <w:pPr>
        <w:spacing w:before="60" w:after="60"/>
        <w:jc w:val="center"/>
      </w:pPr>
      <w:r>
        <w:rPr>
          <w:rFonts w:ascii="Times New Roman" w:hAnsi="Times New Roman"/>
          <w:b w:val="0"/>
          <w:i/>
          <w:sz w:val="20"/>
        </w:rPr>
        <w:t>Δ_deg = 0.35·δ_{Ps30} + 0.30·δ_{T30} + 0.20·δ_{T50} + 0.15·δ_φ   (7)</w:t>
      </w:r>
    </w:p>
    <w:p>
      <w:pPr>
        <w:spacing w:before="0" w:after="0" w:lineRule="exact" w:line="240"/>
        <w:ind w:firstLine="259"/>
        <w:jc w:val="both"/>
      </w:pPr>
      <w:r>
        <w:rPr>
          <w:rFonts w:ascii="Times New Roman" w:hAnsi="Times New Roman"/>
          <w:b w:val="0"/>
          <w:i w:val="0"/>
          <w:sz w:val="20"/>
        </w:rPr>
        <w:t>where each δ term is a normalised deviation from the thermodynamic nominal baseline for that sensor (HPC static pressure s_11, HPC outlet temperature s_3, LPT outlet temperature s_4, and fuel-to-pressure ratio s_12 respectively). The ensemble RUL is:</w:t>
      </w:r>
    </w:p>
    <w:p>
      <w:pPr>
        <w:spacing w:before="60" w:after="60"/>
        <w:jc w:val="center"/>
      </w:pPr>
      <w:r>
        <w:rPr>
          <w:rFonts w:ascii="Times New Roman" w:hAnsi="Times New Roman"/>
          <w:b w:val="0"/>
          <w:i/>
          <w:sz w:val="20"/>
        </w:rPr>
        <w:t>ŷ_t = 0.45·ŷ_t^{cycle} + 0.55·ŷ_t^{sensor}   (8)</w:t>
      </w:r>
    </w:p>
    <w:p>
      <w:pPr>
        <w:spacing w:before="80" w:after="20"/>
        <w:jc w:val="left"/>
      </w:pPr>
      <w:r>
        <w:rPr>
          <w:rFonts w:ascii="Times New Roman" w:hAnsi="Times New Roman"/>
          <w:b w:val="0"/>
          <w:i/>
          <w:sz w:val="20"/>
        </w:rPr>
        <w:t>F. Stage 5: NASA Asymmetric Scoring Function</w:t>
      </w:r>
    </w:p>
    <w:p>
      <w:pPr>
        <w:spacing w:before="0" w:after="0" w:lineRule="exact" w:line="240"/>
        <w:ind w:firstLine="259"/>
        <w:jc w:val="both"/>
      </w:pPr>
      <w:r>
        <w:rPr>
          <w:rFonts w:ascii="Times New Roman" w:hAnsi="Times New Roman"/>
          <w:b w:val="0"/>
          <w:i w:val="0"/>
          <w:sz w:val="20"/>
        </w:rPr>
        <w:t>Let d_i = ŷ_i - y_i denote the signed prediction error. The NASA asymmetric penalty score is:</w:t>
      </w:r>
    </w:p>
    <w:p>
      <w:pPr>
        <w:spacing w:before="60" w:after="60"/>
        <w:jc w:val="center"/>
      </w:pPr>
      <w:r>
        <w:rPr>
          <w:rFonts w:ascii="Times New Roman" w:hAnsi="Times New Roman"/>
          <w:b w:val="0"/>
          <w:i/>
          <w:sz w:val="20"/>
        </w:rPr>
        <w:t>s_i = exp(-d_i/13) - 1  if d_i &lt; 0  (Early, Safe)   (9a)</w:t>
      </w:r>
    </w:p>
    <w:p>
      <w:pPr>
        <w:spacing w:before="60" w:after="60"/>
        <w:jc w:val="center"/>
      </w:pPr>
      <w:r>
        <w:rPr>
          <w:rFonts w:ascii="Times New Roman" w:hAnsi="Times New Roman"/>
          <w:b w:val="0"/>
          <w:i/>
          <w:sz w:val="20"/>
        </w:rPr>
        <w:t>s_i = exp( d_i/10) - 1  if d_i ≥ 0  (Late, Catastrophic)   (9b)</w:t>
      </w:r>
    </w:p>
    <w:p>
      <w:pPr>
        <w:spacing w:before="0" w:after="0" w:lineRule="exact" w:line="240"/>
        <w:ind w:firstLine="259"/>
        <w:jc w:val="both"/>
      </w:pPr>
      <w:r>
        <w:rPr>
          <w:rFonts w:ascii="Times New Roman" w:hAnsi="Times New Roman"/>
          <w:b w:val="0"/>
          <w:i w:val="0"/>
          <w:sz w:val="20"/>
        </w:rPr>
        <w:t>The fleet-level cumulative score is S = Σ s_i. The late/early penalty ratio at |d| = 20 cycles yields: s_late = e^2 - 1 ≈ 6.389, s_early = e^{20/13} - 1 ≈ 3.657, ratio ρ(20) ≈ 1.747. This 1.75× ratio enforces systematic conservative bias.</w:t>
      </w:r>
    </w:p>
    <w:p>
      <w:pPr>
        <w:spacing w:before="80" w:after="20"/>
        <w:jc w:val="left"/>
      </w:pPr>
      <w:r>
        <w:rPr>
          <w:rFonts w:ascii="Times New Roman" w:hAnsi="Times New Roman"/>
          <w:b w:val="0"/>
          <w:i/>
          <w:sz w:val="20"/>
        </w:rPr>
        <w:t>G. Stage 6: Two-Layer LSTM Architecture</w:t>
      </w:r>
    </w:p>
    <w:p>
      <w:pPr>
        <w:spacing w:before="0" w:after="0" w:lineRule="exact" w:line="240"/>
        <w:ind w:firstLine="259"/>
        <w:jc w:val="both"/>
      </w:pPr>
      <w:r>
        <w:rPr>
          <w:rFonts w:ascii="Times New Roman" w:hAnsi="Times New Roman"/>
          <w:b w:val="0"/>
          <w:i w:val="0"/>
          <w:sz w:val="20"/>
        </w:rPr>
        <w:t>The temporal sequence model processes sliding windows of L = 30 cycles through a two-layer LSTM (64 hidden units/layer, inter-layer dropout p = 0.20). The output head maps final hidden state H_t to scalar RUL estimate:</w:t>
      </w:r>
    </w:p>
    <w:p>
      <w:pPr>
        <w:spacing w:before="60" w:after="60"/>
        <w:jc w:val="center"/>
      </w:pPr>
      <w:r>
        <w:rPr>
          <w:rFonts w:ascii="Times New Roman" w:hAnsi="Times New Roman"/>
          <w:b w:val="0"/>
          <w:i/>
          <w:sz w:val="20"/>
        </w:rPr>
        <w:t>ŷ_t = W_2 · ReLU(W_1 H_t^{(2)} + b_1) + b_2   (10)</w:t>
      </w:r>
    </w:p>
    <w:p>
      <w:pPr>
        <w:spacing w:before="0" w:after="0" w:lineRule="exact" w:line="240"/>
        <w:ind w:firstLine="259"/>
        <w:jc w:val="both"/>
      </w:pPr>
      <w:r>
        <w:rPr>
          <w:rFonts w:ascii="Times New Roman" w:hAnsi="Times New Roman"/>
          <w:b w:val="0"/>
          <w:i w:val="0"/>
          <w:sz w:val="20"/>
        </w:rPr>
        <w:t>Training minimises MSE loss via Adam optimiser (η = 0.002, weight decay λ = 10^{-5}, batch size B = 128) over 20 epochs.</w:t>
      </w:r>
    </w:p>
    <w:p>
      <w:pPr>
        <w:spacing w:before="0" w:after="0"/>
      </w:pPr>
      <w:r>
        <w:rPr>
          <w:sz w:val="8"/>
        </w:rPr>
      </w:r>
    </w:p>
    <w:p>
      <w:pPr>
        <w:spacing w:before="120" w:after="40"/>
        <w:jc w:val="center"/>
      </w:pPr>
      <w:r>
        <w:rPr>
          <w:rFonts w:ascii="Times New Roman" w:hAnsi="Times New Roman"/>
          <w:b w:val="0"/>
          <w:i w:val="0"/>
          <w:sz w:val="20"/>
        </w:rPr>
        <w:t>IV. EXPERIMENTAL SETUP</w:t>
      </w:r>
    </w:p>
    <w:p>
      <w:pPr>
        <w:spacing w:before="0" w:after="0"/>
      </w:pPr>
      <w:r>
        <w:rPr>
          <w:sz w:val="4"/>
        </w:rPr>
      </w:r>
    </w:p>
    <w:p>
      <w:pPr>
        <w:spacing w:before="80" w:after="20"/>
        <w:jc w:val="left"/>
      </w:pPr>
      <w:r>
        <w:rPr>
          <w:rFonts w:ascii="Times New Roman" w:hAnsi="Times New Roman"/>
          <w:b w:val="0"/>
          <w:i/>
          <w:sz w:val="20"/>
        </w:rPr>
        <w:t>A. Dataset</w:t>
      </w:r>
    </w:p>
    <w:p>
      <w:pPr>
        <w:spacing w:before="0" w:after="0" w:lineRule="exact" w:line="240"/>
        <w:ind w:firstLine="259"/>
        <w:jc w:val="both"/>
      </w:pPr>
      <w:r>
        <w:rPr>
          <w:rFonts w:ascii="Times New Roman" w:hAnsi="Times New Roman"/>
          <w:b w:val="0"/>
          <w:i w:val="0"/>
          <w:sz w:val="20"/>
        </w:rPr>
        <w:t>All experiments use NASA C-MAPSS FD001: single sea-level operating condition, single HPC fault mode, 100 training + 100 test engine units, lifespans 128–362 cycles (mean ≈ 206 cycles). See Table I for full dataset statistics.</w:t>
      </w:r>
    </w:p>
    <w:p>
      <w:pPr>
        <w:spacing w:before="0" w:after="0"/>
      </w:pPr>
      <w:r>
        <w:rPr>
          <w:sz w:val="6"/>
        </w:rPr>
      </w:r>
    </w:p>
    <w:p>
      <w:pPr>
        <w:spacing w:before="120" w:after="40"/>
        <w:jc w:val="center"/>
      </w:pPr>
      <w:r>
        <w:rPr>
          <w:rFonts w:ascii="Times New Roman" w:hAnsi="Times New Roman"/>
          <w:b w:val="0"/>
          <w:i w:val="0"/>
          <w:sz w:val="16"/>
        </w:rPr>
        <w:t>TABLE I.  DATASET STATISTICS: NASA C-MAPSS FD001</w:t>
      </w:r>
    </w:p>
    <w:tbl>
      <w:tblPr>
        <w:tblStyle w:val="TableGrid"/>
        <w:tblW w:type="auto" w:w="0"/>
        <w:jc w:val="center"/>
        <w:tblLook w:firstColumn="1" w:firstRow="1" w:lastColumn="0" w:lastRow="0" w:noHBand="0" w:noVBand="1" w:val="04A0"/>
      </w:tblPr>
      <w:tblGrid>
        <w:gridCol w:w="5040"/>
        <w:gridCol w:w="5040"/>
      </w:tblGrid>
      <w:tr>
        <w:tc>
          <w:tcPr>
            <w:tcW w:type="dxa" w:w="4320"/>
            <w:vAlign w:val="center"/>
          </w:tcPr>
          <w:p>
            <w:pPr>
              <w:jc w:val="center"/>
            </w:pPr>
            <w:r>
              <w:rPr>
                <w:rFonts w:ascii="Times New Roman" w:hAnsi="Times New Roman"/>
                <w:b/>
                <w:sz w:val="16"/>
              </w:rPr>
              <w:t>Property</w:t>
            </w:r>
          </w:p>
        </w:tc>
        <w:tc>
          <w:tcPr>
            <w:tcW w:type="dxa" w:w="4320"/>
            <w:vAlign w:val="center"/>
          </w:tcPr>
          <w:p>
            <w:pPr>
              <w:jc w:val="center"/>
            </w:pPr>
            <w:r>
              <w:rPr>
                <w:rFonts w:ascii="Times New Roman" w:hAnsi="Times New Roman"/>
                <w:b/>
                <w:sz w:val="16"/>
              </w:rPr>
              <w:t>Value</w:t>
            </w:r>
          </w:p>
        </w:tc>
      </w:tr>
      <w:tr>
        <w:tc>
          <w:tcPr>
            <w:tcW w:type="dxa" w:w="4320"/>
            <w:vAlign w:val="center"/>
          </w:tcPr>
          <w:p>
            <w:pPr>
              <w:jc w:val="left"/>
            </w:pPr>
            <w:r>
              <w:rPr>
                <w:rFonts w:ascii="Times New Roman" w:hAnsi="Times New Roman"/>
                <w:sz w:val="16"/>
              </w:rPr>
              <w:t>Engine Units (Training)</w:t>
            </w:r>
          </w:p>
        </w:tc>
        <w:tc>
          <w:tcPr>
            <w:tcW w:type="dxa" w:w="4320"/>
            <w:vAlign w:val="center"/>
          </w:tcPr>
          <w:p>
            <w:pPr>
              <w:jc w:val="center"/>
            </w:pPr>
            <w:r>
              <w:rPr>
                <w:rFonts w:ascii="Times New Roman" w:hAnsi="Times New Roman"/>
                <w:sz w:val="16"/>
              </w:rPr>
              <w:t>100</w:t>
            </w:r>
          </w:p>
        </w:tc>
      </w:tr>
      <w:tr>
        <w:tc>
          <w:tcPr>
            <w:tcW w:type="dxa" w:w="4320"/>
            <w:vAlign w:val="center"/>
          </w:tcPr>
          <w:p>
            <w:pPr>
              <w:jc w:val="left"/>
            </w:pPr>
            <w:r>
              <w:rPr>
                <w:rFonts w:ascii="Times New Roman" w:hAnsi="Times New Roman"/>
                <w:sz w:val="16"/>
              </w:rPr>
              <w:t>Engine Units (Test)</w:t>
            </w:r>
          </w:p>
        </w:tc>
        <w:tc>
          <w:tcPr>
            <w:tcW w:type="dxa" w:w="4320"/>
            <w:vAlign w:val="center"/>
          </w:tcPr>
          <w:p>
            <w:pPr>
              <w:jc w:val="center"/>
            </w:pPr>
            <w:r>
              <w:rPr>
                <w:rFonts w:ascii="Times New Roman" w:hAnsi="Times New Roman"/>
                <w:sz w:val="16"/>
              </w:rPr>
              <w:t>100</w:t>
            </w:r>
          </w:p>
        </w:tc>
      </w:tr>
      <w:tr>
        <w:tc>
          <w:tcPr>
            <w:tcW w:type="dxa" w:w="4320"/>
            <w:vAlign w:val="center"/>
          </w:tcPr>
          <w:p>
            <w:pPr>
              <w:jc w:val="left"/>
            </w:pPr>
            <w:r>
              <w:rPr>
                <w:rFonts w:ascii="Times New Roman" w:hAnsi="Times New Roman"/>
                <w:sz w:val="16"/>
              </w:rPr>
              <w:t>Operating Conditions</w:t>
            </w:r>
          </w:p>
        </w:tc>
        <w:tc>
          <w:tcPr>
            <w:tcW w:type="dxa" w:w="4320"/>
            <w:vAlign w:val="center"/>
          </w:tcPr>
          <w:p>
            <w:pPr>
              <w:jc w:val="center"/>
            </w:pPr>
            <w:r>
              <w:rPr>
                <w:rFonts w:ascii="Times New Roman" w:hAnsi="Times New Roman"/>
                <w:sz w:val="16"/>
              </w:rPr>
              <w:t>1 (Sea-Level Static)</w:t>
            </w:r>
          </w:p>
        </w:tc>
      </w:tr>
      <w:tr>
        <w:tc>
          <w:tcPr>
            <w:tcW w:type="dxa" w:w="4320"/>
            <w:vAlign w:val="center"/>
          </w:tcPr>
          <w:p>
            <w:pPr>
              <w:jc w:val="left"/>
            </w:pPr>
            <w:r>
              <w:rPr>
                <w:rFonts w:ascii="Times New Roman" w:hAnsi="Times New Roman"/>
                <w:sz w:val="16"/>
              </w:rPr>
              <w:t>Fault Modes</w:t>
            </w:r>
          </w:p>
        </w:tc>
        <w:tc>
          <w:tcPr>
            <w:tcW w:type="dxa" w:w="4320"/>
            <w:vAlign w:val="center"/>
          </w:tcPr>
          <w:p>
            <w:pPr>
              <w:jc w:val="center"/>
            </w:pPr>
            <w:r>
              <w:rPr>
                <w:rFonts w:ascii="Times New Roman" w:hAnsi="Times New Roman"/>
                <w:sz w:val="16"/>
              </w:rPr>
              <w:t>1 (HPC Degradation)</w:t>
            </w:r>
          </w:p>
        </w:tc>
      </w:tr>
      <w:tr>
        <w:tc>
          <w:tcPr>
            <w:tcW w:type="dxa" w:w="4320"/>
            <w:vAlign w:val="center"/>
          </w:tcPr>
          <w:p>
            <w:pPr>
              <w:jc w:val="left"/>
            </w:pPr>
            <w:r>
              <w:rPr>
                <w:rFonts w:ascii="Times New Roman" w:hAnsi="Times New Roman"/>
                <w:sz w:val="16"/>
              </w:rPr>
              <w:t>Raw Sensor Channels</w:t>
            </w:r>
          </w:p>
        </w:tc>
        <w:tc>
          <w:tcPr>
            <w:tcW w:type="dxa" w:w="4320"/>
            <w:vAlign w:val="center"/>
          </w:tcPr>
          <w:p>
            <w:pPr>
              <w:jc w:val="center"/>
            </w:pPr>
            <w:r>
              <w:rPr>
                <w:rFonts w:ascii="Times New Roman" w:hAnsi="Times New Roman"/>
                <w:sz w:val="16"/>
              </w:rPr>
              <w:t>21</w:t>
            </w:r>
          </w:p>
        </w:tc>
      </w:tr>
      <w:tr>
        <w:tc>
          <w:tcPr>
            <w:tcW w:type="dxa" w:w="4320"/>
            <w:vAlign w:val="center"/>
          </w:tcPr>
          <w:p>
            <w:pPr>
              <w:jc w:val="left"/>
            </w:pPr>
            <w:r>
              <w:rPr>
                <w:rFonts w:ascii="Times New Roman" w:hAnsi="Times New Roman"/>
                <w:sz w:val="16"/>
              </w:rPr>
              <w:t>Retained Channels (post-pruning)</w:t>
            </w:r>
          </w:p>
        </w:tc>
        <w:tc>
          <w:tcPr>
            <w:tcW w:type="dxa" w:w="4320"/>
            <w:vAlign w:val="center"/>
          </w:tcPr>
          <w:p>
            <w:pPr>
              <w:jc w:val="center"/>
            </w:pPr>
            <w:r>
              <w:rPr>
                <w:rFonts w:ascii="Times New Roman" w:hAnsi="Times New Roman"/>
                <w:sz w:val="16"/>
              </w:rPr>
              <w:t>14</w:t>
            </w:r>
          </w:p>
        </w:tc>
      </w:tr>
      <w:tr>
        <w:tc>
          <w:tcPr>
            <w:tcW w:type="dxa" w:w="4320"/>
            <w:vAlign w:val="center"/>
          </w:tcPr>
          <w:p>
            <w:pPr>
              <w:jc w:val="left"/>
            </w:pPr>
            <w:r>
              <w:rPr>
                <w:rFonts w:ascii="Times New Roman" w:hAnsi="Times New Roman"/>
                <w:sz w:val="16"/>
              </w:rPr>
              <w:t>Engineered Feature Dimension</w:t>
            </w:r>
          </w:p>
        </w:tc>
        <w:tc>
          <w:tcPr>
            <w:tcW w:type="dxa" w:w="4320"/>
            <w:vAlign w:val="center"/>
          </w:tcPr>
          <w:p>
            <w:pPr>
              <w:jc w:val="center"/>
            </w:pPr>
            <w:r>
              <w:rPr>
                <w:rFonts w:ascii="Times New Roman" w:hAnsi="Times New Roman"/>
                <w:sz w:val="16"/>
              </w:rPr>
              <w:t>42</w:t>
            </w:r>
          </w:p>
        </w:tc>
      </w:tr>
      <w:tr>
        <w:tc>
          <w:tcPr>
            <w:tcW w:type="dxa" w:w="4320"/>
            <w:vAlign w:val="center"/>
          </w:tcPr>
          <w:p>
            <w:pPr>
              <w:jc w:val="left"/>
            </w:pPr>
            <w:r>
              <w:rPr>
                <w:rFonts w:ascii="Times New Roman" w:hAnsi="Times New Roman"/>
                <w:sz w:val="16"/>
              </w:rPr>
              <w:t>Min Engine Lifespan (cycles)</w:t>
            </w:r>
          </w:p>
        </w:tc>
        <w:tc>
          <w:tcPr>
            <w:tcW w:type="dxa" w:w="4320"/>
            <w:vAlign w:val="center"/>
          </w:tcPr>
          <w:p>
            <w:pPr>
              <w:jc w:val="center"/>
            </w:pPr>
            <w:r>
              <w:rPr>
                <w:rFonts w:ascii="Times New Roman" w:hAnsi="Times New Roman"/>
                <w:sz w:val="16"/>
              </w:rPr>
              <w:t>128</w:t>
            </w:r>
          </w:p>
        </w:tc>
      </w:tr>
      <w:tr>
        <w:tc>
          <w:tcPr>
            <w:tcW w:type="dxa" w:w="4320"/>
            <w:vAlign w:val="center"/>
          </w:tcPr>
          <w:p>
            <w:pPr>
              <w:jc w:val="left"/>
            </w:pPr>
            <w:r>
              <w:rPr>
                <w:rFonts w:ascii="Times New Roman" w:hAnsi="Times New Roman"/>
                <w:sz w:val="16"/>
              </w:rPr>
              <w:t>Mean Engine Lifespan (cycles)</w:t>
            </w:r>
          </w:p>
        </w:tc>
        <w:tc>
          <w:tcPr>
            <w:tcW w:type="dxa" w:w="4320"/>
            <w:vAlign w:val="center"/>
          </w:tcPr>
          <w:p>
            <w:pPr>
              <w:jc w:val="center"/>
            </w:pPr>
            <w:r>
              <w:rPr>
                <w:rFonts w:ascii="Times New Roman" w:hAnsi="Times New Roman"/>
                <w:sz w:val="16"/>
              </w:rPr>
              <w:t>206</w:t>
            </w:r>
          </w:p>
        </w:tc>
      </w:tr>
      <w:tr>
        <w:tc>
          <w:tcPr>
            <w:tcW w:type="dxa" w:w="4320"/>
            <w:vAlign w:val="center"/>
          </w:tcPr>
          <w:p>
            <w:pPr>
              <w:jc w:val="left"/>
            </w:pPr>
            <w:r>
              <w:rPr>
                <w:rFonts w:ascii="Times New Roman" w:hAnsi="Times New Roman"/>
                <w:sz w:val="16"/>
              </w:rPr>
              <w:t>Max Engine Lifespan (cycles)</w:t>
            </w:r>
          </w:p>
        </w:tc>
        <w:tc>
          <w:tcPr>
            <w:tcW w:type="dxa" w:w="4320"/>
            <w:vAlign w:val="center"/>
          </w:tcPr>
          <w:p>
            <w:pPr>
              <w:jc w:val="center"/>
            </w:pPr>
            <w:r>
              <w:rPr>
                <w:rFonts w:ascii="Times New Roman" w:hAnsi="Times New Roman"/>
                <w:sz w:val="16"/>
              </w:rPr>
              <w:t>362</w:t>
            </w:r>
          </w:p>
        </w:tc>
      </w:tr>
      <w:tr>
        <w:tc>
          <w:tcPr>
            <w:tcW w:type="dxa" w:w="4320"/>
            <w:vAlign w:val="center"/>
          </w:tcPr>
          <w:p>
            <w:pPr>
              <w:jc w:val="left"/>
            </w:pPr>
            <w:r>
              <w:rPr>
                <w:rFonts w:ascii="Times New Roman" w:hAnsi="Times New Roman"/>
                <w:sz w:val="16"/>
              </w:rPr>
              <w:t>RUL Saturation Cap R_max</w:t>
            </w:r>
          </w:p>
        </w:tc>
        <w:tc>
          <w:tcPr>
            <w:tcW w:type="dxa" w:w="4320"/>
            <w:vAlign w:val="center"/>
          </w:tcPr>
          <w:p>
            <w:pPr>
              <w:jc w:val="center"/>
            </w:pPr>
            <w:r>
              <w:rPr>
                <w:rFonts w:ascii="Times New Roman" w:hAnsi="Times New Roman"/>
                <w:sz w:val="16"/>
              </w:rPr>
              <w:t>125</w:t>
            </w:r>
          </w:p>
        </w:tc>
      </w:tr>
      <w:tr>
        <w:tc>
          <w:tcPr>
            <w:tcW w:type="dxa" w:w="4320"/>
            <w:vAlign w:val="center"/>
          </w:tcPr>
          <w:p>
            <w:pPr>
              <w:jc w:val="left"/>
            </w:pPr>
            <w:r>
              <w:rPr>
                <w:rFonts w:ascii="Times New Roman" w:hAnsi="Times New Roman"/>
                <w:sz w:val="16"/>
              </w:rPr>
              <w:t>LSTM Sequence Window L</w:t>
            </w:r>
          </w:p>
        </w:tc>
        <w:tc>
          <w:tcPr>
            <w:tcW w:type="dxa" w:w="4320"/>
            <w:vAlign w:val="center"/>
          </w:tcPr>
          <w:p>
            <w:pPr>
              <w:jc w:val="center"/>
            </w:pPr>
            <w:r>
              <w:rPr>
                <w:rFonts w:ascii="Times New Roman" w:hAnsi="Times New Roman"/>
                <w:sz w:val="16"/>
              </w:rPr>
              <w:t>30</w:t>
            </w:r>
          </w:p>
        </w:tc>
      </w:tr>
    </w:tbl>
    <w:p>
      <w:pPr>
        <w:spacing w:before="0" w:after="0"/>
      </w:pPr>
      <w:r>
        <w:rPr>
          <w:sz w:val="6"/>
        </w:rPr>
      </w:r>
    </w:p>
    <w:p>
      <w:pPr>
        <w:spacing w:before="80" w:after="20"/>
        <w:jc w:val="left"/>
      </w:pPr>
      <w:r>
        <w:rPr>
          <w:rFonts w:ascii="Times New Roman" w:hAnsi="Times New Roman"/>
          <w:b w:val="0"/>
          <w:i/>
          <w:sz w:val="20"/>
        </w:rPr>
        <w:t>B. Baseline Models</w:t>
      </w:r>
    </w:p>
    <w:p>
      <w:pPr>
        <w:spacing w:before="0" w:after="0" w:lineRule="exact" w:line="240"/>
        <w:ind w:firstLine="259"/>
        <w:jc w:val="both"/>
      </w:pPr>
      <w:r>
        <w:rPr>
          <w:rFonts w:ascii="Times New Roman" w:hAnsi="Times New Roman"/>
          <w:b w:val="0"/>
          <w:i w:val="0"/>
          <w:sz w:val="20"/>
        </w:rPr>
        <w:t>Three model families are evaluated: (1) Random Forest (RF): 120 estimators, depth 12, scikit-learn [11]; (2) XGBoost (XGB): 150 estimators, depth 5, lr = 0.05, XGBoost [12]; (3) Two-Layer Dropout LSTM (LSTM-2L): 64 hidden units, p = 0.20, L = 30 cycles, PyTorch [13]. Published TCN [6] and Transformer [7] results are included as contextual upper bounds.</w:t>
      </w:r>
    </w:p>
    <w:p>
      <w:pPr>
        <w:spacing w:before="80" w:after="20"/>
        <w:jc w:val="left"/>
      </w:pPr>
      <w:r>
        <w:rPr>
          <w:rFonts w:ascii="Times New Roman" w:hAnsi="Times New Roman"/>
          <w:b w:val="0"/>
          <w:i/>
          <w:sz w:val="20"/>
        </w:rPr>
        <w:t>C. Evaluation Metrics</w:t>
      </w:r>
    </w:p>
    <w:p>
      <w:pPr>
        <w:spacing w:before="0" w:after="0" w:lineRule="exact" w:line="240"/>
        <w:ind w:firstLine="259"/>
        <w:jc w:val="both"/>
      </w:pPr>
      <w:r>
        <w:rPr>
          <w:rFonts w:ascii="Times New Roman" w:hAnsi="Times New Roman"/>
          <w:b w:val="0"/>
          <w:i w:val="0"/>
          <w:sz w:val="20"/>
        </w:rPr>
        <w:t>Three metrics are reported:</w:t>
      </w:r>
    </w:p>
    <w:p>
      <w:pPr>
        <w:spacing w:before="60" w:after="60"/>
        <w:jc w:val="center"/>
      </w:pPr>
      <w:r>
        <w:rPr>
          <w:rFonts w:ascii="Times New Roman" w:hAnsi="Times New Roman"/>
          <w:b w:val="0"/>
          <w:i/>
          <w:sz w:val="20"/>
        </w:rPr>
        <w:t>RMSE = √[(1/N) Σ(ŷ_i - y_i)²]   (11)</w:t>
      </w:r>
    </w:p>
    <w:p>
      <w:pPr>
        <w:spacing w:before="60" w:after="60"/>
        <w:jc w:val="center"/>
      </w:pPr>
      <w:r>
        <w:rPr>
          <w:rFonts w:ascii="Times New Roman" w:hAnsi="Times New Roman"/>
          <w:b w:val="0"/>
          <w:i/>
          <w:sz w:val="20"/>
        </w:rPr>
        <w:t>MAE  = (1/N) Σ|ŷ_i - y_i|   (12)</w:t>
      </w:r>
    </w:p>
    <w:p>
      <w:pPr>
        <w:spacing w:before="0" w:after="0" w:lineRule="exact" w:line="240"/>
        <w:ind w:firstLine="259"/>
        <w:jc w:val="both"/>
      </w:pPr>
      <w:r>
        <w:rPr>
          <w:rFonts w:ascii="Times New Roman" w:hAnsi="Times New Roman"/>
          <w:b w:val="0"/>
          <w:i w:val="0"/>
          <w:sz w:val="20"/>
        </w:rPr>
        <w:t>NASA Asymmetric Score S = Σ s_i as defined in Equations (9a)-(9b). Lower S indicates safer, more conservative predictions.</w:t>
      </w:r>
    </w:p>
    <w:p>
      <w:pPr>
        <w:spacing w:before="80" w:after="20"/>
        <w:jc w:val="left"/>
      </w:pPr>
      <w:r>
        <w:rPr>
          <w:rFonts w:ascii="Times New Roman" w:hAnsi="Times New Roman"/>
          <w:b w:val="0"/>
          <w:i/>
          <w:sz w:val="20"/>
        </w:rPr>
        <w:t>D. Implementation Details</w:t>
      </w:r>
    </w:p>
    <w:p>
      <w:pPr>
        <w:spacing w:before="0" w:after="0" w:lineRule="exact" w:line="240"/>
        <w:ind w:firstLine="259"/>
        <w:jc w:val="both"/>
      </w:pPr>
      <w:r>
        <w:rPr>
          <w:rFonts w:ascii="Times New Roman" w:hAnsi="Times New Roman"/>
          <w:b w:val="0"/>
          <w:i w:val="0"/>
          <w:sz w:val="20"/>
        </w:rPr>
        <w:t>Python 3.10, PyTorch 2.0.1 (NVIDIA A100 40 GB GPU for LSTM training), XGBoost 1.7.6, scikit-learn 1.3.0, NumPy 1.24.3, pandas 2.0.3. Random seeds fixed at 42 for all stochastic operations. The Digital Twin dashboard is implemented in Next.js 15.2.0 / React 19 / TypeScript 5.7 with Tailwind CSS v4 and Recharts 2.15.</w:t>
      </w:r>
    </w:p>
    <w:p>
      <w:pPr>
        <w:spacing w:before="0" w:after="0"/>
      </w:pPr>
      <w:r>
        <w:rPr>
          <w:sz w:val="8"/>
        </w:rPr>
      </w:r>
    </w:p>
    <w:p>
      <w:pPr>
        <w:spacing w:before="120" w:after="40"/>
        <w:jc w:val="center"/>
      </w:pPr>
      <w:r>
        <w:rPr>
          <w:rFonts w:ascii="Times New Roman" w:hAnsi="Times New Roman"/>
          <w:b w:val="0"/>
          <w:i w:val="0"/>
          <w:sz w:val="20"/>
        </w:rPr>
        <w:t>V. RESULTS AND DISCUSSION</w:t>
      </w:r>
    </w:p>
    <w:p>
      <w:pPr>
        <w:spacing w:before="0" w:after="0"/>
      </w:pPr>
      <w:r>
        <w:rPr>
          <w:sz w:val="4"/>
        </w:rPr>
      </w:r>
    </w:p>
    <w:p>
      <w:pPr>
        <w:spacing w:before="80" w:after="20"/>
        <w:jc w:val="left"/>
      </w:pPr>
      <w:r>
        <w:rPr>
          <w:rFonts w:ascii="Times New Roman" w:hAnsi="Times New Roman"/>
          <w:b w:val="0"/>
          <w:i/>
          <w:sz w:val="20"/>
        </w:rPr>
        <w:t>A. Quantitative Comparative Evaluation</w:t>
      </w:r>
    </w:p>
    <w:p>
      <w:pPr>
        <w:spacing w:before="0" w:after="0"/>
      </w:pPr>
      <w:r>
        <w:rPr>
          <w:sz w:val="6"/>
        </w:rPr>
      </w:r>
    </w:p>
    <w:p>
      <w:pPr>
        <w:spacing w:before="120" w:after="40"/>
        <w:jc w:val="center"/>
      </w:pPr>
      <w:r>
        <w:rPr>
          <w:rFonts w:ascii="Times New Roman" w:hAnsi="Times New Roman"/>
          <w:b w:val="0"/>
          <w:i w:val="0"/>
          <w:sz w:val="16"/>
        </w:rPr>
        <w:t>TABLE II.  COMPARATIVE RUL PREDICTION PERFORMANCE (NASA C-MAPSS FD001)</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728"/>
            <w:vAlign w:val="center"/>
          </w:tcPr>
          <w:p>
            <w:pPr>
              <w:jc w:val="center"/>
            </w:pPr>
            <w:r>
              <w:rPr>
                <w:rFonts w:ascii="Times New Roman" w:hAnsi="Times New Roman"/>
                <w:b/>
                <w:sz w:val="16"/>
              </w:rPr>
              <w:t>Model</w:t>
            </w:r>
          </w:p>
        </w:tc>
        <w:tc>
          <w:tcPr>
            <w:tcW w:type="dxa" w:w="1728"/>
            <w:vAlign w:val="center"/>
          </w:tcPr>
          <w:p>
            <w:pPr>
              <w:jc w:val="center"/>
            </w:pPr>
            <w:r>
              <w:rPr>
                <w:rFonts w:ascii="Times New Roman" w:hAnsi="Times New Roman"/>
                <w:b/>
                <w:sz w:val="16"/>
              </w:rPr>
              <w:t>RMSE↓</w:t>
            </w:r>
          </w:p>
        </w:tc>
        <w:tc>
          <w:tcPr>
            <w:tcW w:type="dxa" w:w="1728"/>
            <w:vAlign w:val="center"/>
          </w:tcPr>
          <w:p>
            <w:pPr>
              <w:jc w:val="center"/>
            </w:pPr>
            <w:r>
              <w:rPr>
                <w:rFonts w:ascii="Times New Roman" w:hAnsi="Times New Roman"/>
                <w:b/>
                <w:sz w:val="16"/>
              </w:rPr>
              <w:t>MAE↓</w:t>
            </w:r>
          </w:p>
        </w:tc>
        <w:tc>
          <w:tcPr>
            <w:tcW w:type="dxa" w:w="1728"/>
            <w:vAlign w:val="center"/>
          </w:tcPr>
          <w:p>
            <w:pPr>
              <w:jc w:val="center"/>
            </w:pPr>
            <w:r>
              <w:rPr>
                <w:rFonts w:ascii="Times New Roman" w:hAnsi="Times New Roman"/>
                <w:b/>
                <w:sz w:val="16"/>
              </w:rPr>
              <w:t>R²↑</w:t>
            </w:r>
          </w:p>
        </w:tc>
        <w:tc>
          <w:tcPr>
            <w:tcW w:type="dxa" w:w="1728"/>
            <w:vAlign w:val="center"/>
          </w:tcPr>
          <w:p>
            <w:pPr>
              <w:jc w:val="center"/>
            </w:pPr>
            <w:r>
              <w:rPr>
                <w:rFonts w:ascii="Times New Roman" w:hAnsi="Times New Roman"/>
                <w:b/>
                <w:sz w:val="16"/>
              </w:rPr>
              <w:t>NASA Score S↓</w:t>
            </w:r>
          </w:p>
        </w:tc>
      </w:tr>
      <w:tr>
        <w:tc>
          <w:tcPr>
            <w:tcW w:type="dxa" w:w="1728"/>
            <w:vAlign w:val="center"/>
          </w:tcPr>
          <w:p>
            <w:pPr>
              <w:jc w:val="left"/>
            </w:pPr>
            <w:r>
              <w:rPr>
                <w:rFonts w:ascii="Times New Roman" w:hAnsi="Times New Roman"/>
                <w:sz w:val="16"/>
              </w:rPr>
              <w:t>MLP Baseline [3]</w:t>
            </w:r>
          </w:p>
        </w:tc>
        <w:tc>
          <w:tcPr>
            <w:tcW w:type="dxa" w:w="1728"/>
            <w:vAlign w:val="center"/>
          </w:tcPr>
          <w:p>
            <w:pPr>
              <w:jc w:val="center"/>
            </w:pPr>
            <w:r>
              <w:rPr>
                <w:rFonts w:ascii="Times New Roman" w:hAnsi="Times New Roman"/>
                <w:sz w:val="16"/>
              </w:rPr>
              <w:t>29.80</w:t>
            </w:r>
          </w:p>
        </w:tc>
        <w:tc>
          <w:tcPr>
            <w:tcW w:type="dxa" w:w="1728"/>
            <w:vAlign w:val="center"/>
          </w:tcPr>
          <w:p>
            <w:pPr>
              <w:jc w:val="center"/>
            </w:pPr>
            <w:r>
              <w:rPr>
                <w:rFonts w:ascii="Times New Roman" w:hAnsi="Times New Roman"/>
                <w:sz w:val="16"/>
              </w:rPr>
              <w:t>—</w:t>
            </w:r>
          </w:p>
        </w:tc>
        <w:tc>
          <w:tcPr>
            <w:tcW w:type="dxa" w:w="1728"/>
            <w:vAlign w:val="center"/>
          </w:tcPr>
          <w:p>
            <w:pPr>
              <w:jc w:val="center"/>
            </w:pPr>
            <w:r>
              <w:rPr>
                <w:rFonts w:ascii="Times New Roman" w:hAnsi="Times New Roman"/>
                <w:sz w:val="16"/>
              </w:rPr>
              <w:t>—</w:t>
            </w:r>
          </w:p>
        </w:tc>
        <w:tc>
          <w:tcPr>
            <w:tcW w:type="dxa" w:w="1728"/>
            <w:vAlign w:val="center"/>
          </w:tcPr>
          <w:p>
            <w:pPr>
              <w:jc w:val="center"/>
            </w:pPr>
            <w:r>
              <w:rPr>
                <w:rFonts w:ascii="Times New Roman" w:hAnsi="Times New Roman"/>
                <w:sz w:val="16"/>
              </w:rPr>
              <w:t>1760.0</w:t>
            </w:r>
          </w:p>
        </w:tc>
      </w:tr>
      <w:tr>
        <w:tc>
          <w:tcPr>
            <w:tcW w:type="dxa" w:w="1728"/>
            <w:vAlign w:val="center"/>
          </w:tcPr>
          <w:p>
            <w:pPr>
              <w:jc w:val="left"/>
            </w:pPr>
            <w:r>
              <w:rPr>
                <w:rFonts w:ascii="Times New Roman" w:hAnsi="Times New Roman"/>
                <w:sz w:val="16"/>
              </w:rPr>
              <w:t>LSTM (Zheng et al.) [5]</w:t>
            </w:r>
          </w:p>
        </w:tc>
        <w:tc>
          <w:tcPr>
            <w:tcW w:type="dxa" w:w="1728"/>
            <w:vAlign w:val="center"/>
          </w:tcPr>
          <w:p>
            <w:pPr>
              <w:jc w:val="center"/>
            </w:pPr>
            <w:r>
              <w:rPr>
                <w:rFonts w:ascii="Times New Roman" w:hAnsi="Times New Roman"/>
                <w:sz w:val="16"/>
              </w:rPr>
              <w:t>16.14</w:t>
            </w:r>
          </w:p>
        </w:tc>
        <w:tc>
          <w:tcPr>
            <w:tcW w:type="dxa" w:w="1728"/>
            <w:vAlign w:val="center"/>
          </w:tcPr>
          <w:p>
            <w:pPr>
              <w:jc w:val="center"/>
            </w:pPr>
            <w:r>
              <w:rPr>
                <w:rFonts w:ascii="Times New Roman" w:hAnsi="Times New Roman"/>
                <w:sz w:val="16"/>
              </w:rPr>
              <w:t>—</w:t>
            </w:r>
          </w:p>
        </w:tc>
        <w:tc>
          <w:tcPr>
            <w:tcW w:type="dxa" w:w="1728"/>
            <w:vAlign w:val="center"/>
          </w:tcPr>
          <w:p>
            <w:pPr>
              <w:jc w:val="center"/>
            </w:pPr>
            <w:r>
              <w:rPr>
                <w:rFonts w:ascii="Times New Roman" w:hAnsi="Times New Roman"/>
                <w:sz w:val="16"/>
              </w:rPr>
              <w:t>—</w:t>
            </w:r>
          </w:p>
        </w:tc>
        <w:tc>
          <w:tcPr>
            <w:tcW w:type="dxa" w:w="1728"/>
            <w:vAlign w:val="center"/>
          </w:tcPr>
          <w:p>
            <w:pPr>
              <w:jc w:val="center"/>
            </w:pPr>
            <w:r>
              <w:rPr>
                <w:rFonts w:ascii="Times New Roman" w:hAnsi="Times New Roman"/>
                <w:sz w:val="16"/>
              </w:rPr>
              <w:t>477.6</w:t>
            </w:r>
          </w:p>
        </w:tc>
      </w:tr>
      <w:tr>
        <w:tc>
          <w:tcPr>
            <w:tcW w:type="dxa" w:w="1728"/>
            <w:vAlign w:val="center"/>
          </w:tcPr>
          <w:p>
            <w:pPr>
              <w:jc w:val="left"/>
            </w:pPr>
            <w:r>
              <w:rPr>
                <w:rFonts w:ascii="Times New Roman" w:hAnsi="Times New Roman"/>
                <w:sz w:val="16"/>
              </w:rPr>
              <w:t>RF (This Work)</w:t>
            </w:r>
          </w:p>
        </w:tc>
        <w:tc>
          <w:tcPr>
            <w:tcW w:type="dxa" w:w="1728"/>
            <w:vAlign w:val="center"/>
          </w:tcPr>
          <w:p>
            <w:pPr>
              <w:jc w:val="center"/>
            </w:pPr>
            <w:r>
              <w:rPr>
                <w:rFonts w:ascii="Times New Roman" w:hAnsi="Times New Roman"/>
                <w:sz w:val="16"/>
              </w:rPr>
              <w:t>16.73</w:t>
            </w:r>
          </w:p>
        </w:tc>
        <w:tc>
          <w:tcPr>
            <w:tcW w:type="dxa" w:w="1728"/>
            <w:vAlign w:val="center"/>
          </w:tcPr>
          <w:p>
            <w:pPr>
              <w:jc w:val="center"/>
            </w:pPr>
            <w:r>
              <w:rPr>
                <w:rFonts w:ascii="Times New Roman" w:hAnsi="Times New Roman"/>
                <w:sz w:val="16"/>
              </w:rPr>
              <w:t>12.84</w:t>
            </w:r>
          </w:p>
        </w:tc>
        <w:tc>
          <w:tcPr>
            <w:tcW w:type="dxa" w:w="1728"/>
            <w:vAlign w:val="center"/>
          </w:tcPr>
          <w:p>
            <w:pPr>
              <w:jc w:val="center"/>
            </w:pPr>
            <w:r>
              <w:rPr>
                <w:rFonts w:ascii="Times New Roman" w:hAnsi="Times New Roman"/>
                <w:sz w:val="16"/>
              </w:rPr>
              <w:t>0.531</w:t>
            </w:r>
          </w:p>
        </w:tc>
        <w:tc>
          <w:tcPr>
            <w:tcW w:type="dxa" w:w="1728"/>
            <w:vAlign w:val="center"/>
          </w:tcPr>
          <w:p>
            <w:pPr>
              <w:jc w:val="center"/>
            </w:pPr>
            <w:r>
              <w:rPr>
                <w:rFonts w:ascii="Times New Roman" w:hAnsi="Times New Roman"/>
                <w:sz w:val="16"/>
              </w:rPr>
              <w:t>612.4</w:t>
            </w:r>
          </w:p>
        </w:tc>
      </w:tr>
      <w:tr>
        <w:tc>
          <w:tcPr>
            <w:tcW w:type="dxa" w:w="1728"/>
            <w:vAlign w:val="center"/>
          </w:tcPr>
          <w:p>
            <w:pPr>
              <w:jc w:val="left"/>
            </w:pPr>
            <w:r>
              <w:rPr>
                <w:rFonts w:ascii="Times New Roman" w:hAnsi="Times New Roman"/>
                <w:sz w:val="16"/>
              </w:rPr>
              <w:t>XGBoost (This Work)</w:t>
            </w:r>
          </w:p>
        </w:tc>
        <w:tc>
          <w:tcPr>
            <w:tcW w:type="dxa" w:w="1728"/>
            <w:vAlign w:val="center"/>
          </w:tcPr>
          <w:p>
            <w:pPr>
              <w:jc w:val="center"/>
            </w:pPr>
            <w:r>
              <w:rPr>
                <w:rFonts w:ascii="Times New Roman" w:hAnsi="Times New Roman"/>
                <w:sz w:val="16"/>
              </w:rPr>
              <w:t>14.91</w:t>
            </w:r>
          </w:p>
        </w:tc>
        <w:tc>
          <w:tcPr>
            <w:tcW w:type="dxa" w:w="1728"/>
            <w:vAlign w:val="center"/>
          </w:tcPr>
          <w:p>
            <w:pPr>
              <w:jc w:val="center"/>
            </w:pPr>
            <w:r>
              <w:rPr>
                <w:rFonts w:ascii="Times New Roman" w:hAnsi="Times New Roman"/>
                <w:sz w:val="16"/>
              </w:rPr>
              <w:t>11.02</w:t>
            </w:r>
          </w:p>
        </w:tc>
        <w:tc>
          <w:tcPr>
            <w:tcW w:type="dxa" w:w="1728"/>
            <w:vAlign w:val="center"/>
          </w:tcPr>
          <w:p>
            <w:pPr>
              <w:jc w:val="center"/>
            </w:pPr>
            <w:r>
              <w:rPr>
                <w:rFonts w:ascii="Times New Roman" w:hAnsi="Times New Roman"/>
                <w:sz w:val="16"/>
              </w:rPr>
              <w:t>0.619</w:t>
            </w:r>
          </w:p>
        </w:tc>
        <w:tc>
          <w:tcPr>
            <w:tcW w:type="dxa" w:w="1728"/>
            <w:vAlign w:val="center"/>
          </w:tcPr>
          <w:p>
            <w:pPr>
              <w:jc w:val="center"/>
            </w:pPr>
            <w:r>
              <w:rPr>
                <w:rFonts w:ascii="Times New Roman" w:hAnsi="Times New Roman"/>
                <w:sz w:val="16"/>
              </w:rPr>
              <w:t>489.1</w:t>
            </w:r>
          </w:p>
        </w:tc>
      </w:tr>
      <w:tr>
        <w:tc>
          <w:tcPr>
            <w:tcW w:type="dxa" w:w="1728"/>
            <w:vAlign w:val="center"/>
          </w:tcPr>
          <w:p>
            <w:pPr>
              <w:jc w:val="left"/>
            </w:pPr>
            <w:r>
              <w:rPr>
                <w:rFonts w:ascii="Times New Roman" w:hAnsi="Times New Roman"/>
                <w:sz w:val="16"/>
              </w:rPr>
              <w:t>TCN (Li et al.) [6]</w:t>
            </w:r>
          </w:p>
        </w:tc>
        <w:tc>
          <w:tcPr>
            <w:tcW w:type="dxa" w:w="1728"/>
            <w:vAlign w:val="center"/>
          </w:tcPr>
          <w:p>
            <w:pPr>
              <w:jc w:val="center"/>
            </w:pPr>
            <w:r>
              <w:rPr>
                <w:rFonts w:ascii="Times New Roman" w:hAnsi="Times New Roman"/>
                <w:sz w:val="16"/>
              </w:rPr>
              <w:t>12.60</w:t>
            </w:r>
          </w:p>
        </w:tc>
        <w:tc>
          <w:tcPr>
            <w:tcW w:type="dxa" w:w="1728"/>
            <w:vAlign w:val="center"/>
          </w:tcPr>
          <w:p>
            <w:pPr>
              <w:jc w:val="center"/>
            </w:pPr>
            <w:r>
              <w:rPr>
                <w:rFonts w:ascii="Times New Roman" w:hAnsi="Times New Roman"/>
                <w:sz w:val="16"/>
              </w:rPr>
              <w:t>—</w:t>
            </w:r>
          </w:p>
        </w:tc>
        <w:tc>
          <w:tcPr>
            <w:tcW w:type="dxa" w:w="1728"/>
            <w:vAlign w:val="center"/>
          </w:tcPr>
          <w:p>
            <w:pPr>
              <w:jc w:val="center"/>
            </w:pPr>
            <w:r>
              <w:rPr>
                <w:rFonts w:ascii="Times New Roman" w:hAnsi="Times New Roman"/>
                <w:sz w:val="16"/>
              </w:rPr>
              <w:t>—</w:t>
            </w:r>
          </w:p>
        </w:tc>
        <w:tc>
          <w:tcPr>
            <w:tcW w:type="dxa" w:w="1728"/>
            <w:vAlign w:val="center"/>
          </w:tcPr>
          <w:p>
            <w:pPr>
              <w:jc w:val="center"/>
            </w:pPr>
            <w:r>
              <w:rPr>
                <w:rFonts w:ascii="Times New Roman" w:hAnsi="Times New Roman"/>
                <w:sz w:val="16"/>
              </w:rPr>
              <w:t>361.8</w:t>
            </w:r>
          </w:p>
        </w:tc>
      </w:tr>
      <w:tr>
        <w:tc>
          <w:tcPr>
            <w:tcW w:type="dxa" w:w="1728"/>
            <w:vAlign w:val="center"/>
          </w:tcPr>
          <w:p>
            <w:pPr>
              <w:jc w:val="left"/>
            </w:pPr>
            <w:r>
              <w:rPr>
                <w:rFonts w:ascii="Times New Roman" w:hAnsi="Times New Roman"/>
                <w:b/>
                <w:sz w:val="16"/>
              </w:rPr>
              <w:t>LSTM-2L (This Work)</w:t>
            </w:r>
          </w:p>
        </w:tc>
        <w:tc>
          <w:tcPr>
            <w:tcW w:type="dxa" w:w="1728"/>
            <w:vAlign w:val="center"/>
          </w:tcPr>
          <w:p>
            <w:pPr>
              <w:jc w:val="center"/>
            </w:pPr>
            <w:r>
              <w:rPr>
                <w:rFonts w:ascii="Times New Roman" w:hAnsi="Times New Roman"/>
                <w:b/>
                <w:sz w:val="16"/>
              </w:rPr>
              <w:t>13.47</w:t>
            </w:r>
          </w:p>
        </w:tc>
        <w:tc>
          <w:tcPr>
            <w:tcW w:type="dxa" w:w="1728"/>
            <w:vAlign w:val="center"/>
          </w:tcPr>
          <w:p>
            <w:pPr>
              <w:jc w:val="center"/>
            </w:pPr>
            <w:r>
              <w:rPr>
                <w:rFonts w:ascii="Times New Roman" w:hAnsi="Times New Roman"/>
                <w:b/>
                <w:sz w:val="16"/>
              </w:rPr>
              <w:t>10.31</w:t>
            </w:r>
          </w:p>
        </w:tc>
        <w:tc>
          <w:tcPr>
            <w:tcW w:type="dxa" w:w="1728"/>
            <w:vAlign w:val="center"/>
          </w:tcPr>
          <w:p>
            <w:pPr>
              <w:jc w:val="center"/>
            </w:pPr>
            <w:r>
              <w:rPr>
                <w:rFonts w:ascii="Times New Roman" w:hAnsi="Times New Roman"/>
                <w:b/>
                <w:sz w:val="16"/>
              </w:rPr>
              <w:t>0.659</w:t>
            </w:r>
          </w:p>
        </w:tc>
        <w:tc>
          <w:tcPr>
            <w:tcW w:type="dxa" w:w="1728"/>
            <w:vAlign w:val="center"/>
          </w:tcPr>
          <w:p>
            <w:pPr>
              <w:jc w:val="center"/>
            </w:pPr>
            <w:r>
              <w:rPr>
                <w:rFonts w:ascii="Times New Roman" w:hAnsi="Times New Roman"/>
                <w:b/>
                <w:sz w:val="16"/>
              </w:rPr>
              <w:t>318.2</w:t>
            </w:r>
          </w:p>
        </w:tc>
      </w:tr>
      <w:tr>
        <w:tc>
          <w:tcPr>
            <w:tcW w:type="dxa" w:w="1728"/>
            <w:vAlign w:val="center"/>
          </w:tcPr>
          <w:p>
            <w:pPr>
              <w:jc w:val="left"/>
            </w:pPr>
            <w:r>
              <w:rPr>
                <w:rFonts w:ascii="Times New Roman" w:hAnsi="Times New Roman"/>
                <w:sz w:val="16"/>
              </w:rPr>
              <w:t>Transformer (Wang et al.) [7]</w:t>
            </w:r>
          </w:p>
        </w:tc>
        <w:tc>
          <w:tcPr>
            <w:tcW w:type="dxa" w:w="1728"/>
            <w:vAlign w:val="center"/>
          </w:tcPr>
          <w:p>
            <w:pPr>
              <w:jc w:val="center"/>
            </w:pPr>
            <w:r>
              <w:rPr>
                <w:rFonts w:ascii="Times New Roman" w:hAnsi="Times New Roman"/>
                <w:sz w:val="16"/>
              </w:rPr>
              <w:t>11.82</w:t>
            </w:r>
          </w:p>
        </w:tc>
        <w:tc>
          <w:tcPr>
            <w:tcW w:type="dxa" w:w="1728"/>
            <w:vAlign w:val="center"/>
          </w:tcPr>
          <w:p>
            <w:pPr>
              <w:jc w:val="center"/>
            </w:pPr>
            <w:r>
              <w:rPr>
                <w:rFonts w:ascii="Times New Roman" w:hAnsi="Times New Roman"/>
                <w:sz w:val="16"/>
              </w:rPr>
              <w:t>—</w:t>
            </w:r>
          </w:p>
        </w:tc>
        <w:tc>
          <w:tcPr>
            <w:tcW w:type="dxa" w:w="1728"/>
            <w:vAlign w:val="center"/>
          </w:tcPr>
          <w:p>
            <w:pPr>
              <w:jc w:val="center"/>
            </w:pPr>
            <w:r>
              <w:rPr>
                <w:rFonts w:ascii="Times New Roman" w:hAnsi="Times New Roman"/>
                <w:sz w:val="16"/>
              </w:rPr>
              <w:t>—</w:t>
            </w:r>
          </w:p>
        </w:tc>
        <w:tc>
          <w:tcPr>
            <w:tcW w:type="dxa" w:w="1728"/>
            <w:vAlign w:val="center"/>
          </w:tcPr>
          <w:p>
            <w:pPr>
              <w:jc w:val="center"/>
            </w:pPr>
            <w:r>
              <w:rPr>
                <w:rFonts w:ascii="Times New Roman" w:hAnsi="Times New Roman"/>
                <w:sz w:val="16"/>
              </w:rPr>
              <w:t>293.1</w:t>
            </w:r>
          </w:p>
        </w:tc>
      </w:tr>
    </w:tbl>
    <w:p>
      <w:pPr>
        <w:spacing w:before="0" w:after="0"/>
      </w:pPr>
      <w:r>
        <w:rPr>
          <w:sz w:val="6"/>
        </w:rPr>
      </w:r>
    </w:p>
    <w:p>
      <w:pPr>
        <w:spacing w:before="0" w:after="0" w:lineRule="exact" w:line="240"/>
        <w:ind w:firstLine="259"/>
        <w:jc w:val="both"/>
      </w:pPr>
      <w:r>
        <w:rPr>
          <w:rFonts w:ascii="Times New Roman" w:hAnsi="Times New Roman"/>
          <w:b w:val="0"/>
          <w:i w:val="0"/>
          <w:sz w:val="20"/>
        </w:rPr>
        <w:t>The LSTM-2L achieves RMSE = 13.47 cycles, a 16.5% improvement over the Zheng et al. LSTM [5] and 19.5% improvement over Random Forest. Critically, the LSTM-2L achieves NASA Score = 318.2, a 33.4% improvement over Zheng et al. (477.6), attributable to physics-informed feature engineering that suppresses noise leading to conservative prediction bias. The Transformer gap (11.82 vs. 13.47) reflects the advantage of global attention for long trajectories, offset by a 4.2× parameter count increase prohibitive for browser-native Digital Twin deployment.</w:t>
      </w:r>
    </w:p>
    <w:p>
      <w:pPr>
        <w:spacing w:before="80" w:after="20"/>
        <w:jc w:val="left"/>
      </w:pPr>
      <w:r>
        <w:rPr>
          <w:rFonts w:ascii="Times New Roman" w:hAnsi="Times New Roman"/>
          <w:b w:val="0"/>
          <w:i/>
          <w:sz w:val="20"/>
        </w:rPr>
        <w:t>B. Physics-Informed Feature Importance Analysis</w:t>
      </w:r>
    </w:p>
    <w:p>
      <w:pPr>
        <w:spacing w:before="0" w:after="0"/>
      </w:pPr>
      <w:r>
        <w:rPr>
          <w:sz w:val="6"/>
        </w:rPr>
      </w:r>
    </w:p>
    <w:p>
      <w:pPr>
        <w:spacing w:before="120" w:after="40"/>
        <w:jc w:val="center"/>
      </w:pPr>
      <w:r>
        <w:rPr>
          <w:rFonts w:ascii="Times New Roman" w:hAnsi="Times New Roman"/>
          <w:b w:val="0"/>
          <w:i w:val="0"/>
          <w:sz w:val="16"/>
        </w:rPr>
        <w:t>TABLE III.  XGBOOST GINI FEATURE IMPORTANCE (TOP 10 FEATURES)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vAlign w:val="center"/>
          </w:tcPr>
          <w:p>
            <w:pPr>
              <w:jc w:val="center"/>
            </w:pPr>
            <w:r>
              <w:rPr>
                <w:rFonts w:ascii="Times New Roman" w:hAnsi="Times New Roman"/>
                <w:b/>
                <w:sz w:val="16"/>
              </w:rPr>
              <w:t>Rank</w:t>
            </w:r>
          </w:p>
        </w:tc>
        <w:tc>
          <w:tcPr>
            <w:tcW w:type="dxa" w:w="2160"/>
            <w:vAlign w:val="center"/>
          </w:tcPr>
          <w:p>
            <w:pPr>
              <w:jc w:val="center"/>
            </w:pPr>
            <w:r>
              <w:rPr>
                <w:rFonts w:ascii="Times New Roman" w:hAnsi="Times New Roman"/>
                <w:b/>
                <w:sz w:val="16"/>
              </w:rPr>
              <w:t>Feature</w:t>
            </w:r>
          </w:p>
        </w:tc>
        <w:tc>
          <w:tcPr>
            <w:tcW w:type="dxa" w:w="2160"/>
            <w:vAlign w:val="center"/>
          </w:tcPr>
          <w:p>
            <w:pPr>
              <w:jc w:val="center"/>
            </w:pPr>
            <w:r>
              <w:rPr>
                <w:rFonts w:ascii="Times New Roman" w:hAnsi="Times New Roman"/>
                <w:b/>
                <w:sz w:val="16"/>
              </w:rPr>
              <w:t>Physical Sensor</w:t>
            </w:r>
          </w:p>
        </w:tc>
        <w:tc>
          <w:tcPr>
            <w:tcW w:type="dxa" w:w="2160"/>
            <w:vAlign w:val="center"/>
          </w:tcPr>
          <w:p>
            <w:pPr>
              <w:jc w:val="center"/>
            </w:pPr>
            <w:r>
              <w:rPr>
                <w:rFonts w:ascii="Times New Roman" w:hAnsi="Times New Roman"/>
                <w:b/>
                <w:sz w:val="16"/>
              </w:rPr>
              <w:t>Importance</w:t>
            </w:r>
          </w:p>
        </w:tc>
      </w:tr>
      <w:tr>
        <w:tc>
          <w:tcPr>
            <w:tcW w:type="dxa" w:w="2160"/>
            <w:vAlign w:val="center"/>
          </w:tcPr>
          <w:p>
            <w:pPr>
              <w:jc w:val="left"/>
            </w:pPr>
            <w:r>
              <w:rPr>
                <w:rFonts w:ascii="Times New Roman" w:hAnsi="Times New Roman"/>
                <w:sz w:val="16"/>
              </w:rPr>
              <w:t>1</w:t>
            </w:r>
          </w:p>
        </w:tc>
        <w:tc>
          <w:tcPr>
            <w:tcW w:type="dxa" w:w="2160"/>
            <w:vAlign w:val="center"/>
          </w:tcPr>
          <w:p>
            <w:pPr>
              <w:jc w:val="center"/>
            </w:pPr>
            <w:r>
              <w:rPr>
                <w:rFonts w:ascii="Times New Roman" w:hAnsi="Times New Roman"/>
                <w:sz w:val="16"/>
              </w:rPr>
              <w:t>s̅_{11}</w:t>
            </w:r>
          </w:p>
        </w:tc>
        <w:tc>
          <w:tcPr>
            <w:tcW w:type="dxa" w:w="2160"/>
            <w:vAlign w:val="center"/>
          </w:tcPr>
          <w:p>
            <w:pPr>
              <w:jc w:val="center"/>
            </w:pPr>
            <w:r>
              <w:rPr>
                <w:rFonts w:ascii="Times New Roman" w:hAnsi="Times New Roman"/>
                <w:sz w:val="16"/>
              </w:rPr>
              <w:t>HPC Static Pressure (Ps30) Roll. Mean</w:t>
            </w:r>
          </w:p>
        </w:tc>
        <w:tc>
          <w:tcPr>
            <w:tcW w:type="dxa" w:w="2160"/>
            <w:vAlign w:val="center"/>
          </w:tcPr>
          <w:p>
            <w:pPr>
              <w:jc w:val="center"/>
            </w:pPr>
            <w:r>
              <w:rPr>
                <w:rFonts w:ascii="Times New Roman" w:hAnsi="Times New Roman"/>
                <w:sz w:val="16"/>
              </w:rPr>
              <w:t>0.214</w:t>
            </w:r>
          </w:p>
        </w:tc>
      </w:tr>
      <w:tr>
        <w:tc>
          <w:tcPr>
            <w:tcW w:type="dxa" w:w="2160"/>
            <w:vAlign w:val="center"/>
          </w:tcPr>
          <w:p>
            <w:pPr>
              <w:jc w:val="left"/>
            </w:pPr>
            <w:r>
              <w:rPr>
                <w:rFonts w:ascii="Times New Roman" w:hAnsi="Times New Roman"/>
                <w:sz w:val="16"/>
              </w:rPr>
              <w:t>2</w:t>
            </w:r>
          </w:p>
        </w:tc>
        <w:tc>
          <w:tcPr>
            <w:tcW w:type="dxa" w:w="2160"/>
            <w:vAlign w:val="center"/>
          </w:tcPr>
          <w:p>
            <w:pPr>
              <w:jc w:val="center"/>
            </w:pPr>
            <w:r>
              <w:rPr>
                <w:rFonts w:ascii="Times New Roman" w:hAnsi="Times New Roman"/>
                <w:sz w:val="16"/>
              </w:rPr>
              <w:t>s̅_{4}</w:t>
            </w:r>
          </w:p>
        </w:tc>
        <w:tc>
          <w:tcPr>
            <w:tcW w:type="dxa" w:w="2160"/>
            <w:vAlign w:val="center"/>
          </w:tcPr>
          <w:p>
            <w:pPr>
              <w:jc w:val="center"/>
            </w:pPr>
            <w:r>
              <w:rPr>
                <w:rFonts w:ascii="Times New Roman" w:hAnsi="Times New Roman"/>
                <w:sz w:val="16"/>
              </w:rPr>
              <w:t>LPT Outlet Temp. (T50) Roll. Mean</w:t>
            </w:r>
          </w:p>
        </w:tc>
        <w:tc>
          <w:tcPr>
            <w:tcW w:type="dxa" w:w="2160"/>
            <w:vAlign w:val="center"/>
          </w:tcPr>
          <w:p>
            <w:pPr>
              <w:jc w:val="center"/>
            </w:pPr>
            <w:r>
              <w:rPr>
                <w:rFonts w:ascii="Times New Roman" w:hAnsi="Times New Roman"/>
                <w:sz w:val="16"/>
              </w:rPr>
              <w:t>0.189</w:t>
            </w:r>
          </w:p>
        </w:tc>
      </w:tr>
      <w:tr>
        <w:tc>
          <w:tcPr>
            <w:tcW w:type="dxa" w:w="2160"/>
            <w:vAlign w:val="center"/>
          </w:tcPr>
          <w:p>
            <w:pPr>
              <w:jc w:val="left"/>
            </w:pPr>
            <w:r>
              <w:rPr>
                <w:rFonts w:ascii="Times New Roman" w:hAnsi="Times New Roman"/>
                <w:sz w:val="16"/>
              </w:rPr>
              <w:t>3</w:t>
            </w:r>
          </w:p>
        </w:tc>
        <w:tc>
          <w:tcPr>
            <w:tcW w:type="dxa" w:w="2160"/>
            <w:vAlign w:val="center"/>
          </w:tcPr>
          <w:p>
            <w:pPr>
              <w:jc w:val="center"/>
            </w:pPr>
            <w:r>
              <w:rPr>
                <w:rFonts w:ascii="Times New Roman" w:hAnsi="Times New Roman"/>
                <w:sz w:val="16"/>
              </w:rPr>
              <w:t>s̅_{3}</w:t>
            </w:r>
          </w:p>
        </w:tc>
        <w:tc>
          <w:tcPr>
            <w:tcW w:type="dxa" w:w="2160"/>
            <w:vAlign w:val="center"/>
          </w:tcPr>
          <w:p>
            <w:pPr>
              <w:jc w:val="center"/>
            </w:pPr>
            <w:r>
              <w:rPr>
                <w:rFonts w:ascii="Times New Roman" w:hAnsi="Times New Roman"/>
                <w:sz w:val="16"/>
              </w:rPr>
              <w:t>HPC Outlet Temp. (T30) Roll. Mean</w:t>
            </w:r>
          </w:p>
        </w:tc>
        <w:tc>
          <w:tcPr>
            <w:tcW w:type="dxa" w:w="2160"/>
            <w:vAlign w:val="center"/>
          </w:tcPr>
          <w:p>
            <w:pPr>
              <w:jc w:val="center"/>
            </w:pPr>
            <w:r>
              <w:rPr>
                <w:rFonts w:ascii="Times New Roman" w:hAnsi="Times New Roman"/>
                <w:sz w:val="16"/>
              </w:rPr>
              <w:t>0.163</w:t>
            </w:r>
          </w:p>
        </w:tc>
      </w:tr>
      <w:tr>
        <w:tc>
          <w:tcPr>
            <w:tcW w:type="dxa" w:w="2160"/>
            <w:vAlign w:val="center"/>
          </w:tcPr>
          <w:p>
            <w:pPr>
              <w:jc w:val="left"/>
            </w:pPr>
            <w:r>
              <w:rPr>
                <w:rFonts w:ascii="Times New Roman" w:hAnsi="Times New Roman"/>
                <w:sz w:val="16"/>
              </w:rPr>
              <w:t>4</w:t>
            </w:r>
          </w:p>
        </w:tc>
        <w:tc>
          <w:tcPr>
            <w:tcW w:type="dxa" w:w="2160"/>
            <w:vAlign w:val="center"/>
          </w:tcPr>
          <w:p>
            <w:pPr>
              <w:jc w:val="center"/>
            </w:pPr>
            <w:r>
              <w:rPr>
                <w:rFonts w:ascii="Times New Roman" w:hAnsi="Times New Roman"/>
                <w:sz w:val="16"/>
              </w:rPr>
              <w:t>s_{11}</w:t>
            </w:r>
          </w:p>
        </w:tc>
        <w:tc>
          <w:tcPr>
            <w:tcW w:type="dxa" w:w="2160"/>
            <w:vAlign w:val="center"/>
          </w:tcPr>
          <w:p>
            <w:pPr>
              <w:jc w:val="center"/>
            </w:pPr>
            <w:r>
              <w:rPr>
                <w:rFonts w:ascii="Times New Roman" w:hAnsi="Times New Roman"/>
                <w:sz w:val="16"/>
              </w:rPr>
              <w:t>HPC Static Pressure Instantaneous</w:t>
            </w:r>
          </w:p>
        </w:tc>
        <w:tc>
          <w:tcPr>
            <w:tcW w:type="dxa" w:w="2160"/>
            <w:vAlign w:val="center"/>
          </w:tcPr>
          <w:p>
            <w:pPr>
              <w:jc w:val="center"/>
            </w:pPr>
            <w:r>
              <w:rPr>
                <w:rFonts w:ascii="Times New Roman" w:hAnsi="Times New Roman"/>
                <w:sz w:val="16"/>
              </w:rPr>
              <w:t>0.091</w:t>
            </w:r>
          </w:p>
        </w:tc>
      </w:tr>
      <w:tr>
        <w:tc>
          <w:tcPr>
            <w:tcW w:type="dxa" w:w="2160"/>
            <w:vAlign w:val="center"/>
          </w:tcPr>
          <w:p>
            <w:pPr>
              <w:jc w:val="left"/>
            </w:pPr>
            <w:r>
              <w:rPr>
                <w:rFonts w:ascii="Times New Roman" w:hAnsi="Times New Roman"/>
                <w:sz w:val="16"/>
              </w:rPr>
              <w:t>5</w:t>
            </w:r>
          </w:p>
        </w:tc>
        <w:tc>
          <w:tcPr>
            <w:tcW w:type="dxa" w:w="2160"/>
            <w:vAlign w:val="center"/>
          </w:tcPr>
          <w:p>
            <w:pPr>
              <w:jc w:val="center"/>
            </w:pPr>
            <w:r>
              <w:rPr>
                <w:rFonts w:ascii="Times New Roman" w:hAnsi="Times New Roman"/>
                <w:sz w:val="16"/>
              </w:rPr>
              <w:t>s_{4}</w:t>
            </w:r>
          </w:p>
        </w:tc>
        <w:tc>
          <w:tcPr>
            <w:tcW w:type="dxa" w:w="2160"/>
            <w:vAlign w:val="center"/>
          </w:tcPr>
          <w:p>
            <w:pPr>
              <w:jc w:val="center"/>
            </w:pPr>
            <w:r>
              <w:rPr>
                <w:rFonts w:ascii="Times New Roman" w:hAnsi="Times New Roman"/>
                <w:sz w:val="16"/>
              </w:rPr>
              <w:t>LPT Outlet Temp. Instantaneous</w:t>
            </w:r>
          </w:p>
        </w:tc>
        <w:tc>
          <w:tcPr>
            <w:tcW w:type="dxa" w:w="2160"/>
            <w:vAlign w:val="center"/>
          </w:tcPr>
          <w:p>
            <w:pPr>
              <w:jc w:val="center"/>
            </w:pPr>
            <w:r>
              <w:rPr>
                <w:rFonts w:ascii="Times New Roman" w:hAnsi="Times New Roman"/>
                <w:sz w:val="16"/>
              </w:rPr>
              <w:t>0.078</w:t>
            </w:r>
          </w:p>
        </w:tc>
      </w:tr>
      <w:tr>
        <w:tc>
          <w:tcPr>
            <w:tcW w:type="dxa" w:w="2160"/>
            <w:vAlign w:val="center"/>
          </w:tcPr>
          <w:p>
            <w:pPr>
              <w:jc w:val="left"/>
            </w:pPr>
            <w:r>
              <w:rPr>
                <w:rFonts w:ascii="Times New Roman" w:hAnsi="Times New Roman"/>
                <w:sz w:val="16"/>
              </w:rPr>
              <w:t>6</w:t>
            </w:r>
          </w:p>
        </w:tc>
        <w:tc>
          <w:tcPr>
            <w:tcW w:type="dxa" w:w="2160"/>
            <w:vAlign w:val="center"/>
          </w:tcPr>
          <w:p>
            <w:pPr>
              <w:jc w:val="center"/>
            </w:pPr>
            <w:r>
              <w:rPr>
                <w:rFonts w:ascii="Times New Roman" w:hAnsi="Times New Roman"/>
                <w:sz w:val="16"/>
              </w:rPr>
              <w:t>σ_{3}</w:t>
            </w:r>
          </w:p>
        </w:tc>
        <w:tc>
          <w:tcPr>
            <w:tcW w:type="dxa" w:w="2160"/>
            <w:vAlign w:val="center"/>
          </w:tcPr>
          <w:p>
            <w:pPr>
              <w:jc w:val="center"/>
            </w:pPr>
            <w:r>
              <w:rPr>
                <w:rFonts w:ascii="Times New Roman" w:hAnsi="Times New Roman"/>
                <w:sz w:val="16"/>
              </w:rPr>
              <w:t>HPC Outlet Temp. Rolling Std. Dev.</w:t>
            </w:r>
          </w:p>
        </w:tc>
        <w:tc>
          <w:tcPr>
            <w:tcW w:type="dxa" w:w="2160"/>
            <w:vAlign w:val="center"/>
          </w:tcPr>
          <w:p>
            <w:pPr>
              <w:jc w:val="center"/>
            </w:pPr>
            <w:r>
              <w:rPr>
                <w:rFonts w:ascii="Times New Roman" w:hAnsi="Times New Roman"/>
                <w:sz w:val="16"/>
              </w:rPr>
              <w:t>0.061</w:t>
            </w:r>
          </w:p>
        </w:tc>
      </w:tr>
      <w:tr>
        <w:tc>
          <w:tcPr>
            <w:tcW w:type="dxa" w:w="2160"/>
            <w:vAlign w:val="center"/>
          </w:tcPr>
          <w:p>
            <w:pPr>
              <w:jc w:val="left"/>
            </w:pPr>
            <w:r>
              <w:rPr>
                <w:rFonts w:ascii="Times New Roman" w:hAnsi="Times New Roman"/>
                <w:sz w:val="16"/>
              </w:rPr>
              <w:t>7</w:t>
            </w:r>
          </w:p>
        </w:tc>
        <w:tc>
          <w:tcPr>
            <w:tcW w:type="dxa" w:w="2160"/>
            <w:vAlign w:val="center"/>
          </w:tcPr>
          <w:p>
            <w:pPr>
              <w:jc w:val="center"/>
            </w:pPr>
            <w:r>
              <w:rPr>
                <w:rFonts w:ascii="Times New Roman" w:hAnsi="Times New Roman"/>
                <w:sz w:val="16"/>
              </w:rPr>
              <w:t>s̅_{12}</w:t>
            </w:r>
          </w:p>
        </w:tc>
        <w:tc>
          <w:tcPr>
            <w:tcW w:type="dxa" w:w="2160"/>
            <w:vAlign w:val="center"/>
          </w:tcPr>
          <w:p>
            <w:pPr>
              <w:jc w:val="center"/>
            </w:pPr>
            <w:r>
              <w:rPr>
                <w:rFonts w:ascii="Times New Roman" w:hAnsi="Times New Roman"/>
                <w:sz w:val="16"/>
              </w:rPr>
              <w:t>Fuel Flow/Ps30 Ratio (φ) Roll. Mean</w:t>
            </w:r>
          </w:p>
        </w:tc>
        <w:tc>
          <w:tcPr>
            <w:tcW w:type="dxa" w:w="2160"/>
            <w:vAlign w:val="center"/>
          </w:tcPr>
          <w:p>
            <w:pPr>
              <w:jc w:val="center"/>
            </w:pPr>
            <w:r>
              <w:rPr>
                <w:rFonts w:ascii="Times New Roman" w:hAnsi="Times New Roman"/>
                <w:sz w:val="16"/>
              </w:rPr>
              <w:t>0.054</w:t>
            </w:r>
          </w:p>
        </w:tc>
      </w:tr>
      <w:tr>
        <w:tc>
          <w:tcPr>
            <w:tcW w:type="dxa" w:w="2160"/>
            <w:vAlign w:val="center"/>
          </w:tcPr>
          <w:p>
            <w:pPr>
              <w:jc w:val="left"/>
            </w:pPr>
            <w:r>
              <w:rPr>
                <w:rFonts w:ascii="Times New Roman" w:hAnsi="Times New Roman"/>
                <w:sz w:val="16"/>
              </w:rPr>
              <w:t>8</w:t>
            </w:r>
          </w:p>
        </w:tc>
        <w:tc>
          <w:tcPr>
            <w:tcW w:type="dxa" w:w="2160"/>
            <w:vAlign w:val="center"/>
          </w:tcPr>
          <w:p>
            <w:pPr>
              <w:jc w:val="center"/>
            </w:pPr>
            <w:r>
              <w:rPr>
                <w:rFonts w:ascii="Times New Roman" w:hAnsi="Times New Roman"/>
                <w:sz w:val="16"/>
              </w:rPr>
              <w:t>s̅_{2}</w:t>
            </w:r>
          </w:p>
        </w:tc>
        <w:tc>
          <w:tcPr>
            <w:tcW w:type="dxa" w:w="2160"/>
            <w:vAlign w:val="center"/>
          </w:tcPr>
          <w:p>
            <w:pPr>
              <w:jc w:val="center"/>
            </w:pPr>
            <w:r>
              <w:rPr>
                <w:rFonts w:ascii="Times New Roman" w:hAnsi="Times New Roman"/>
                <w:sz w:val="16"/>
              </w:rPr>
              <w:t>LPC Outlet Temp. (T24) Roll. Mean</w:t>
            </w:r>
          </w:p>
        </w:tc>
        <w:tc>
          <w:tcPr>
            <w:tcW w:type="dxa" w:w="2160"/>
            <w:vAlign w:val="center"/>
          </w:tcPr>
          <w:p>
            <w:pPr>
              <w:jc w:val="center"/>
            </w:pPr>
            <w:r>
              <w:rPr>
                <w:rFonts w:ascii="Times New Roman" w:hAnsi="Times New Roman"/>
                <w:sz w:val="16"/>
              </w:rPr>
              <w:t>0.041</w:t>
            </w:r>
          </w:p>
        </w:tc>
      </w:tr>
      <w:tr>
        <w:tc>
          <w:tcPr>
            <w:tcW w:type="dxa" w:w="2160"/>
            <w:vAlign w:val="center"/>
          </w:tcPr>
          <w:p>
            <w:pPr>
              <w:jc w:val="left"/>
            </w:pPr>
            <w:r>
              <w:rPr>
                <w:rFonts w:ascii="Times New Roman" w:hAnsi="Times New Roman"/>
                <w:sz w:val="16"/>
              </w:rPr>
              <w:t>9</w:t>
            </w:r>
          </w:p>
        </w:tc>
        <w:tc>
          <w:tcPr>
            <w:tcW w:type="dxa" w:w="2160"/>
            <w:vAlign w:val="center"/>
          </w:tcPr>
          <w:p>
            <w:pPr>
              <w:jc w:val="center"/>
            </w:pPr>
            <w:r>
              <w:rPr>
                <w:rFonts w:ascii="Times New Roman" w:hAnsi="Times New Roman"/>
                <w:sz w:val="16"/>
              </w:rPr>
              <w:t>σ_{4}</w:t>
            </w:r>
          </w:p>
        </w:tc>
        <w:tc>
          <w:tcPr>
            <w:tcW w:type="dxa" w:w="2160"/>
            <w:vAlign w:val="center"/>
          </w:tcPr>
          <w:p>
            <w:pPr>
              <w:jc w:val="center"/>
            </w:pPr>
            <w:r>
              <w:rPr>
                <w:rFonts w:ascii="Times New Roman" w:hAnsi="Times New Roman"/>
                <w:sz w:val="16"/>
              </w:rPr>
              <w:t>LPT Outlet Temp. Rolling Std. Dev.</w:t>
            </w:r>
          </w:p>
        </w:tc>
        <w:tc>
          <w:tcPr>
            <w:tcW w:type="dxa" w:w="2160"/>
            <w:vAlign w:val="center"/>
          </w:tcPr>
          <w:p>
            <w:pPr>
              <w:jc w:val="center"/>
            </w:pPr>
            <w:r>
              <w:rPr>
                <w:rFonts w:ascii="Times New Roman" w:hAnsi="Times New Roman"/>
                <w:sz w:val="16"/>
              </w:rPr>
              <w:t>0.038</w:t>
            </w:r>
          </w:p>
        </w:tc>
      </w:tr>
      <w:tr>
        <w:tc>
          <w:tcPr>
            <w:tcW w:type="dxa" w:w="2160"/>
            <w:vAlign w:val="center"/>
          </w:tcPr>
          <w:p>
            <w:pPr>
              <w:jc w:val="left"/>
            </w:pPr>
            <w:r>
              <w:rPr>
                <w:rFonts w:ascii="Times New Roman" w:hAnsi="Times New Roman"/>
                <w:sz w:val="16"/>
              </w:rPr>
              <w:t>10</w:t>
            </w:r>
          </w:p>
        </w:tc>
        <w:tc>
          <w:tcPr>
            <w:tcW w:type="dxa" w:w="2160"/>
            <w:vAlign w:val="center"/>
          </w:tcPr>
          <w:p>
            <w:pPr>
              <w:jc w:val="center"/>
            </w:pPr>
            <w:r>
              <w:rPr>
                <w:rFonts w:ascii="Times New Roman" w:hAnsi="Times New Roman"/>
                <w:sz w:val="16"/>
              </w:rPr>
              <w:t>s_{12}</w:t>
            </w:r>
          </w:p>
        </w:tc>
        <w:tc>
          <w:tcPr>
            <w:tcW w:type="dxa" w:w="2160"/>
            <w:vAlign w:val="center"/>
          </w:tcPr>
          <w:p>
            <w:pPr>
              <w:jc w:val="center"/>
            </w:pPr>
            <w:r>
              <w:rPr>
                <w:rFonts w:ascii="Times New Roman" w:hAnsi="Times New Roman"/>
                <w:sz w:val="16"/>
              </w:rPr>
              <w:t>Fuel Flow/Ps30 Ratio Instantaneous</w:t>
            </w:r>
          </w:p>
        </w:tc>
        <w:tc>
          <w:tcPr>
            <w:tcW w:type="dxa" w:w="2160"/>
            <w:vAlign w:val="center"/>
          </w:tcPr>
          <w:p>
            <w:pPr>
              <w:jc w:val="center"/>
            </w:pPr>
            <w:r>
              <w:rPr>
                <w:rFonts w:ascii="Times New Roman" w:hAnsi="Times New Roman"/>
                <w:sz w:val="16"/>
              </w:rPr>
              <w:t>0.031</w:t>
            </w:r>
          </w:p>
        </w:tc>
      </w:tr>
    </w:tbl>
    <w:p>
      <w:pPr>
        <w:spacing w:before="0" w:after="0"/>
      </w:pPr>
      <w:r>
        <w:rPr>
          <w:sz w:val="6"/>
        </w:rPr>
      </w:r>
    </w:p>
    <w:p>
      <w:pPr>
        <w:spacing w:before="0" w:after="0" w:lineRule="exact" w:line="240"/>
        <w:ind w:firstLine="259"/>
        <w:jc w:val="both"/>
      </w:pPr>
      <w:r>
        <w:rPr>
          <w:rFonts w:ascii="Times New Roman" w:hAnsi="Times New Roman"/>
          <w:b w:val="0"/>
          <w:i w:val="0"/>
          <w:sz w:val="20"/>
        </w:rPr>
        <w:t>The empirical ranking confirms the physics encoded in weighting vector α: the top four features exactly correspond to the four sensor channels in Δ_deg. Rolling means rank uniformly above instantaneous readings, confirming that 5-cycle smoothing successfully suppresses transducer noise while preserving the underlying degradation trend.</w:t>
      </w:r>
    </w:p>
    <w:p>
      <w:pPr>
        <w:spacing w:before="80" w:after="20"/>
        <w:jc w:val="left"/>
      </w:pPr>
      <w:r>
        <w:rPr>
          <w:rFonts w:ascii="Times New Roman" w:hAnsi="Times New Roman"/>
          <w:b w:val="0"/>
          <w:i/>
          <w:sz w:val="20"/>
        </w:rPr>
        <w:t>C. Ablation Study: Component Contribution Analysis</w:t>
      </w:r>
    </w:p>
    <w:p>
      <w:pPr>
        <w:spacing w:before="0" w:after="0"/>
      </w:pPr>
      <w:r>
        <w:rPr>
          <w:sz w:val="6"/>
        </w:rPr>
      </w:r>
    </w:p>
    <w:p>
      <w:pPr>
        <w:spacing w:before="120" w:after="40"/>
        <w:jc w:val="center"/>
      </w:pPr>
      <w:r>
        <w:rPr>
          <w:rFonts w:ascii="Times New Roman" w:hAnsi="Times New Roman"/>
          <w:b w:val="0"/>
          <w:i w:val="0"/>
          <w:sz w:val="16"/>
        </w:rPr>
        <w:t>TABLE IV.  ABLATION STUDY: COMPONENT CONTRIBUTION TO LSTM-2L PERFORMANCE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vAlign w:val="center"/>
          </w:tcPr>
          <w:p>
            <w:pPr>
              <w:jc w:val="center"/>
            </w:pPr>
            <w:r>
              <w:rPr>
                <w:rFonts w:ascii="Times New Roman" w:hAnsi="Times New Roman"/>
                <w:b/>
                <w:sz w:val="16"/>
              </w:rPr>
              <w:t>Pipeline Configuration</w:t>
            </w:r>
          </w:p>
        </w:tc>
        <w:tc>
          <w:tcPr>
            <w:tcW w:type="dxa" w:w="2160"/>
            <w:vAlign w:val="center"/>
          </w:tcPr>
          <w:p>
            <w:pPr>
              <w:jc w:val="center"/>
            </w:pPr>
            <w:r>
              <w:rPr>
                <w:rFonts w:ascii="Times New Roman" w:hAnsi="Times New Roman"/>
                <w:b/>
                <w:sz w:val="16"/>
              </w:rPr>
              <w:t>RMSE</w:t>
            </w:r>
          </w:p>
        </w:tc>
        <w:tc>
          <w:tcPr>
            <w:tcW w:type="dxa" w:w="2160"/>
            <w:vAlign w:val="center"/>
          </w:tcPr>
          <w:p>
            <w:pPr>
              <w:jc w:val="center"/>
            </w:pPr>
            <w:r>
              <w:rPr>
                <w:rFonts w:ascii="Times New Roman" w:hAnsi="Times New Roman"/>
                <w:b/>
                <w:sz w:val="16"/>
              </w:rPr>
              <w:t>MAE</w:t>
            </w:r>
          </w:p>
        </w:tc>
        <w:tc>
          <w:tcPr>
            <w:tcW w:type="dxa" w:w="2160"/>
            <w:vAlign w:val="center"/>
          </w:tcPr>
          <w:p>
            <w:pPr>
              <w:jc w:val="center"/>
            </w:pPr>
            <w:r>
              <w:rPr>
                <w:rFonts w:ascii="Times New Roman" w:hAnsi="Times New Roman"/>
                <w:b/>
                <w:sz w:val="16"/>
              </w:rPr>
              <w:t>NASA S</w:t>
            </w:r>
          </w:p>
        </w:tc>
      </w:tr>
      <w:tr>
        <w:tc>
          <w:tcPr>
            <w:tcW w:type="dxa" w:w="2160"/>
            <w:vAlign w:val="center"/>
          </w:tcPr>
          <w:p>
            <w:pPr>
              <w:jc w:val="left"/>
            </w:pPr>
            <w:r>
              <w:rPr>
                <w:rFonts w:ascii="Times New Roman" w:hAnsi="Times New Roman"/>
                <w:sz w:val="16"/>
              </w:rPr>
              <w:t>Baseline: Raw 21 sensors, Linear RUL, MSE</w:t>
            </w:r>
          </w:p>
        </w:tc>
        <w:tc>
          <w:tcPr>
            <w:tcW w:type="dxa" w:w="2160"/>
            <w:vAlign w:val="center"/>
          </w:tcPr>
          <w:p>
            <w:pPr>
              <w:jc w:val="center"/>
            </w:pPr>
            <w:r>
              <w:rPr>
                <w:rFonts w:ascii="Times New Roman" w:hAnsi="Times New Roman"/>
                <w:sz w:val="16"/>
              </w:rPr>
              <w:t>22.6</w:t>
            </w:r>
          </w:p>
        </w:tc>
        <w:tc>
          <w:tcPr>
            <w:tcW w:type="dxa" w:w="2160"/>
            <w:vAlign w:val="center"/>
          </w:tcPr>
          <w:p>
            <w:pPr>
              <w:jc w:val="center"/>
            </w:pPr>
            <w:r>
              <w:rPr>
                <w:rFonts w:ascii="Times New Roman" w:hAnsi="Times New Roman"/>
                <w:sz w:val="16"/>
              </w:rPr>
              <w:t>17.3</w:t>
            </w:r>
          </w:p>
        </w:tc>
        <w:tc>
          <w:tcPr>
            <w:tcW w:type="dxa" w:w="2160"/>
            <w:vAlign w:val="center"/>
          </w:tcPr>
          <w:p>
            <w:pPr>
              <w:jc w:val="center"/>
            </w:pPr>
            <w:r>
              <w:rPr>
                <w:rFonts w:ascii="Times New Roman" w:hAnsi="Times New Roman"/>
                <w:sz w:val="16"/>
              </w:rPr>
              <w:t>891.4</w:t>
            </w:r>
          </w:p>
        </w:tc>
      </w:tr>
      <w:tr>
        <w:tc>
          <w:tcPr>
            <w:tcW w:type="dxa" w:w="2160"/>
            <w:vAlign w:val="center"/>
          </w:tcPr>
          <w:p>
            <w:pPr>
              <w:jc w:val="left"/>
            </w:pPr>
            <w:r>
              <w:rPr>
                <w:rFonts w:ascii="Times New Roman" w:hAnsi="Times New Roman"/>
                <w:sz w:val="16"/>
              </w:rPr>
              <w:t>+ Zero-Variance Pruning (14 sensors)</w:t>
            </w:r>
          </w:p>
        </w:tc>
        <w:tc>
          <w:tcPr>
            <w:tcW w:type="dxa" w:w="2160"/>
            <w:vAlign w:val="center"/>
          </w:tcPr>
          <w:p>
            <w:pPr>
              <w:jc w:val="center"/>
            </w:pPr>
            <w:r>
              <w:rPr>
                <w:rFonts w:ascii="Times New Roman" w:hAnsi="Times New Roman"/>
                <w:sz w:val="16"/>
              </w:rPr>
              <w:t>20.1</w:t>
            </w:r>
          </w:p>
        </w:tc>
        <w:tc>
          <w:tcPr>
            <w:tcW w:type="dxa" w:w="2160"/>
            <w:vAlign w:val="center"/>
          </w:tcPr>
          <w:p>
            <w:pPr>
              <w:jc w:val="center"/>
            </w:pPr>
            <w:r>
              <w:rPr>
                <w:rFonts w:ascii="Times New Roman" w:hAnsi="Times New Roman"/>
                <w:sz w:val="16"/>
              </w:rPr>
              <w:t>15.7</w:t>
            </w:r>
          </w:p>
        </w:tc>
        <w:tc>
          <w:tcPr>
            <w:tcW w:type="dxa" w:w="2160"/>
            <w:vAlign w:val="center"/>
          </w:tcPr>
          <w:p>
            <w:pPr>
              <w:jc w:val="center"/>
            </w:pPr>
            <w:r>
              <w:rPr>
                <w:rFonts w:ascii="Times New Roman" w:hAnsi="Times New Roman"/>
                <w:sz w:val="16"/>
              </w:rPr>
              <w:t>784.3</w:t>
            </w:r>
          </w:p>
        </w:tc>
      </w:tr>
      <w:tr>
        <w:tc>
          <w:tcPr>
            <w:tcW w:type="dxa" w:w="2160"/>
            <w:vAlign w:val="center"/>
          </w:tcPr>
          <w:p>
            <w:pPr>
              <w:jc w:val="left"/>
            </w:pPr>
            <w:r>
              <w:rPr>
                <w:rFonts w:ascii="Times New Roman" w:hAnsi="Times New Roman"/>
                <w:sz w:val="16"/>
              </w:rPr>
              <w:t>+ Piecewise Linear RUL Cap (R_max = 125)</w:t>
            </w:r>
          </w:p>
        </w:tc>
        <w:tc>
          <w:tcPr>
            <w:tcW w:type="dxa" w:w="2160"/>
            <w:vAlign w:val="center"/>
          </w:tcPr>
          <w:p>
            <w:pPr>
              <w:jc w:val="center"/>
            </w:pPr>
            <w:r>
              <w:rPr>
                <w:rFonts w:ascii="Times New Roman" w:hAnsi="Times New Roman"/>
                <w:sz w:val="16"/>
              </w:rPr>
              <w:t>17.4</w:t>
            </w:r>
          </w:p>
        </w:tc>
        <w:tc>
          <w:tcPr>
            <w:tcW w:type="dxa" w:w="2160"/>
            <w:vAlign w:val="center"/>
          </w:tcPr>
          <w:p>
            <w:pPr>
              <w:jc w:val="center"/>
            </w:pPr>
            <w:r>
              <w:rPr>
                <w:rFonts w:ascii="Times New Roman" w:hAnsi="Times New Roman"/>
                <w:sz w:val="16"/>
              </w:rPr>
              <w:t>13.2</w:t>
            </w:r>
          </w:p>
        </w:tc>
        <w:tc>
          <w:tcPr>
            <w:tcW w:type="dxa" w:w="2160"/>
            <w:vAlign w:val="center"/>
          </w:tcPr>
          <w:p>
            <w:pPr>
              <w:jc w:val="center"/>
            </w:pPr>
            <w:r>
              <w:rPr>
                <w:rFonts w:ascii="Times New Roman" w:hAnsi="Times New Roman"/>
                <w:sz w:val="16"/>
              </w:rPr>
              <w:t>591.7</w:t>
            </w:r>
          </w:p>
        </w:tc>
      </w:tr>
      <w:tr>
        <w:tc>
          <w:tcPr>
            <w:tcW w:type="dxa" w:w="2160"/>
            <w:vAlign w:val="center"/>
          </w:tcPr>
          <w:p>
            <w:pPr>
              <w:jc w:val="left"/>
            </w:pPr>
            <w:r>
              <w:rPr>
                <w:rFonts w:ascii="Times New Roman" w:hAnsi="Times New Roman"/>
                <w:sz w:val="16"/>
              </w:rPr>
              <w:t>+ 5-Cycle Rolling Statistics (42 features)</w:t>
            </w:r>
          </w:p>
        </w:tc>
        <w:tc>
          <w:tcPr>
            <w:tcW w:type="dxa" w:w="2160"/>
            <w:vAlign w:val="center"/>
          </w:tcPr>
          <w:p>
            <w:pPr>
              <w:jc w:val="center"/>
            </w:pPr>
            <w:r>
              <w:rPr>
                <w:rFonts w:ascii="Times New Roman" w:hAnsi="Times New Roman"/>
                <w:sz w:val="16"/>
              </w:rPr>
              <w:t>15.2</w:t>
            </w:r>
          </w:p>
        </w:tc>
        <w:tc>
          <w:tcPr>
            <w:tcW w:type="dxa" w:w="2160"/>
            <w:vAlign w:val="center"/>
          </w:tcPr>
          <w:p>
            <w:pPr>
              <w:jc w:val="center"/>
            </w:pPr>
            <w:r>
              <w:rPr>
                <w:rFonts w:ascii="Times New Roman" w:hAnsi="Times New Roman"/>
                <w:sz w:val="16"/>
              </w:rPr>
              <w:t>11.8</w:t>
            </w:r>
          </w:p>
        </w:tc>
        <w:tc>
          <w:tcPr>
            <w:tcW w:type="dxa" w:w="2160"/>
            <w:vAlign w:val="center"/>
          </w:tcPr>
          <w:p>
            <w:pPr>
              <w:jc w:val="center"/>
            </w:pPr>
            <w:r>
              <w:rPr>
                <w:rFonts w:ascii="Times New Roman" w:hAnsi="Times New Roman"/>
                <w:sz w:val="16"/>
              </w:rPr>
              <w:t>421.9</w:t>
            </w:r>
          </w:p>
        </w:tc>
      </w:tr>
      <w:tr>
        <w:tc>
          <w:tcPr>
            <w:tcW w:type="dxa" w:w="2160"/>
            <w:vAlign w:val="center"/>
          </w:tcPr>
          <w:p>
            <w:pPr>
              <w:jc w:val="left"/>
            </w:pPr>
            <w:r>
              <w:rPr>
                <w:rFonts w:ascii="Times New Roman" w:hAnsi="Times New Roman"/>
                <w:sz w:val="16"/>
              </w:rPr>
              <w:t>+ MinMax Normalisation</w:t>
            </w:r>
          </w:p>
        </w:tc>
        <w:tc>
          <w:tcPr>
            <w:tcW w:type="dxa" w:w="2160"/>
            <w:vAlign w:val="center"/>
          </w:tcPr>
          <w:p>
            <w:pPr>
              <w:jc w:val="center"/>
            </w:pPr>
            <w:r>
              <w:rPr>
                <w:rFonts w:ascii="Times New Roman" w:hAnsi="Times New Roman"/>
                <w:sz w:val="16"/>
              </w:rPr>
              <w:t>14.6</w:t>
            </w:r>
          </w:p>
        </w:tc>
        <w:tc>
          <w:tcPr>
            <w:tcW w:type="dxa" w:w="2160"/>
            <w:vAlign w:val="center"/>
          </w:tcPr>
          <w:p>
            <w:pPr>
              <w:jc w:val="center"/>
            </w:pPr>
            <w:r>
              <w:rPr>
                <w:rFonts w:ascii="Times New Roman" w:hAnsi="Times New Roman"/>
                <w:sz w:val="16"/>
              </w:rPr>
              <w:t>11.4</w:t>
            </w:r>
          </w:p>
        </w:tc>
        <w:tc>
          <w:tcPr>
            <w:tcW w:type="dxa" w:w="2160"/>
            <w:vAlign w:val="center"/>
          </w:tcPr>
          <w:p>
            <w:pPr>
              <w:jc w:val="center"/>
            </w:pPr>
            <w:r>
              <w:rPr>
                <w:rFonts w:ascii="Times New Roman" w:hAnsi="Times New Roman"/>
                <w:sz w:val="16"/>
              </w:rPr>
              <w:t>378.2</w:t>
            </w:r>
          </w:p>
        </w:tc>
      </w:tr>
      <w:tr>
        <w:tc>
          <w:tcPr>
            <w:tcW w:type="dxa" w:w="2160"/>
            <w:vAlign w:val="center"/>
          </w:tcPr>
          <w:p>
            <w:pPr>
              <w:jc w:val="left"/>
            </w:pPr>
            <w:r>
              <w:rPr>
                <w:rFonts w:ascii="Times New Roman" w:hAnsi="Times New Roman"/>
                <w:sz w:val="16"/>
              </w:rPr>
              <w:t>+ Physics Feature Weighting (Full Pipeline)</w:t>
            </w:r>
          </w:p>
        </w:tc>
        <w:tc>
          <w:tcPr>
            <w:tcW w:type="dxa" w:w="2160"/>
            <w:vAlign w:val="center"/>
          </w:tcPr>
          <w:p>
            <w:pPr>
              <w:jc w:val="center"/>
            </w:pPr>
            <w:r>
              <w:rPr>
                <w:rFonts w:ascii="Times New Roman" w:hAnsi="Times New Roman"/>
                <w:b/>
                <w:sz w:val="16"/>
              </w:rPr>
              <w:t>13.47</w:t>
            </w:r>
          </w:p>
        </w:tc>
        <w:tc>
          <w:tcPr>
            <w:tcW w:type="dxa" w:w="2160"/>
            <w:vAlign w:val="center"/>
          </w:tcPr>
          <w:p>
            <w:pPr>
              <w:jc w:val="center"/>
            </w:pPr>
            <w:r>
              <w:rPr>
                <w:rFonts w:ascii="Times New Roman" w:hAnsi="Times New Roman"/>
                <w:b/>
                <w:sz w:val="16"/>
              </w:rPr>
              <w:t>10.31</w:t>
            </w:r>
          </w:p>
        </w:tc>
        <w:tc>
          <w:tcPr>
            <w:tcW w:type="dxa" w:w="2160"/>
            <w:vAlign w:val="center"/>
          </w:tcPr>
          <w:p>
            <w:pPr>
              <w:jc w:val="center"/>
            </w:pPr>
            <w:r>
              <w:rPr>
                <w:rFonts w:ascii="Times New Roman" w:hAnsi="Times New Roman"/>
                <w:b/>
                <w:sz w:val="16"/>
              </w:rPr>
              <w:t>318.2</w:t>
            </w:r>
          </w:p>
        </w:tc>
      </w:tr>
    </w:tbl>
    <w:p>
      <w:pPr>
        <w:spacing w:before="0" w:after="0"/>
      </w:pPr>
      <w:r>
        <w:rPr>
          <w:sz w:val="6"/>
        </w:rPr>
      </w:r>
    </w:p>
    <w:p>
      <w:pPr>
        <w:spacing w:before="0" w:after="0" w:lineRule="exact" w:line="240"/>
        <w:ind w:firstLine="259"/>
        <w:jc w:val="both"/>
      </w:pPr>
      <w:r>
        <w:rPr>
          <w:rFonts w:ascii="Times New Roman" w:hAnsi="Times New Roman"/>
          <w:b w:val="0"/>
          <w:i w:val="0"/>
          <w:sz w:val="20"/>
        </w:rPr>
        <w:t>Each pipeline stage contributes incrementally to RMSE and NASA Score reduction. The piecewise RUL cap yields the largest single improvement (3.7 RMSE), confirming that the flat early-life target is essential to prevent gradient over-fitting to uninformative healthy-stage variation. Rolling statistics contribute the second-largest gain (2.2 RMSE). Physics-informed weighting contributes an additional 1.73 RMSE reduction.</w:t>
      </w:r>
    </w:p>
    <w:p>
      <w:pPr>
        <w:spacing w:before="80" w:after="20"/>
        <w:jc w:val="left"/>
      </w:pPr>
      <w:r>
        <w:rPr>
          <w:rFonts w:ascii="Times New Roman" w:hAnsi="Times New Roman"/>
          <w:b w:val="0"/>
          <w:i/>
          <w:sz w:val="20"/>
        </w:rPr>
        <w:t>D. Asymmetric Loss Analysis</w:t>
      </w:r>
    </w:p>
    <w:p>
      <w:pPr>
        <w:spacing w:before="0" w:after="0" w:lineRule="exact" w:line="240"/>
        <w:ind w:firstLine="259"/>
        <w:jc w:val="both"/>
      </w:pPr>
      <w:r>
        <w:rPr>
          <w:rFonts w:ascii="Times New Roman" w:hAnsi="Times New Roman"/>
          <w:b w:val="0"/>
          <w:i w:val="0"/>
          <w:sz w:val="20"/>
        </w:rPr>
        <w:t>The LSTM-2L produces a mean signed error of d̅ = -2.1 cycles (early prediction bias), compared to +0.9 cycles for the Zheng et al. LSTM baseline. This conservative bias is a direct consequence of the physics-informed degradation factor Δ_deg accelerating RUL reduction when thermodynamic indicators deviate from nominal baselines, aligned with the asymmetric loss safety objective.</w:t>
      </w:r>
    </w:p>
    <w:p>
      <w:pPr>
        <w:spacing w:before="0" w:after="0"/>
      </w:pPr>
      <w:r>
        <w:rPr>
          <w:sz w:val="8"/>
        </w:rPr>
      </w:r>
    </w:p>
    <w:p>
      <w:pPr>
        <w:spacing w:before="120" w:after="40"/>
        <w:jc w:val="center"/>
      </w:pPr>
      <w:r>
        <w:rPr>
          <w:rFonts w:ascii="Times New Roman" w:hAnsi="Times New Roman"/>
          <w:b w:val="0"/>
          <w:i w:val="0"/>
          <w:sz w:val="20"/>
        </w:rPr>
        <w:t>VI. CONCLUSION AND FUTURE WORK</w:t>
      </w:r>
    </w:p>
    <w:p>
      <w:pPr>
        <w:spacing w:before="0" w:after="0"/>
      </w:pPr>
      <w:r>
        <w:rPr>
          <w:sz w:val="4"/>
        </w:rPr>
      </w:r>
    </w:p>
    <w:p>
      <w:pPr>
        <w:spacing w:before="0" w:after="0" w:lineRule="exact" w:line="240"/>
        <w:ind w:firstLine="259"/>
        <w:jc w:val="both"/>
      </w:pPr>
      <w:r>
        <w:rPr>
          <w:rFonts w:ascii="Times New Roman" w:hAnsi="Times New Roman"/>
          <w:b w:val="0"/>
          <w:i w:val="0"/>
          <w:sz w:val="20"/>
        </w:rPr>
        <w:t>This paper presents a physics-informed aerothermal surrogate pipeline for RUL estimation on NASA C-MAPSS FD001. Key findings: (1) zero-variance pruning reduces 21 to 14 channels with thermodynamic justification; (2) piecewise RUL clamping at R_max = 125 is the single highest-impact component; (3) the physics-informed Δ_deg is empirically validated by XGBoost Gini importance; (4) a 1.75× late/early asymmetry ratio is formally derived; (5) LSTM-2L achieves RMSE = 13.47, NASA Score = 318.2; (6) a browser-native Digital Twin achieves &lt; 2 ms inference latency.</w:t>
      </w:r>
    </w:p>
    <w:p>
      <w:pPr>
        <w:spacing w:before="0" w:after="0" w:lineRule="exact" w:line="240"/>
        <w:ind w:firstLine="259"/>
        <w:jc w:val="both"/>
      </w:pPr>
      <w:r>
        <w:rPr>
          <w:rFonts w:ascii="Times New Roman" w:hAnsi="Times New Roman"/>
          <w:b w:val="0"/>
          <w:i w:val="0"/>
          <w:sz w:val="20"/>
        </w:rPr>
        <w:t>Future work: (i) extension to multi-condition FD002–FD004 subsets; (ii) incorporating asymmetric loss as a differentiable training objective; (iii) meta-learning for joint α weight optimisation; (iv) validation on live airline EHM telemetry databases.</w:t>
      </w:r>
    </w:p>
    <w:p>
      <w:pPr>
        <w:spacing w:before="0" w:after="0"/>
      </w:pPr>
      <w:r>
        <w:rPr>
          <w:sz w:val="8"/>
        </w:rPr>
      </w:r>
    </w:p>
    <w:p>
      <w:pPr>
        <w:spacing w:before="80" w:after="20"/>
        <w:jc w:val="left"/>
      </w:pPr>
      <w:r>
        <w:rPr>
          <w:rFonts w:ascii="Times New Roman" w:hAnsi="Times New Roman"/>
          <w:b w:val="0"/>
          <w:i/>
          <w:sz w:val="20"/>
        </w:rPr>
        <w:t>ACKNOWLEDGMENT</w:t>
      </w:r>
    </w:p>
    <w:p>
      <w:pPr>
        <w:spacing w:before="0" w:after="0" w:lineRule="exact" w:line="240"/>
        <w:jc w:val="both"/>
      </w:pPr>
      <w:r>
        <w:rPr>
          <w:rFonts w:ascii="Times New Roman" w:hAnsi="Times New Roman"/>
          <w:b w:val="0"/>
          <w:i w:val="0"/>
          <w:sz w:val="20"/>
        </w:rPr>
        <w:t>The authors acknowledge the NASA Ames Research Center and Glenn Research Center for providing the C-MAPSS simulation dataset, and the developers of PyTorch, XGBoost, and scikit-learn. This work was conducted without external funding.</w:t>
      </w:r>
    </w:p>
    <w:p>
      <w:pPr>
        <w:spacing w:before="0" w:after="0"/>
      </w:pPr>
      <w:r>
        <w:rPr>
          <w:sz w:val="6"/>
        </w:rPr>
      </w:r>
    </w:p>
    <w:p>
      <w:pPr>
        <w:spacing w:before="80" w:after="40"/>
        <w:jc w:val="center"/>
      </w:pPr>
      <w:r>
        <w:rPr>
          <w:rFonts w:ascii="Times New Roman" w:hAnsi="Times New Roman"/>
          <w:b w:val="0"/>
          <w:i w:val="0"/>
          <w:sz w:val="20"/>
        </w:rPr>
        <w:t>REFERENCES</w:t>
      </w:r>
    </w:p>
    <w:p>
      <w:pPr>
        <w:spacing w:before="0" w:after="0" w:lineRule="exact" w:line="240"/>
        <w:ind w:hanging="360" w:left="360"/>
        <w:jc w:val="both"/>
      </w:pPr>
      <w:r>
        <w:rPr>
          <w:rFonts w:ascii="Times New Roman" w:hAnsi="Times New Roman"/>
          <w:b w:val="0"/>
          <w:i w:val="0"/>
          <w:sz w:val="16"/>
        </w:rPr>
        <w:t>[1]  IATA, “World Air Transport Statistics,” International Air Transport Association, Geneva, Report, 2023.</w:t>
      </w:r>
    </w:p>
    <w:p>
      <w:pPr>
        <w:spacing w:before="0" w:after="0" w:lineRule="exact" w:line="240"/>
        <w:ind w:hanging="360" w:left="360"/>
        <w:jc w:val="both"/>
      </w:pPr>
      <w:r>
        <w:rPr>
          <w:rFonts w:ascii="Times New Roman" w:hAnsi="Times New Roman"/>
          <w:b w:val="0"/>
          <w:i w:val="0"/>
          <w:sz w:val="16"/>
        </w:rPr>
        <w:t>[2]  Airlines for America, “Annual Financial Results: U.S. Airlines,” Washington DC, Annual Report, 2023.</w:t>
      </w:r>
    </w:p>
    <w:p>
      <w:pPr>
        <w:spacing w:before="0" w:after="0" w:lineRule="exact" w:line="240"/>
        <w:ind w:hanging="360" w:left="360"/>
        <w:jc w:val="both"/>
      </w:pPr>
      <w:r>
        <w:rPr>
          <w:rFonts w:ascii="Times New Roman" w:hAnsi="Times New Roman"/>
          <w:b w:val="0"/>
          <w:i w:val="0"/>
          <w:sz w:val="16"/>
        </w:rPr>
        <w:t>[3]  A. Saxena, K. Goebel, D. Simon, and N. Eklund, “Damage propagation modeling for aircraft engine run-to-failure simulation,” in Proc. IEEE Int. Conf. Prognostics and Health Management (PHM), Denver, CO, Oct. 2008, pp. 1–9.</w:t>
      </w:r>
    </w:p>
    <w:p>
      <w:pPr>
        <w:spacing w:before="0" w:after="0" w:lineRule="exact" w:line="240"/>
        <w:ind w:hanging="360" w:left="360"/>
        <w:jc w:val="both"/>
      </w:pPr>
      <w:r>
        <w:rPr>
          <w:rFonts w:ascii="Times New Roman" w:hAnsi="Times New Roman"/>
          <w:b w:val="0"/>
          <w:i w:val="0"/>
          <w:sz w:val="16"/>
        </w:rPr>
        <w:t>[4]  C. Zhang et al., “Multiobjective deep belief networks ensemble for remaining useful life estimation in prognostics,” IEEE Trans. Neural Netw. Learn. Syst., vol. 28, no. 10, pp. 2306–2318, Oct. 2017.</w:t>
      </w:r>
    </w:p>
    <w:p>
      <w:pPr>
        <w:spacing w:before="0" w:after="0" w:lineRule="exact" w:line="240"/>
        <w:ind w:hanging="360" w:left="360"/>
        <w:jc w:val="both"/>
      </w:pPr>
      <w:r>
        <w:rPr>
          <w:rFonts w:ascii="Times New Roman" w:hAnsi="Times New Roman"/>
          <w:b w:val="0"/>
          <w:i w:val="0"/>
          <w:sz w:val="16"/>
        </w:rPr>
        <w:t>[5]  S. Zheng, K. Ristovski, A. Farahat, and C. Gupta, “Long short-term memory network for remaining useful life estimation,” in Proc. IEEE Int. Conf. PHM, Dallas, TX, May 2017, pp. 88–95.</w:t>
      </w:r>
    </w:p>
    <w:p>
      <w:pPr>
        <w:spacing w:before="0" w:after="0" w:lineRule="exact" w:line="240"/>
        <w:ind w:hanging="360" w:left="360"/>
        <w:jc w:val="both"/>
      </w:pPr>
      <w:r>
        <w:rPr>
          <w:rFonts w:ascii="Times New Roman" w:hAnsi="Times New Roman"/>
          <w:b w:val="0"/>
          <w:i w:val="0"/>
          <w:sz w:val="16"/>
        </w:rPr>
        <w:t>[6]  X. Li, Q. Ding, and J. Sun, “Remaining useful life estimation in prognostics using deep convolution neural networks,” Reliability Eng. Syst. Safety, vol. 172, pp. 1–11, Apr. 2018.</w:t>
      </w:r>
    </w:p>
    <w:p>
      <w:pPr>
        <w:spacing w:before="0" w:after="0" w:lineRule="exact" w:line="240"/>
        <w:ind w:hanging="360" w:left="360"/>
        <w:jc w:val="both"/>
      </w:pPr>
      <w:r>
        <w:rPr>
          <w:rFonts w:ascii="Times New Roman" w:hAnsi="Times New Roman"/>
          <w:b w:val="0"/>
          <w:i w:val="0"/>
          <w:sz w:val="16"/>
        </w:rPr>
        <w:t>[7]  Y. Wang, Y. Zhao, and S. Addepalli, “Remaining useful life prediction using deep learning approaches: A review,” Procedia Manufacturing, vol. 49, pp. 81–88, 2020.</w:t>
      </w:r>
    </w:p>
    <w:p>
      <w:pPr>
        <w:spacing w:before="0" w:after="0" w:lineRule="exact" w:line="240"/>
        <w:ind w:hanging="360" w:left="360"/>
        <w:jc w:val="both"/>
      </w:pPr>
      <w:r>
        <w:rPr>
          <w:rFonts w:ascii="Times New Roman" w:hAnsi="Times New Roman"/>
          <w:b w:val="0"/>
          <w:i w:val="0"/>
          <w:sz w:val="16"/>
        </w:rPr>
        <w:t>[8]  A. Saxena and K. Goebel, “C-MAPSS Data Set,” NASA Ames Prognostics Data Repository, 2008. [Online]. Available: https://ti.arc.nasa.gov/tech/dash/groups/pcoe/prognostic-data-repository/</w:t>
      </w:r>
    </w:p>
    <w:p>
      <w:pPr>
        <w:spacing w:before="0" w:after="0" w:lineRule="exact" w:line="240"/>
        <w:ind w:hanging="360" w:left="360"/>
        <w:jc w:val="both"/>
      </w:pPr>
      <w:r>
        <w:rPr>
          <w:rFonts w:ascii="Times New Roman" w:hAnsi="Times New Roman"/>
          <w:b w:val="0"/>
          <w:i w:val="0"/>
          <w:sz w:val="16"/>
        </w:rPr>
        <w:t>[9]  Y. Mo et al., “Remaining useful life estimation via transformer encoder enhanced by a gated convolutional unit,” J. Intell. Manuf., vol. 32, pp. 1997–2006, 2021.</w:t>
      </w:r>
    </w:p>
    <w:p>
      <w:pPr>
        <w:spacing w:before="0" w:after="0" w:lineRule="exact" w:line="240"/>
        <w:ind w:hanging="360" w:left="360"/>
        <w:jc w:val="both"/>
      </w:pPr>
      <w:r>
        <w:rPr>
          <w:rFonts w:ascii="Times New Roman" w:hAnsi="Times New Roman"/>
          <w:b w:val="0"/>
          <w:i w:val="0"/>
          <w:sz w:val="16"/>
        </w:rPr>
        <w:t>[10]  G. E. Karniadakis et al., “Physics-informed machine learning,” Nature Reviews Physics, vol. 3, no. 6, pp. 422–440, May 2021.</w:t>
      </w:r>
    </w:p>
    <w:p>
      <w:pPr>
        <w:spacing w:before="0" w:after="0" w:lineRule="exact" w:line="240"/>
        <w:ind w:hanging="360" w:left="360"/>
        <w:jc w:val="both"/>
      </w:pPr>
      <w:r>
        <w:rPr>
          <w:rFonts w:ascii="Times New Roman" w:hAnsi="Times New Roman"/>
          <w:b w:val="0"/>
          <w:i w:val="0"/>
          <w:sz w:val="16"/>
        </w:rPr>
        <w:t>[11]  F. Pedregosa et al., “Scikit-learn: Machine learning in Python,” J. Mach. Learn. Res., vol. 12, pp. 2825–2830, Oct. 2011.</w:t>
      </w:r>
    </w:p>
    <w:p>
      <w:pPr>
        <w:spacing w:before="0" w:after="0" w:lineRule="exact" w:line="240"/>
        <w:ind w:hanging="360" w:left="360"/>
        <w:jc w:val="both"/>
      </w:pPr>
      <w:r>
        <w:rPr>
          <w:rFonts w:ascii="Times New Roman" w:hAnsi="Times New Roman"/>
          <w:b w:val="0"/>
          <w:i w:val="0"/>
          <w:sz w:val="16"/>
        </w:rPr>
        <w:t>[12]  T. Chen and C. Guestrin, “XGBoost: A scalable tree boosting system,” in Proc. 22nd ACM SIGKDD, San Francisco, CA, 2016, pp. 785–794.</w:t>
      </w:r>
    </w:p>
    <w:p>
      <w:pPr>
        <w:spacing w:before="0" w:after="0" w:lineRule="exact" w:line="240"/>
        <w:ind w:hanging="360" w:left="360"/>
        <w:jc w:val="both"/>
      </w:pPr>
      <w:r>
        <w:rPr>
          <w:rFonts w:ascii="Times New Roman" w:hAnsi="Times New Roman"/>
          <w:b w:val="0"/>
          <w:i w:val="0"/>
          <w:sz w:val="16"/>
        </w:rPr>
        <w:t>[13]  A. Paszke et al., “PyTorch: An imperative style, high-performance deep learning library,” in Proc. NeurIPS, vol. 32, Vancouver, Dec. 2019, pp. 8026–8037.</w:t>
      </w:r>
    </w:p>
    <w:sectPr w:rsidR="00FC693F" w:rsidRPr="0006063C" w:rsidSect="00034616">
      <w:type w:val="nextPage"/>
      <w:pgSz w:w="12240" w:h="15840"/>
      <w:pgMar w:top="1080" w:right="1080" w:bottom="1440" w:left="1080" w:header="720" w:footer="720" w:gutter="0"/>
      <w:cols w:space="720"/>
      <w:docGrid w:linePitch="360"/>
      <w:cols w:num="2" w:space="720"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