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IP/CIDR SUBNETTING CALCULATION REPORT</w:t>
      </w:r>
    </w:p>
    <w:p>
      <w:pPr>
        <w:jc w:val="center"/>
      </w:pPr>
      <w:r>
        <w:rPr>
          <w:i/>
          <w:sz w:val="22"/>
        </w:rPr>
        <w:t>Network Address, Broadcast Address, Usable Range, and Host Count</w:t>
      </w:r>
    </w:p>
    <w:p/>
    <w:p>
      <w:r>
        <w:rPr>
          <w:b/>
          <w:sz w:val="26"/>
        </w:rPr>
        <w:t>Objective</w:t>
      </w:r>
    </w:p>
    <w:p>
      <w:r>
        <w:t>To manually calculate the network address, broadcast address, usable host range, and number of usable hosts for five sample IPv4 CIDR combinations using subnet masks, host-bit calculations, and block-size methods.</w:t>
      </w:r>
    </w:p>
    <w:p>
      <w:r>
        <w:rPr>
          <w:b/>
          <w:sz w:val="26"/>
        </w:rPr>
        <w:t>Key formulas and method</w:t>
      </w:r>
    </w:p>
    <w:p>
      <w:pPr>
        <w:pStyle w:val="ListBullet"/>
      </w:pPr>
      <w:r>
        <w:t>Number of host bits = 32 − CIDR prefix length.</w:t>
      </w:r>
    </w:p>
    <w:p>
      <w:pPr>
        <w:pStyle w:val="ListBullet"/>
      </w:pPr>
      <w:r>
        <w:t>Total addresses in a subnet = 2^(number of host bits).</w:t>
      </w:r>
    </w:p>
    <w:p>
      <w:pPr>
        <w:pStyle w:val="ListBullet"/>
      </w:pPr>
      <w:r>
        <w:t>Usable hosts = total addresses − 2 (network and broadcast addresses).</w:t>
      </w:r>
    </w:p>
    <w:p>
      <w:pPr>
        <w:pStyle w:val="ListBullet"/>
      </w:pPr>
      <w:r>
        <w:t>For a subnet mask expressed in the last octet, block size = 256 − mask value.</w:t>
      </w:r>
    </w:p>
    <w:p>
      <w:pPr>
        <w:pStyle w:val="ListBullet"/>
      </w:pPr>
      <w:r>
        <w:t>Network address is the first address in the block; broadcast address is the last address in the block.</w:t>
      </w:r>
    </w:p>
    <w:p>
      <w:r>
        <w:rPr>
          <w:b/>
          <w:sz w:val="26"/>
        </w:rPr>
        <w:t>Summary table</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vAlign w:val="center"/>
          </w:tcPr>
          <w:p>
            <w:r>
              <w:rPr>
                <w:b/>
              </w:rPr>
              <w:t>CIDR</w:t>
            </w:r>
          </w:p>
        </w:tc>
        <w:tc>
          <w:tcPr>
            <w:tcW w:type="dxa" w:w="1656"/>
            <w:vAlign w:val="center"/>
          </w:tcPr>
          <w:p>
            <w:r>
              <w:rPr>
                <w:b/>
              </w:rPr>
              <w:t>Subnet Mask</w:t>
            </w:r>
          </w:p>
        </w:tc>
        <w:tc>
          <w:tcPr>
            <w:tcW w:type="dxa" w:w="1656"/>
            <w:vAlign w:val="center"/>
          </w:tcPr>
          <w:p>
            <w:r>
              <w:rPr>
                <w:b/>
              </w:rPr>
              <w:t>Network</w:t>
            </w:r>
          </w:p>
        </w:tc>
        <w:tc>
          <w:tcPr>
            <w:tcW w:type="dxa" w:w="1656"/>
            <w:vAlign w:val="center"/>
          </w:tcPr>
          <w:p>
            <w:r>
              <w:rPr>
                <w:b/>
              </w:rPr>
              <w:t>Broadcast</w:t>
            </w:r>
          </w:p>
        </w:tc>
        <w:tc>
          <w:tcPr>
            <w:tcW w:type="dxa" w:w="1656"/>
            <w:vAlign w:val="center"/>
          </w:tcPr>
          <w:p>
            <w:r>
              <w:rPr>
                <w:b/>
              </w:rPr>
              <w:t>Usable Range</w:t>
            </w:r>
          </w:p>
        </w:tc>
        <w:tc>
          <w:tcPr>
            <w:tcW w:type="dxa" w:w="1656"/>
            <w:vAlign w:val="center"/>
          </w:tcPr>
          <w:p>
            <w:r>
              <w:rPr>
                <w:b/>
              </w:rPr>
              <w:t>Usable Hosts</w:t>
            </w:r>
          </w:p>
        </w:tc>
      </w:tr>
      <w:tr>
        <w:tc>
          <w:tcPr>
            <w:tcW w:type="dxa" w:w="1656"/>
            <w:vAlign w:val="center"/>
          </w:tcPr>
          <w:p>
            <w:r>
              <w:t>192.168.10.0/26</w:t>
            </w:r>
          </w:p>
        </w:tc>
        <w:tc>
          <w:tcPr>
            <w:tcW w:type="dxa" w:w="1656"/>
            <w:vAlign w:val="center"/>
          </w:tcPr>
          <w:p>
            <w:r>
              <w:t>255.255.255.192</w:t>
            </w:r>
          </w:p>
        </w:tc>
        <w:tc>
          <w:tcPr>
            <w:tcW w:type="dxa" w:w="1656"/>
            <w:vAlign w:val="center"/>
          </w:tcPr>
          <w:p>
            <w:r>
              <w:t>192.168.10.0</w:t>
            </w:r>
          </w:p>
        </w:tc>
        <w:tc>
          <w:tcPr>
            <w:tcW w:type="dxa" w:w="1656"/>
            <w:vAlign w:val="center"/>
          </w:tcPr>
          <w:p>
            <w:r>
              <w:t>192.168.10.63</w:t>
            </w:r>
          </w:p>
        </w:tc>
        <w:tc>
          <w:tcPr>
            <w:tcW w:type="dxa" w:w="1656"/>
            <w:vAlign w:val="center"/>
          </w:tcPr>
          <w:p>
            <w:r>
              <w:t>192.168.10.1 – 192.168.10.62</w:t>
            </w:r>
          </w:p>
        </w:tc>
        <w:tc>
          <w:tcPr>
            <w:tcW w:type="dxa" w:w="1656"/>
            <w:vAlign w:val="center"/>
          </w:tcPr>
          <w:p>
            <w:r>
              <w:t>62</w:t>
            </w:r>
          </w:p>
        </w:tc>
      </w:tr>
      <w:tr>
        <w:tc>
          <w:tcPr>
            <w:tcW w:type="dxa" w:w="1656"/>
            <w:vAlign w:val="center"/>
          </w:tcPr>
          <w:p>
            <w:r>
              <w:t>10.20.30.0/27</w:t>
            </w:r>
          </w:p>
        </w:tc>
        <w:tc>
          <w:tcPr>
            <w:tcW w:type="dxa" w:w="1656"/>
            <w:vAlign w:val="center"/>
          </w:tcPr>
          <w:p>
            <w:r>
              <w:t>255.255.255.224</w:t>
            </w:r>
          </w:p>
        </w:tc>
        <w:tc>
          <w:tcPr>
            <w:tcW w:type="dxa" w:w="1656"/>
            <w:vAlign w:val="center"/>
          </w:tcPr>
          <w:p>
            <w:r>
              <w:t>10.20.30.0</w:t>
            </w:r>
          </w:p>
        </w:tc>
        <w:tc>
          <w:tcPr>
            <w:tcW w:type="dxa" w:w="1656"/>
            <w:vAlign w:val="center"/>
          </w:tcPr>
          <w:p>
            <w:r>
              <w:t>10.20.30.31</w:t>
            </w:r>
          </w:p>
        </w:tc>
        <w:tc>
          <w:tcPr>
            <w:tcW w:type="dxa" w:w="1656"/>
            <w:vAlign w:val="center"/>
          </w:tcPr>
          <w:p>
            <w:r>
              <w:t>10.20.30.1 – 10.20.30.30</w:t>
            </w:r>
          </w:p>
        </w:tc>
        <w:tc>
          <w:tcPr>
            <w:tcW w:type="dxa" w:w="1656"/>
            <w:vAlign w:val="center"/>
          </w:tcPr>
          <w:p>
            <w:r>
              <w:t>30</w:t>
            </w:r>
          </w:p>
        </w:tc>
      </w:tr>
      <w:tr>
        <w:tc>
          <w:tcPr>
            <w:tcW w:type="dxa" w:w="1656"/>
            <w:vAlign w:val="center"/>
          </w:tcPr>
          <w:p>
            <w:r>
              <w:t>172.16.5.64/28</w:t>
            </w:r>
          </w:p>
        </w:tc>
        <w:tc>
          <w:tcPr>
            <w:tcW w:type="dxa" w:w="1656"/>
            <w:vAlign w:val="center"/>
          </w:tcPr>
          <w:p>
            <w:r>
              <w:t>255.255.255.240</w:t>
            </w:r>
          </w:p>
        </w:tc>
        <w:tc>
          <w:tcPr>
            <w:tcW w:type="dxa" w:w="1656"/>
            <w:vAlign w:val="center"/>
          </w:tcPr>
          <w:p>
            <w:r>
              <w:t>172.16.5.64</w:t>
            </w:r>
          </w:p>
        </w:tc>
        <w:tc>
          <w:tcPr>
            <w:tcW w:type="dxa" w:w="1656"/>
            <w:vAlign w:val="center"/>
          </w:tcPr>
          <w:p>
            <w:r>
              <w:t>172.16.5.79</w:t>
            </w:r>
          </w:p>
        </w:tc>
        <w:tc>
          <w:tcPr>
            <w:tcW w:type="dxa" w:w="1656"/>
            <w:vAlign w:val="center"/>
          </w:tcPr>
          <w:p>
            <w:r>
              <w:t>172.16.5.65 – 172.16.5.78</w:t>
            </w:r>
          </w:p>
        </w:tc>
        <w:tc>
          <w:tcPr>
            <w:tcW w:type="dxa" w:w="1656"/>
            <w:vAlign w:val="center"/>
          </w:tcPr>
          <w:p>
            <w:r>
              <w:t>14</w:t>
            </w:r>
          </w:p>
        </w:tc>
      </w:tr>
      <w:tr>
        <w:tc>
          <w:tcPr>
            <w:tcW w:type="dxa" w:w="1656"/>
            <w:vAlign w:val="center"/>
          </w:tcPr>
          <w:p>
            <w:r>
              <w:t>192.168.50.128/25</w:t>
            </w:r>
          </w:p>
        </w:tc>
        <w:tc>
          <w:tcPr>
            <w:tcW w:type="dxa" w:w="1656"/>
            <w:vAlign w:val="center"/>
          </w:tcPr>
          <w:p>
            <w:r>
              <w:t>255.255.255.128</w:t>
            </w:r>
          </w:p>
        </w:tc>
        <w:tc>
          <w:tcPr>
            <w:tcW w:type="dxa" w:w="1656"/>
            <w:vAlign w:val="center"/>
          </w:tcPr>
          <w:p>
            <w:r>
              <w:t>192.168.50.128</w:t>
            </w:r>
          </w:p>
        </w:tc>
        <w:tc>
          <w:tcPr>
            <w:tcW w:type="dxa" w:w="1656"/>
            <w:vAlign w:val="center"/>
          </w:tcPr>
          <w:p>
            <w:r>
              <w:t>192.168.50.255</w:t>
            </w:r>
          </w:p>
        </w:tc>
        <w:tc>
          <w:tcPr>
            <w:tcW w:type="dxa" w:w="1656"/>
            <w:vAlign w:val="center"/>
          </w:tcPr>
          <w:p>
            <w:r>
              <w:t>192.168.50.129 – 192.168.50.254</w:t>
            </w:r>
          </w:p>
        </w:tc>
        <w:tc>
          <w:tcPr>
            <w:tcW w:type="dxa" w:w="1656"/>
            <w:vAlign w:val="center"/>
          </w:tcPr>
          <w:p>
            <w:r>
              <w:t>126</w:t>
            </w:r>
          </w:p>
        </w:tc>
      </w:tr>
      <w:tr>
        <w:tc>
          <w:tcPr>
            <w:tcW w:type="dxa" w:w="1656"/>
            <w:vAlign w:val="center"/>
          </w:tcPr>
          <w:p>
            <w:r>
              <w:t>172.20.10.192/29</w:t>
            </w:r>
          </w:p>
        </w:tc>
        <w:tc>
          <w:tcPr>
            <w:tcW w:type="dxa" w:w="1656"/>
            <w:vAlign w:val="center"/>
          </w:tcPr>
          <w:p>
            <w:r>
              <w:t>255.255.255.248</w:t>
            </w:r>
          </w:p>
        </w:tc>
        <w:tc>
          <w:tcPr>
            <w:tcW w:type="dxa" w:w="1656"/>
            <w:vAlign w:val="center"/>
          </w:tcPr>
          <w:p>
            <w:r>
              <w:t>172.20.10.192</w:t>
            </w:r>
          </w:p>
        </w:tc>
        <w:tc>
          <w:tcPr>
            <w:tcW w:type="dxa" w:w="1656"/>
            <w:vAlign w:val="center"/>
          </w:tcPr>
          <w:p>
            <w:r>
              <w:t>172.20.10.199</w:t>
            </w:r>
          </w:p>
        </w:tc>
        <w:tc>
          <w:tcPr>
            <w:tcW w:type="dxa" w:w="1656"/>
            <w:vAlign w:val="center"/>
          </w:tcPr>
          <w:p>
            <w:r>
              <w:t>172.20.10.193 – 172.20.10.198</w:t>
            </w:r>
          </w:p>
        </w:tc>
        <w:tc>
          <w:tcPr>
            <w:tcW w:type="dxa" w:w="1656"/>
            <w:vAlign w:val="center"/>
          </w:tcPr>
          <w:p>
            <w:r>
              <w:t>6</w:t>
            </w:r>
          </w:p>
        </w:tc>
      </w:tr>
    </w:tbl>
    <w:p>
      <w:r>
        <w:rPr>
          <w:b/>
          <w:sz w:val="26"/>
        </w:rPr>
        <w:t>Worked Calculation 1: 192.168.10.0/26</w:t>
      </w:r>
    </w:p>
    <w:p>
      <w:r>
        <w:t>Subnet mask: 255.255.255.192</w:t>
      </w:r>
    </w:p>
    <w:p>
      <w:r>
        <w:t>Block size: 64 addresses</w:t>
      </w:r>
    </w:p>
    <w:p>
      <w:pPr>
        <w:pStyle w:val="ListNumber"/>
      </w:pPr>
      <w:r>
        <w:t>Prefix length = /26, so host bits = 32 − 26 = 6.</w:t>
      </w:r>
    </w:p>
    <w:p>
      <w:pPr>
        <w:pStyle w:val="ListNumber"/>
      </w:pPr>
      <w:r>
        <w:t>Addresses per subnet = 2^6 = 64.</w:t>
      </w:r>
    </w:p>
    <w:p>
      <w:pPr>
        <w:pStyle w:val="ListNumber"/>
      </w:pPr>
      <w:r>
        <w:t>Block size in the last octet = 256 − 192 = 64.</w:t>
      </w:r>
    </w:p>
    <w:p>
      <w:pPr>
        <w:pStyle w:val="ListNumber"/>
      </w:pPr>
      <w:r>
        <w:t>The subnet starts at 192.168.10.0, so the next subnet starts at 192.168.10.64.</w:t>
      </w:r>
    </w:p>
    <w:p>
      <w:pPr>
        <w:pStyle w:val="ListNumber"/>
      </w:pPr>
      <w:r>
        <w:t>Network address = 192.168.10.0.</w:t>
      </w:r>
    </w:p>
    <w:p>
      <w:pPr>
        <w:pStyle w:val="ListNumber"/>
      </w:pPr>
      <w:r>
        <w:t>Broadcast address = 192.168.10.64 − 1 = 192.168.10.63.</w:t>
      </w:r>
    </w:p>
    <w:p>
      <w:pPr>
        <w:pStyle w:val="ListNumber"/>
      </w:pPr>
      <w:r>
        <w:t>Usable hosts = 192.168.10.1 through 192.168.10.62.</w:t>
      </w:r>
    </w:p>
    <w:p>
      <w:pPr>
        <w:pStyle w:val="ListNumber"/>
      </w:pPr>
      <w:r>
        <w:t>Usable host count = 64 − 2 = 62.</w:t>
      </w:r>
    </w:p>
    <w:p>
      <w:r>
        <w:rPr>
          <w:b/>
        </w:rPr>
        <w:t>Result — Network: 192.168.10.0 | Broadcast: 192.168.10.63 | Usable range: 192.168.10.1 – 192.168.10.62 | Usable hosts: 62</w:t>
      </w:r>
    </w:p>
    <w:p>
      <w:r>
        <w:rPr>
          <w:b/>
          <w:sz w:val="26"/>
        </w:rPr>
        <w:t>Worked Calculation 2: 10.20.30.0/27</w:t>
      </w:r>
    </w:p>
    <w:p>
      <w:r>
        <w:t>Subnet mask: 255.255.255.224</w:t>
      </w:r>
    </w:p>
    <w:p>
      <w:r>
        <w:t>Block size: 32 addresses</w:t>
      </w:r>
    </w:p>
    <w:p>
      <w:pPr>
        <w:pStyle w:val="ListNumber"/>
      </w:pPr>
      <w:r>
        <w:t>Prefix length = /27, so host bits = 32 − 27 = 5.</w:t>
      </w:r>
    </w:p>
    <w:p>
      <w:pPr>
        <w:pStyle w:val="ListNumber"/>
      </w:pPr>
      <w:r>
        <w:t>Addresses per subnet = 2^5 = 32.</w:t>
      </w:r>
    </w:p>
    <w:p>
      <w:pPr>
        <w:pStyle w:val="ListNumber"/>
      </w:pPr>
      <w:r>
        <w:t>Block size in the last octet = 256 − 224 = 32.</w:t>
      </w:r>
    </w:p>
    <w:p>
      <w:pPr>
        <w:pStyle w:val="ListNumber"/>
      </w:pPr>
      <w:r>
        <w:t>The subnet starts at 10.20.30.0; the next subnet starts at 10.20.30.32.</w:t>
      </w:r>
    </w:p>
    <w:p>
      <w:pPr>
        <w:pStyle w:val="ListNumber"/>
      </w:pPr>
      <w:r>
        <w:t>Network address = 10.20.30.0.</w:t>
      </w:r>
    </w:p>
    <w:p>
      <w:pPr>
        <w:pStyle w:val="ListNumber"/>
      </w:pPr>
      <w:r>
        <w:t>Broadcast address = 10.20.30.32 − 1 = 10.20.30.31.</w:t>
      </w:r>
    </w:p>
    <w:p>
      <w:pPr>
        <w:pStyle w:val="ListNumber"/>
      </w:pPr>
      <w:r>
        <w:t>Usable hosts = 10.20.30.1 through 10.20.30.30.</w:t>
      </w:r>
    </w:p>
    <w:p>
      <w:pPr>
        <w:pStyle w:val="ListNumber"/>
      </w:pPr>
      <w:r>
        <w:t>Usable host count = 32 − 2 = 30.</w:t>
      </w:r>
    </w:p>
    <w:p>
      <w:r>
        <w:rPr>
          <w:b/>
        </w:rPr>
        <w:t>Result — Network: 10.20.30.0 | Broadcast: 10.20.30.31 | Usable range: 10.20.30.1 – 10.20.30.30 | Usable hosts: 30</w:t>
      </w:r>
    </w:p>
    <w:p>
      <w:r>
        <w:rPr>
          <w:b/>
          <w:sz w:val="26"/>
        </w:rPr>
        <w:t>Worked Calculation 3: 172.16.5.64/28</w:t>
      </w:r>
    </w:p>
    <w:p>
      <w:r>
        <w:t>Subnet mask: 255.255.255.240</w:t>
      </w:r>
    </w:p>
    <w:p>
      <w:r>
        <w:t>Block size: 16 addresses</w:t>
      </w:r>
    </w:p>
    <w:p>
      <w:pPr>
        <w:pStyle w:val="ListNumber"/>
      </w:pPr>
      <w:r>
        <w:t>Prefix length = /28, so host bits = 32 − 28 = 4.</w:t>
      </w:r>
    </w:p>
    <w:p>
      <w:pPr>
        <w:pStyle w:val="ListNumber"/>
      </w:pPr>
      <w:r>
        <w:t>Addresses per subnet = 2^4 = 16.</w:t>
      </w:r>
    </w:p>
    <w:p>
      <w:pPr>
        <w:pStyle w:val="ListNumber"/>
      </w:pPr>
      <w:r>
        <w:t>Block size in the last octet = 256 − 240 = 16.</w:t>
      </w:r>
    </w:p>
    <w:p>
      <w:pPr>
        <w:pStyle w:val="ListNumber"/>
      </w:pPr>
      <w:r>
        <w:t>Subnet boundaries in the last octet are 0, 16, 32, 48, 64, 80, …</w:t>
      </w:r>
    </w:p>
    <w:p>
      <w:pPr>
        <w:pStyle w:val="ListNumber"/>
      </w:pPr>
      <w:r>
        <w:t>Therefore 172.16.5.64 is the network address.</w:t>
      </w:r>
    </w:p>
    <w:p>
      <w:pPr>
        <w:pStyle w:val="ListNumber"/>
      </w:pPr>
      <w:r>
        <w:t>Broadcast address = 172.16.5.80 − 1 = 172.16.5.79.</w:t>
      </w:r>
    </w:p>
    <w:p>
      <w:pPr>
        <w:pStyle w:val="ListNumber"/>
      </w:pPr>
      <w:r>
        <w:t>Usable hosts = 172.16.5.65 through 172.16.5.78.</w:t>
      </w:r>
    </w:p>
    <w:p>
      <w:pPr>
        <w:pStyle w:val="ListNumber"/>
      </w:pPr>
      <w:r>
        <w:t>Usable host count = 16 − 2 = 14.</w:t>
      </w:r>
    </w:p>
    <w:p>
      <w:r>
        <w:rPr>
          <w:b/>
        </w:rPr>
        <w:t>Result — Network: 172.16.5.64 | Broadcast: 172.16.5.79 | Usable range: 172.16.5.65 – 172.16.5.78 | Usable hosts: 14</w:t>
      </w:r>
    </w:p>
    <w:p>
      <w:r>
        <w:rPr>
          <w:b/>
          <w:sz w:val="26"/>
        </w:rPr>
        <w:t>Worked Calculation 4: 192.168.50.128/25</w:t>
      </w:r>
    </w:p>
    <w:p>
      <w:r>
        <w:t>Subnet mask: 255.255.255.128</w:t>
      </w:r>
    </w:p>
    <w:p>
      <w:r>
        <w:t>Block size: 128 addresses</w:t>
      </w:r>
    </w:p>
    <w:p>
      <w:pPr>
        <w:pStyle w:val="ListNumber"/>
      </w:pPr>
      <w:r>
        <w:t>Prefix length = /25, so host bits = 32 − 25 = 7.</w:t>
      </w:r>
    </w:p>
    <w:p>
      <w:pPr>
        <w:pStyle w:val="ListNumber"/>
      </w:pPr>
      <w:r>
        <w:t>Addresses per subnet = 2^7 = 128.</w:t>
      </w:r>
    </w:p>
    <w:p>
      <w:pPr>
        <w:pStyle w:val="ListNumber"/>
      </w:pPr>
      <w:r>
        <w:t>Block size in the last octet = 256 − 128 = 128.</w:t>
      </w:r>
    </w:p>
    <w:p>
      <w:pPr>
        <w:pStyle w:val="ListNumber"/>
      </w:pPr>
      <w:r>
        <w:t>The /25 subnet boundaries are 0 and 128 in the last octet.</w:t>
      </w:r>
    </w:p>
    <w:p>
      <w:pPr>
        <w:pStyle w:val="ListNumber"/>
      </w:pPr>
      <w:r>
        <w:t>Therefore 192.168.50.128 is the network address.</w:t>
      </w:r>
    </w:p>
    <w:p>
      <w:pPr>
        <w:pStyle w:val="ListNumber"/>
      </w:pPr>
      <w:r>
        <w:t>Broadcast address = 192.168.50.128 + 128 − 1 = 192.168.50.255.</w:t>
      </w:r>
    </w:p>
    <w:p>
      <w:pPr>
        <w:pStyle w:val="ListNumber"/>
      </w:pPr>
      <w:r>
        <w:t>Usable hosts = 192.168.50.129 through 192.168.50.254.</w:t>
      </w:r>
    </w:p>
    <w:p>
      <w:pPr>
        <w:pStyle w:val="ListNumber"/>
      </w:pPr>
      <w:r>
        <w:t>Usable host count = 128 − 2 = 126.</w:t>
      </w:r>
    </w:p>
    <w:p>
      <w:r>
        <w:rPr>
          <w:b/>
        </w:rPr>
        <w:t>Result — Network: 192.168.50.128 | Broadcast: 192.168.50.255 | Usable range: 192.168.50.129 – 192.168.50.254 | Usable hosts: 126</w:t>
      </w:r>
    </w:p>
    <w:p>
      <w:r>
        <w:rPr>
          <w:b/>
          <w:sz w:val="26"/>
        </w:rPr>
        <w:t>Worked Calculation 5: 172.20.10.192/29</w:t>
      </w:r>
    </w:p>
    <w:p>
      <w:r>
        <w:t>Subnet mask: 255.255.255.248</w:t>
      </w:r>
    </w:p>
    <w:p>
      <w:r>
        <w:t>Block size: 8 addresses</w:t>
      </w:r>
    </w:p>
    <w:p>
      <w:pPr>
        <w:pStyle w:val="ListNumber"/>
      </w:pPr>
      <w:r>
        <w:t>Prefix length = /29, so host bits = 32 − 29 = 3.</w:t>
      </w:r>
    </w:p>
    <w:p>
      <w:pPr>
        <w:pStyle w:val="ListNumber"/>
      </w:pPr>
      <w:r>
        <w:t>Addresses per subnet = 2^3 = 8.</w:t>
      </w:r>
    </w:p>
    <w:p>
      <w:pPr>
        <w:pStyle w:val="ListNumber"/>
      </w:pPr>
      <w:r>
        <w:t>Block size in the last octet = 256 − 248 = 8.</w:t>
      </w:r>
    </w:p>
    <w:p>
      <w:pPr>
        <w:pStyle w:val="ListNumber"/>
      </w:pPr>
      <w:r>
        <w:t>Subnet boundaries in the last octet include 184, 192, 200, …</w:t>
      </w:r>
    </w:p>
    <w:p>
      <w:pPr>
        <w:pStyle w:val="ListNumber"/>
      </w:pPr>
      <w:r>
        <w:t>Therefore 172.20.10.192 is the network address.</w:t>
      </w:r>
    </w:p>
    <w:p>
      <w:pPr>
        <w:pStyle w:val="ListNumber"/>
      </w:pPr>
      <w:r>
        <w:t>Broadcast address = 172.20.10.200 − 1 = 172.20.10.199.</w:t>
      </w:r>
    </w:p>
    <w:p>
      <w:pPr>
        <w:pStyle w:val="ListNumber"/>
      </w:pPr>
      <w:r>
        <w:t>Usable hosts = 172.20.10.193 through 172.20.10.198.</w:t>
      </w:r>
    </w:p>
    <w:p>
      <w:pPr>
        <w:pStyle w:val="ListNumber"/>
      </w:pPr>
      <w:r>
        <w:t>Usable host count = 8 − 2 = 6.</w:t>
      </w:r>
    </w:p>
    <w:p>
      <w:r>
        <w:rPr>
          <w:b/>
        </w:rPr>
        <w:t>Result — Network: 172.20.10.192 | Broadcast: 172.20.10.199 | Usable range: 172.20.10.193 – 172.20.10.198 | Usable hosts: 6</w:t>
      </w:r>
    </w:p>
    <w:p>
      <w:r>
        <w:rPr>
          <w:b/>
          <w:sz w:val="26"/>
        </w:rPr>
        <w:t>One-Paragraph Explanation</w:t>
      </w:r>
    </w:p>
    <w:p>
      <w:r>
        <w:t>For the 192.168.10.0/26 example, the /26 prefix leaves 6 bits for hosts because an IPv4 address has 32 bits in total. Six host bits create 2^6 = 64 addresses in the subnet. The /26 subnet mask is 255.255.255.192, so the block size is 256 − 192 = 64. This means the subnet boundaries in the last octet occur at 0, 64, 128, and 192. Because the given network starts at 192.168.10.0, its 64-address block runs from .0 through .63. The first address, .0, is reserved as the network address, and the final address, .63, is reserved as the broadcast address. Therefore, the usable host range is .1 through .62, giving 64 − 2 = 62 usable host addresses.</w:t>
      </w:r>
    </w:p>
    <w:p>
      <w:r>
        <w:rPr>
          <w:b/>
          <w:sz w:val="26"/>
        </w:rPr>
        <w:t>Conclusion</w:t>
      </w:r>
    </w:p>
    <w:p>
      <w:r>
        <w:t>The five examples demonstrate how CIDR prefix length determines the number of host bits, which in turn determines the subnet size and usable host capacity. By converting the CIDR prefix into a subnet mask and calculating the block size, the network and broadcast addresses can be identified directly, after which the usable host range is the addresses between them.</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IP/CIDR Subnetting Calculation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