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PLOS ONE Human Participants Research Checklist</w:t>
      </w:r>
    </w:p>
    <w:p>
      <w:r>
        <w:t>Author Name: Suleiman Hajizadeh</w:t>
      </w:r>
    </w:p>
    <w:p>
      <w:r>
        <w:t>Manuscript Title: Transcriptomic Characterization of Triple-Negative Breast Cancer Identifies Distinct Immune Infiltration Patterns and PI3K-Akt Hyperactivation</w:t>
      </w:r>
    </w:p>
    <w:p>
      <w:r>
        <w:t>Manuscript Number: PONE-D-26-23459</w:t>
      </w:r>
    </w:p>
    <w:p/>
    <w:p>
      <w:r>
        <w:rPr>
          <w:b/>
        </w:rPr>
        <w:t xml:space="preserve">Study Category: </w:t>
      </w:r>
      <w:r>
        <w:t>Exempt / Not Applicable (In Silico / Secondary Analysis of Public Data)</w:t>
      </w:r>
    </w:p>
    <w:p>
      <w:pPr>
        <w:pStyle w:val="Heading2"/>
      </w:pPr>
      <w:r>
        <w:t>Checklist &amp; Declaration:</w:t>
      </w:r>
    </w:p>
    <w:p>
      <w:r>
        <w:t>☑ The study relies EXCLUSIVELY on publicly available, completely anonymized, and de-identified transcriptomic datasets (GEO Accession: GSE58135, SRA Accession: SRP042620).</w:t>
      </w:r>
    </w:p>
    <w:p>
      <w:r>
        <w:t>☑ No new human subjects were recruited for this study.</w:t>
      </w:r>
    </w:p>
    <w:p>
      <w:r>
        <w:t>☑ No primary human tissues, specimens, or clinical data were collected by the authors.</w:t>
      </w:r>
    </w:p>
    <w:p>
      <w:r>
        <w:t>☑ Because the data is public and de-identified, this research does not constitute Human Subjects Research according to institutional and international guidelines (e.g., Belmont Report, Declaration of Helsinki), and thus Institutional Review Board (IRB) ethical approval and patient consent are Not Applicable (Exempt).</w:t>
      </w:r>
    </w:p>
    <w:p>
      <w:pPr>
        <w:pStyle w:val="Heading2"/>
      </w:pPr>
      <w:r>
        <w:t>Compliance Statement:</w:t>
      </w:r>
    </w:p>
    <w:p>
      <w:r>
        <w:t>I confirm that this study complies with all PLOS ONE policies regarding human participants and data availability. All data used is open-access and fully cited within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