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EU Single Permit Reforms: Faster Work Authorization Across Europe</w:t>
      </w:r>
    </w:p>
    <w:p>
      <w:r>
        <w:t xml:space="preserve"/>
      </w:r>
    </w:p>
    <w:p>
      <w:r>
        <w:t xml:space="preserve">The European Union's revised Single Permit Directive takes effect on May 18, 2026, introducing significant improvements for non-EU workers seeking employment across member states. The reforms streamline application procedures, reduce processing times, and enhance job mobility for migrant workers already holding EU work permits.</w:t>
      </w:r>
    </w:p>
    <w:p>
      <w:r>
        <w:t xml:space="preserve"/>
      </w:r>
    </w:p>
    <w:p>
      <w:pPr>
        <w:pStyle w:val="Heading2"/>
      </w:pPr>
      <w:r>
        <w:t xml:space="preserve">What is the Single Permit</w:t>
      </w:r>
    </w:p>
    <w:p>
      <w:r>
        <w:t xml:space="preserve">The Single Permit is a combined residence and work authorization issued by EU member states to non-EU nationals. Rather than requiring separate documents for legal residence and employment, the permit consolidates both rights into a single card, simplifying compliance for employers and workers.</w:t>
      </w:r>
    </w:p>
    <w:p>
      <w:r>
        <w:t xml:space="preserve"/>
      </w:r>
    </w:p>
    <w:p>
      <w:r>
        <w:t xml:space="preserve">The revised directive standardizes procedures across all EU countries, ensuring that workers receive consistent treatment regardless of which member state processes their application. Previously, significant variation existed in timelines, documentation requirements, and procedural rules.</w:t>
      </w:r>
    </w:p>
    <w:p>
      <w:r>
        <w:t xml:space="preserve"/>
      </w:r>
    </w:p>
    <w:p>
      <w:pPr>
        <w:pStyle w:val="Heading2"/>
      </w:pPr>
      <w:r>
        <w:t xml:space="preserve">Key Changes Under the 2026 Reforms</w:t>
      </w:r>
    </w:p>
    <w:p>
      <w:r>
        <w:t xml:space="preserve">The most consequential reform is the mandatory 90-day processing deadline for all Single Permit applications. Member states must now issue decisions within three months of receiving complete applications. This replaces the previous system where some countries took six months or longer, creating uncertainty for employers and employees.</w:t>
      </w:r>
    </w:p>
    <w:p>
      <w:r>
        <w:t xml:space="preserve"/>
      </w:r>
    </w:p>
    <w:p>
      <w:r>
        <w:t xml:space="preserve">Another major change permits in-country applications. Workers already legally present in an EU member state on valid residence permits can now apply for work authorization without returning to their home country. This eliminates costly and disruptive visa runs that previously forced employees to interrupt their lives and work.</w:t>
      </w:r>
    </w:p>
    <w:p>
      <w:r>
        <w:t xml:space="preserve"/>
      </w:r>
    </w:p>
    <w:p>
      <w:r>
        <w:t xml:space="preserve">Job mobility rights have been expanded. After six months of legal employment under a Single Permit, workers gain the right to change employers within the same member state without reapplying for authorization. Previously, many countries required new permits for every job change, creating administrative burdens and limiting labor market flexibility.</w:t>
      </w:r>
    </w:p>
    <w:p>
      <w:r>
        <w:t xml:space="preserve"/>
      </w:r>
    </w:p>
    <w:p>
      <w:r>
        <w:t xml:space="preserve">Equal treatment protections are strengthened. Single Permit holders now have explicit rights to the same working conditions, wages, social security benefits, and access to public services as EU nationals in equivalent positions. This closes loopholes that previously allowed discriminatory treatment.</w:t>
      </w:r>
    </w:p>
    <w:p>
      <w:r>
        <w:t xml:space="preserve"/>
      </w:r>
    </w:p>
    <w:p>
      <w:pPr>
        <w:pStyle w:val="Heading2"/>
      </w:pPr>
      <w:r>
        <w:t xml:space="preserve">Application Process</w:t>
      </w:r>
    </w:p>
    <w:p>
      <w:r>
        <w:t xml:space="preserve">Applications are typically submitted by the employer or the worker, depending on the member state. Required documentation includes a valid job offer or employment contract meeting local labor market standards, proof of qualifications or professional credentials where applicable, and evidence of suitable accommodation.</w:t>
      </w:r>
    </w:p>
    <w:p>
      <w:r>
        <w:t xml:space="preserve"/>
      </w:r>
    </w:p>
    <w:p>
      <w:r>
        <w:t xml:space="preserve">Member states may conduct labor market tests to verify that no suitable EU or local workers are available for the position. However, the revised directive limits the scope and duration of these tests to prevent excessive delays.</w:t>
      </w:r>
    </w:p>
    <w:p>
      <w:r>
        <w:t xml:space="preserve"/>
      </w:r>
    </w:p>
    <w:p>
      <w:r>
        <w:t xml:space="preserve">Once issued, Single Permits are valid for the duration of the employment contract, up to a maximum of two years for initial permits. Renewals are permitted, and after five years of continuous legal residence, workers become eligible for long-term EU residence status.</w:t>
      </w:r>
    </w:p>
    <w:p>
      <w:r>
        <w:t xml:space="preserve"/>
      </w:r>
    </w:p>
    <w:p>
      <w:pPr>
        <w:pStyle w:val="Heading2"/>
      </w:pPr>
      <w:r>
        <w:t xml:space="preserve">Who Benefits from These Reforms</w:t>
      </w:r>
    </w:p>
    <w:p>
      <w:r>
        <w:t xml:space="preserve">The reforms are particularly advantageous for multinational corporations managing intra-company transfers. Employees can now be relocated to EU subsidiaries more quickly and with greater certainty regarding timelines. The 90-day processing deadline allows HR departments to plan relocations with confidence.</w:t>
      </w:r>
    </w:p>
    <w:p>
      <w:r>
        <w:t xml:space="preserve"/>
      </w:r>
    </w:p>
    <w:p>
      <w:r>
        <w:t xml:space="preserve">Tech companies, engineering firms, and professional services providers hiring international talent gain faster access to skilled workers. The in-country application option means employees on other permit types, such as student visas or temporary assignments, can transition to permanent roles without leaving Europe.</w:t>
      </w:r>
    </w:p>
    <w:p>
      <w:r>
        <w:t xml:space="preserve"/>
      </w:r>
    </w:p>
    <w:p>
      <w:r>
        <w:t xml:space="preserve">For workers already in the EU, the six-month job mobility provision offers significant career flexibility. Professionals can accept promotions, change industries, or relocate within the same country without restarting lengthy immigration processes.</w:t>
      </w:r>
    </w:p>
    <w:p>
      <w:r>
        <w:t xml:space="preserve"/>
      </w:r>
    </w:p>
    <w:p>
      <w:pPr>
        <w:pStyle w:val="Heading2"/>
      </w:pPr>
      <w:r>
        <w:t xml:space="preserve">National Implementation Variations</w:t>
      </w:r>
    </w:p>
    <w:p>
      <w:r>
        <w:t xml:space="preserve">While the directive sets minimum standards, member states retain discretion over certain aspects. Countries may impose additional requirements for specific professions, maintain quota systems for certain sectors, or require language proficiency tests.</w:t>
      </w:r>
    </w:p>
    <w:p>
      <w:r>
        <w:t xml:space="preserve"/>
      </w:r>
    </w:p>
    <w:p>
      <w:r>
        <w:t xml:space="preserve">Italy, for example, continues to operate its Decreto Flussi quota system alongside the Single Permit framework. Workers applying under quota allocations follow the standard Click Day procedures, but once authorized, they receive permits that comply with the revised directive's timelines and mobility provisions.</w:t>
      </w:r>
    </w:p>
    <w:p>
      <w:r>
        <w:t xml:space="preserve"/>
      </w:r>
    </w:p>
    <w:p>
      <w:r>
        <w:t xml:space="preserve">Employers should consult with immigration counsel in each target country to understand how national laws interact with the EU-level reforms.</w:t>
      </w:r>
    </w:p>
    <w:p>
      <w:r>
        <w:t xml:space="preserve"/>
      </w:r>
    </w:p>
    <w:p>
      <w:pPr>
        <w:pStyle w:val="Heading2"/>
      </w:pPr>
      <w:r>
        <w:t xml:space="preserve">Impact on Highly Skilled Workers</w:t>
      </w:r>
    </w:p>
    <w:p>
      <w:r>
        <w:t xml:space="preserve">The Single Permit coexists with the EU Blue Card, which remains the preferred option for highly skilled professionals earning above minimum salary thresholds. However, workers who do not meet Blue Card requirements or are employed in sectors excluded from that scheme now benefit from significantly improved Single Permit procedures.</w:t>
      </w:r>
    </w:p>
    <w:p>
      <w:r>
        <w:t xml:space="preserve"/>
      </w:r>
    </w:p>
    <w:p>
      <w:r>
        <w:t xml:space="preserve">For mid-level professionals, technicians, and specialists, the Single Permit offers a viable pathway to European employment with greater speed and flexibility than was previously available.</w:t>
      </w:r>
    </w:p>
    <w:p>
      <w:r>
        <w:t xml:space="preserve"/>
      </w:r>
    </w:p>
    <w:p>
      <w:pPr>
        <w:pStyle w:val="Heading2"/>
      </w:pPr>
      <w:r>
        <w:t xml:space="preserve">Family Reunification Under Single Permits</w:t>
      </w:r>
    </w:p>
    <w:p>
      <w:r>
        <w:t xml:space="preserve">Single Permit holders have the right to family reunification under EU law. Spouses and dependent children can join the worker after the permit is issued, subject to member state requirements regarding income and accommodation.</w:t>
      </w:r>
    </w:p>
    <w:p>
      <w:r>
        <w:t xml:space="preserve"/>
      </w:r>
    </w:p>
    <w:p>
      <w:r>
        <w:t xml:space="preserve">The revised directive clarifies that family members should receive work authorization without additional barriers, facilitating dual-career relocations. This is particularly important for attracting talent from competitive global markets where family considerations weigh heavily in relocation decisions.</w:t>
      </w:r>
    </w:p>
    <w:p>
      <w:r>
        <w:t xml:space="preserve"/>
      </w:r>
    </w:p>
    <w:p>
      <w:pPr>
        <w:pStyle w:val="Heading2"/>
      </w:pPr>
      <w:r>
        <w:t xml:space="preserve">Enforcement and Compliance</w:t>
      </w:r>
    </w:p>
    <w:p>
      <w:r>
        <w:t xml:space="preserve">The European Commission will monitor member state compliance with the 90-day deadline and other reforms. Countries failing to meet processing timelines may face infringement procedures and potential fines.</w:t>
      </w:r>
    </w:p>
    <w:p>
      <w:r>
        <w:t xml:space="preserve"/>
      </w:r>
    </w:p>
    <w:p>
      <w:r>
        <w:t xml:space="preserve">For employers, compliance now involves ensuring that workers hold valid permits, that job changes within the six-month window do not violate permit conditions, and that equal treatment provisions are respected in wages, benefits, and workplace policies.</w:t>
      </w:r>
    </w:p>
    <w:p>
      <w:r>
        <w:t xml:space="preserve"/>
      </w:r>
    </w:p>
    <w:p>
      <w:pPr>
        <w:pStyle w:val="Heading2"/>
      </w:pPr>
      <w:r>
        <w:t xml:space="preserve">Strategic Implications for Corporate Immigration</w:t>
      </w:r>
    </w:p>
    <w:p>
      <w:r>
        <w:t xml:space="preserve">The Single Permit reforms enhance Europe's competitiveness in attracting international talent. Companies can now plan relocations with shorter lead times, reduce relocation costs by enabling in-country status changes, and offer employees greater career mobility.</w:t>
      </w:r>
    </w:p>
    <w:p>
      <w:r>
        <w:t xml:space="preserve"/>
      </w:r>
    </w:p>
    <w:p>
      <w:r>
        <w:t xml:space="preserve">Global mobility teams should update their immigration policies to reflect the new 90-day standard and communicate these improvements to candidates considering European roles. The ability to change employers after six months also supports internal transfers and promotions within multinational organizations.</w:t>
      </w:r>
    </w:p>
    <w:p>
      <w:r>
        <w:t xml:space="preserve"/>
      </w:r>
    </w:p>
    <w:p>
      <w:pPr>
        <w:pStyle w:val="Heading2"/>
      </w:pPr>
      <w:r>
        <w:t xml:space="preserve">How MP Immigration Can Assist</w:t>
      </w:r>
    </w:p>
    <w:p>
      <w:r>
        <w:t xml:space="preserve">MP Immigration specializes in corporate immigration across EU member states, including Single Permit applications, renewals, and employer compliance. We help companies navigate the revised directive's requirements while managing country-specific variations in implementation.</w:t>
      </w:r>
    </w:p>
    <w:p>
      <w:r>
        <w:t xml:space="preserve"/>
      </w:r>
    </w:p>
    <w:p>
      <w:r>
        <w:t xml:space="preserve">Our services include eligibility assessments for Single Permit versus EU Blue Card options, application preparation and submission coordination, employer compliance audits, and strategic advice on leveraging the new job mobility provisions.</w:t>
      </w:r>
    </w:p>
    <w:p>
      <w:r>
        <w:t xml:space="preserve"/>
      </w:r>
    </w:p>
    <w:p>
      <w:r>
        <w:t xml:space="preserve">Contact MP Immigration to explore how the reformed Single Permit can support your European talent acquisition and retention strategies.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2026-02-25T13:41:23.548Z</dcterms:created>
  <dcterms:modified xsi:type="dcterms:W3CDTF">2026-02-25T13:41:23.549Z</dcterms:modified>
</cp:coreProperties>
</file>

<file path=docProps/custom.xml><?xml version="1.0" encoding="utf-8"?>
<Properties xmlns="http://schemas.openxmlformats.org/officeDocument/2006/custom-properties" xmlns:vt="http://schemas.openxmlformats.org/officeDocument/2006/docPropsVTypes"/>
</file>