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6c8dbeee92d657e61a84480547a0eea36ba7699"/>
    <w:p>
      <w:pPr>
        <w:pStyle w:val="Heading1"/>
      </w:pPr>
      <w:r>
        <w:t xml:space="preserve">Международные практики управления здравоохранением: сводный отчёт</w:t>
      </w:r>
    </w:p>
    <w:p>
      <w:pPr>
        <w:pStyle w:val="FirstParagraph"/>
      </w:pPr>
      <w:r>
        <w:rPr>
          <w:bCs/>
          <w:b/>
        </w:rPr>
        <w:t xml:space="preserve">Период охвата:</w:t>
      </w:r>
      <w:r>
        <w:t xml:space="preserve"> </w:t>
      </w:r>
      <w:r>
        <w:t xml:space="preserve">09.10.2026 – 23.10.2026 (отдельные материалы датированы более ранним периодом 2026 года и включены впервые в этом выпуске — это отмечено явно в каждом таком случае)</w:t>
      </w:r>
      <w:r>
        <w:t xml:space="preserve"> </w:t>
      </w:r>
      <w:r>
        <w:rPr>
          <w:bCs/>
          <w:b/>
        </w:rPr>
        <w:t xml:space="preserve">Дата составления:</w:t>
      </w:r>
      <w:r>
        <w:t xml:space="preserve"> </w:t>
      </w:r>
      <w:r>
        <w:t xml:space="preserve">23.10.2026</w:t>
      </w:r>
      <w:r>
        <w:t xml:space="preserve"> </w:t>
      </w:r>
      <w:r>
        <w:rPr>
          <w:bCs/>
          <w:b/>
        </w:rPr>
        <w:t xml:space="preserve">Подготовлено для:</w:t>
      </w:r>
      <w:r>
        <w:t xml:space="preserve"> </w:t>
      </w:r>
      <w:r>
        <w:t xml:space="preserve">собственника и генерального директора управляющей компании частных медицинских клиник (хирургическая клиника, клиника женского здоровья/лактации, проект премиального сна и нейро-лонгевити)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Два смежных цикла подряд почти пустые по операционному управлению, качеству/аккредитации и глобальным бенчмаркам.</w:t>
      </w:r>
      <w:r>
        <w:t xml:space="preserve"> </w:t>
      </w:r>
      <w:r>
        <w:t xml:space="preserve">Целевой поиск по McKinsey, Deloitte, Becker’s, HBR и аналогам не дал новых дателированных кейсов с измеримым результатом в этом окне по трём из восьми тем. Это системный сигнал: пора переходить от общих тематических запросов к точечному мониторингу конкретных операторов и вендоров (повторяется третий раз подряд, см. раздел 1, 3, 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 ИИ/цифровизации главный тренд — разрыв между намерением и масштабированием.</w:t>
      </w:r>
      <w:r>
        <w:t xml:space="preserve"> </w:t>
      </w:r>
      <w:r>
        <w:t xml:space="preserve">85% ИТ-руководителей здравоохранения США планируют увеличить инвестиции в агентный ИИ, но реально масштабировали хоть одну функцию на весь контур только ~30% организаций, а на весь периметр — 2% (Deloitte). Практический вывод: начинать не с платформы «под всё», а с одного узкого измеримого пилота.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Впервые в серии отчётов найден кейс именно про технологическую/бэк-офисную стандартизацию на масштабе 50+ локаций</w:t>
      </w:r>
      <w:r>
        <w:t xml:space="preserve"> </w:t>
      </w:r>
      <w:r>
        <w:t xml:space="preserve">(ModMed / U.S. Orthopaedic Partners) — многолетний пробел закрыт частично: сеть монопрофильная (ортопедия), а не мультипрофильная УК, но принцип унификации административного слоя раньше клинического переносим напрямую.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Франчайзинг подтверждает себя как путь масштабирования «лёгких» форматов клиник</w:t>
      </w:r>
      <w:r>
        <w:t xml:space="preserve"> </w:t>
      </w:r>
      <w:r>
        <w:t xml:space="preserve">(сеть мед-спа VIO Med Spa, &gt;15 новых франшизных договоров с начала 2026 года) — потенциально релевантно для проекта сна/нейро-лонгевити, если УК рассматривает рост через франшизу.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Аккредитация явно монетизируется через привязку к закупкам и контрактам.</w:t>
      </w:r>
      <w:r>
        <w:t xml:space="preserve"> </w:t>
      </w:r>
      <w:r>
        <w:t xml:space="preserve">В Казахстане категория национальной аккредитации используется как критерий допуска к долгосрочным госконтрактам на медуслуги; в Индии CARE Hospitals получила JCI-аккредитацию в октябре 2026.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HR-тренд сдвигается от «мягких» факторов удержания к прозрачной оплате и управляемой нагрузке.</w:t>
      </w:r>
      <w:r>
        <w:t xml:space="preserve"> </w:t>
      </w:r>
      <w:r>
        <w:t xml:space="preserve">По данным McKinsey HR Monitor 2026, компенсация обогнала гарантии занятости как главный названный фактор удержания персонала в здравоохранении.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Впервые введена рубрика «Обзор клиники».</w:t>
      </w:r>
      <w:r>
        <w:t xml:space="preserve"> </w:t>
      </w:r>
      <w:r>
        <w:t xml:space="preserve">Разобрана модель Clinique La Prairie (Швейцария): отделение владения недвижимостью от операционного медицинского бизнеса и модель «интенсивный флагман + лёгкие городские хабы» — прямо применимо к логике развития проекта премиального сна/нейро-лонгевити.</w:t>
      </w:r>
    </w:p>
    <w:p>
      <w:r>
        <w:pict>
          <v:rect style="width:0;height:1.5pt" o:hralign="center" o:hrstd="t" o:hr="t"/>
        </w:pict>
      </w:r>
    </w:p>
    <w:bookmarkEnd w:id="20"/>
    <w:bookmarkStart w:id="23" w:name="операционное-управление-клиникой"/>
    <w:p>
      <w:pPr>
        <w:pStyle w:val="Heading2"/>
      </w:pPr>
      <w:r>
        <w:t xml:space="preserve">1. Операционное управление клиникой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целевой поиск на английском и русском языках (McKinsey, Deloitte, Becker’s, Journal of Healthcare Management, профильные источники по Lean/Six Sigma) не дал ни одного материала, достоверно датированного 09.10–23.10.2026. Два кандидата, на первый взгляд подходящих, при проверке оказались старыми: исследование M Health Fairview об оптимизации расписания врачей (снижение разброса загрузки на 88–94%, использование слотов до 100% за счёт модели constrained optimization) опубликовано в</w:t>
      </w:r>
      <w:r>
        <w:t xml:space="preserve"> </w:t>
      </w:r>
      <w:r>
        <w:rPr>
          <w:iCs/>
          <w:i/>
        </w:rPr>
        <w:t xml:space="preserve">MDM Policy &amp; Practice</w:t>
      </w:r>
      <w:r>
        <w:t xml:space="preserve"> </w:t>
      </w:r>
      <w:r>
        <w:t xml:space="preserve">в октябре</w:t>
      </w:r>
      <w:r>
        <w:t xml:space="preserve"> </w:t>
      </w:r>
      <w:r>
        <w:rPr>
          <w:bCs/>
          <w:b/>
        </w:rPr>
        <w:t xml:space="preserve">2020</w:t>
      </w:r>
      <w:r>
        <w:t xml:space="preserve"> </w:t>
      </w:r>
      <w:r>
        <w:t xml:space="preserve">года, а работа о сглаживании потока пациентов в послеоперационной палате (PACU) через constraint programming — в</w:t>
      </w:r>
      <w:r>
        <w:t xml:space="preserve"> </w:t>
      </w:r>
      <w:r>
        <w:rPr>
          <w:iCs/>
          <w:i/>
        </w:rPr>
        <w:t xml:space="preserve">Analytics</w:t>
      </w:r>
      <w:r>
        <w:t xml:space="preserve"> </w:t>
      </w:r>
      <w:r>
        <w:t xml:space="preserve">(MDPI), фактически</w:t>
      </w:r>
      <w:r>
        <w:t xml:space="preserve"> </w:t>
      </w:r>
      <w:r>
        <w:rPr>
          <w:bCs/>
          <w:b/>
        </w:rPr>
        <w:t xml:space="preserve">2023–2024</w:t>
      </w:r>
      <w:r>
        <w:t xml:space="preserve"> </w:t>
      </w:r>
      <w:r>
        <w:t xml:space="preserve">годов, несмотря на более позднюю индексацию поисковиком.</w:t>
      </w:r>
    </w:p>
    <w:p>
      <w:pPr>
        <w:pStyle w:val="BodyText"/>
      </w:pPr>
      <w:r>
        <w:rPr>
          <w:bCs/>
          <w:b/>
        </w:rPr>
        <w:t xml:space="preserve">Фоновый контекст (не из окна отчёта, но ранее не использовался в серии):</w:t>
      </w:r>
      <w:r>
        <w:t xml:space="preserve"> </w:t>
      </w:r>
      <w:r>
        <w:t xml:space="preserve">- Cleveland Clinic (онкоцентр Taussig) сократил время ожидания начала химиотерапии примерно с 2 часов до менее 20 минут за счёт Lean-инструментов. Точная дата публикации материала не подтверждена.</w:t>
      </w:r>
      <w:r>
        <w:t xml:space="preserve"> </w:t>
      </w:r>
      <w:hyperlink r:id="rId21">
        <w:r>
          <w:rPr>
            <w:rStyle w:val="Hyperlink"/>
          </w:rPr>
          <w:t xml:space="preserve">Becker’s Hospital Review</w:t>
        </w:r>
      </w:hyperlink>
      <w:r>
        <w:t xml:space="preserve"> </w:t>
      </w:r>
      <w:r>
        <w:t xml:space="preserve">- NYC Health+Hospitals/Bellevue сократил срок записи нового пациента с 52 до 14 дней, приоритизировав в работе call-центра непрерывность наблюдения («свой» врач), а не только скорость записи. Точная дата не подтверждена.</w:t>
      </w:r>
      <w:r>
        <w:t xml:space="preserve"> </w:t>
      </w:r>
      <w:hyperlink r:id="rId22">
        <w:r>
          <w:rPr>
            <w:rStyle w:val="Hyperlink"/>
          </w:rPr>
          <w:t xml:space="preserve">Becker’s Hospital Review</w:t>
        </w:r>
      </w:hyperlink>
    </w:p>
    <w:p>
      <w:pPr>
        <w:pStyle w:val="BodyText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оба принципа переносимы напрямую. Для хирургической клиники — пересмотр блокового расписания операционной с учётом фактической длительности разных типов вмешательств, а не механическое добавление слотов. Для клиники женского здоровья/лактации — выстраивание записи так, чтобы пациентка по возможности попадала к «своему» специалисту: по данным NYC H+H, это снижает отток точнее, чем простое сокращение времени ожидания.</w:t>
      </w:r>
    </w:p>
    <w:p>
      <w:r>
        <w:pict>
          <v:rect style="width:0;height:1.5pt" o:hralign="center" o:hrstd="t" o:hr="t"/>
        </w:pict>
      </w:r>
    </w:p>
    <w:bookmarkEnd w:id="23"/>
    <w:bookmarkStart w:id="28" w:name="цифровизация-и-ии-в-управлении"/>
    <w:p>
      <w:pPr>
        <w:pStyle w:val="Heading2"/>
      </w:pPr>
      <w:r>
        <w:t xml:space="preserve">2. Цифровизация и ИИ в управлении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строго в двухнедельном окне новых материалов от приоритетных источников не нашлось, но при расширении поиска обнаружены два значимых, ранее не использованных в серии количественных источника (оба — рубеж 2025/2026, то есть до окна, но новые для отчёта) и один свежий отраслевой кейс.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Deloitte (опрос 100 ИТ-директоров здравоохранения США, сентябрь 2025, публикация 11.02.2026):</w:t>
      </w:r>
      <w:r>
        <w:t xml:space="preserve"> </w:t>
      </w:r>
      <w:r>
        <w:t xml:space="preserve">85% планируют увеличить инвестиции в агентный ИИ в ближайшие 2–3 года, 61% уже строят или внедряют инициативы; 98% ожидают экономии ≥10% затрат, 37% — экономии свыше 20%.</w:t>
      </w:r>
      <w:r>
        <w:t xml:space="preserve"> </w:t>
      </w:r>
      <w:hyperlink r:id="rId24">
        <w:r>
          <w:rPr>
            <w:rStyle w:val="Hyperlink"/>
          </w:rPr>
          <w:t xml:space="preserve">Becker’s Hospital Review, 2026</w:t>
        </w:r>
      </w:hyperlink>
      <w:r>
        <w:t xml:space="preserve">; подтверждено</w:t>
      </w:r>
      <w:r>
        <w:t xml:space="preserve"> </w:t>
      </w:r>
      <w:hyperlink r:id="rId25">
        <w:r>
          <w:rPr>
            <w:rStyle w:val="Hyperlink"/>
          </w:rPr>
          <w:t xml:space="preserve">Chief Healthcare Executive, 20.02.2026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Deloitte, 2026 US Health Care Executive Outlook:</w:t>
      </w:r>
      <w:r>
        <w:t xml:space="preserve"> </w:t>
      </w:r>
      <w:r>
        <w:t xml:space="preserve">свыше 80% руководителей ожидают от gen/агентного ИИ умеренную-значительную ценность в клинических, бизнес- и бэк-офисных функциях, но лишь ~30% масштабировали хоть одну область внедрения на весь контур, и только 2% — на весь периметр организации; доля руководителей, называющих краткосрочные перспективы «неопределёнными», выросла с 28% до 43% год к году.</w:t>
      </w:r>
      <w:r>
        <w:t xml:space="preserve"> </w:t>
      </w:r>
      <w:hyperlink r:id="rId26">
        <w:r>
          <w:rPr>
            <w:rStyle w:val="Hyperlink"/>
          </w:rPr>
          <w:t xml:space="preserve">Deloitte Insights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Baylor Scott &amp; White Health — ИИ в revenue cycle management (кейс через партнёра Accuity, точная дата внутри окна не подтверждена):</w:t>
      </w:r>
      <w:r>
        <w:t xml:space="preserve"> </w:t>
      </w:r>
      <w:r>
        <w:t xml:space="preserve">за ~6 месяцев после внедрения система получила дополнительно $20,6 млн выручки (годовая проекция — $45 млн), Case Mix Index по «возможностным» случаям улучшился в среднем на 3,5%.</w:t>
      </w:r>
      <w:r>
        <w:t xml:space="preserve"> </w:t>
      </w:r>
      <w:hyperlink r:id="rId27">
        <w:r>
          <w:rPr>
            <w:rStyle w:val="Hyperlink"/>
          </w:rPr>
          <w:t xml:space="preserve">Healthcare Finance News</w:t>
        </w:r>
      </w:hyperlink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прежде чем инвестировать в «агентный ИИ» для административных процессов, для каждой из трёх клиник стоит зафиксировать один узкий, измеримый пилот (например, автонапоминания/учёт отмен в хирургии или претензионная аналитика в биллинге) с базовой метрикой и ROI-целью — по аналогии с кейсом Baylor Scott &amp; White, а не закупать универсальную платформу на основании общих ожиданий экономии 20%+.</w:t>
      </w:r>
    </w:p>
    <w:p>
      <w:r>
        <w:pict>
          <v:rect style="width:0;height:1.5pt" o:hralign="center" o:hrstd="t" o:hr="t"/>
        </w:pict>
      </w:r>
    </w:p>
    <w:bookmarkEnd w:id="28"/>
    <w:bookmarkStart w:id="33" w:name="качество-и-аккредитация"/>
    <w:p>
      <w:pPr>
        <w:pStyle w:val="Heading2"/>
      </w:pPr>
      <w:r>
        <w:t xml:space="preserve">3. Качество и аккредитация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окно тонкое второй цикл подряд, но не полностью пустое.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CARE Hospitals, HITEC City (Хайдарабад, Индия) — JCI-аккредитация, объявлено 13.10.2026</w:t>
      </w:r>
      <w:r>
        <w:t xml:space="preserve"> </w:t>
      </w:r>
      <w:r>
        <w:t xml:space="preserve">(в пределах окна). Пройдена оценка по ~300 стандартам и 1300 критериям; измеримые результаты (динамика показателей, баллы) в открытых источниках не раскрыты — только факт прохождения. Это больница, не амбулаторная клиника, но процедура сопоставима.</w:t>
      </w:r>
      <w:r>
        <w:t xml:space="preserve"> </w:t>
      </w:r>
      <w:hyperlink r:id="rId29">
        <w:r>
          <w:rPr>
            <w:rStyle w:val="Hyperlink"/>
          </w:rPr>
          <w:t xml:space="preserve">The Hans India</w:t>
        </w:r>
      </w:hyperlink>
      <w:r>
        <w:t xml:space="preserve">;</w:t>
      </w:r>
      <w:r>
        <w:t xml:space="preserve"> </w:t>
      </w:r>
      <w:hyperlink r:id="rId30">
        <w:r>
          <w:rPr>
            <w:rStyle w:val="Hyperlink"/>
          </w:rPr>
          <w:t xml:space="preserve">Telangana Today, 13.10.2026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Казахстан — привязка категории аккредитации к допуску в госзакупки медуслуг.</w:t>
      </w:r>
      <w:r>
        <w:t xml:space="preserve"> </w:t>
      </w:r>
      <w:r>
        <w:t xml:space="preserve">По данным Минздрава РК, национальную аккредитацию на момент публикации имеют 752 медорганизации (57,9% от подлежащих оценке, рост с 557 в 2024 и 447 в 2023); план — охватить свыше 60% в 2026 году. Точная дата публикации материала не подтверждена, включено с оговоркой.</w:t>
      </w:r>
      <w:r>
        <w:t xml:space="preserve"> </w:t>
      </w:r>
      <w:hyperlink r:id="rId31">
        <w:r>
          <w:rPr>
            <w:rStyle w:val="Hyperlink"/>
          </w:rPr>
          <w:t xml:space="preserve">inbusiness.kz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ISQua Dublin 2026 (прошла 27–30.09.2026) — пост-конференционные итоги по-прежнему не индексированы.</w:t>
      </w:r>
      <w:r>
        <w:t xml:space="preserve"> </w:t>
      </w:r>
      <w:r>
        <w:t xml:space="preserve">Это уже третий отчёт подряд, где эта тема отмечается как ожидающая публикации.</w:t>
      </w:r>
    </w:p>
    <w:p>
      <w:pPr>
        <w:numPr>
          <w:ilvl w:val="0"/>
          <w:numId w:val="1003"/>
        </w:numPr>
        <w:pStyle w:val="Compact"/>
      </w:pPr>
      <w:r>
        <w:t xml:space="preserve">Справочно: диссертационное исследование (Саудовская Аравия, частная сеть из 4 клиник в Джидде, 2025 год, не в окне) обнаружило сильную отрицательную корреляцию между временем ожидания и удовлетворённостью пациента (r = −0,66) — не новость периода, но единственный найденный источник с конкретной цифрой по KPI именно частной клиники.</w:t>
      </w:r>
      <w:r>
        <w:t xml:space="preserve"> </w:t>
      </w:r>
      <w:hyperlink r:id="rId32">
        <w:r>
          <w:rPr>
            <w:rStyle w:val="Hyperlink"/>
          </w:rPr>
          <w:t xml:space="preserve">drepo.sdl.edu.sa</w:t>
        </w:r>
      </w:hyperlink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казахстанский кейс — прямой аргумент в пользу аккредитации хирургической клиники УК, если она работает или планирует работать с корпоративными/страховыми контрактами: аккредитация там перестаёт быть репутационным активом и становится условием допуска к контракту. Корреляция времени ожидания и удовлетворённости (даже на старых данных) подтверждает, что KPI по времени ожидания стоит отслеживать系ematически, а не только по жалобам.</w:t>
      </w:r>
    </w:p>
    <w:p>
      <w:r>
        <w:pict>
          <v:rect style="width:0;height:1.5pt" o:hralign="center" o:hrstd="t" o:hr="t"/>
        </w:pict>
      </w:r>
    </w:p>
    <w:bookmarkEnd w:id="33"/>
    <w:bookmarkStart w:id="36" w:name="финансовая-модель-и-бизнес-модели"/>
    <w:p>
      <w:pPr>
        <w:pStyle w:val="Heading2"/>
      </w:pPr>
      <w:r>
        <w:t xml:space="preserve">4. Финансовая модель и бизнес-модели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узкое окно, одна качественная находка.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VIO Med Spa (США) — франчайзинговое масштабирование сети клиник эстетической медицины.</w:t>
      </w:r>
      <w:r>
        <w:t xml:space="preserve"> </w:t>
      </w:r>
      <w:r>
        <w:t xml:space="preserve">По данным компании: с начала 2026 года подписано более 15 новых франшизных договоров (первое полугодие названо «сильнейшим стартом» с начала франчайзинговой программы), сеть расширилась до 20 штатов и ~64–65 точек плюс 200+ проданных территорий в разработке; 20.08.2026 подписан договор на вход в Ричмонд (Вирджиния), 13.07.2026 — на расширение в метро Атланты. Цифры по числу договоров и локаций расходятся между пресс-релизами (10 vs 15+, 64 vs 65) — это заявления компании, не независимо подтверждённые.</w:t>
      </w:r>
      <w:r>
        <w:t xml:space="preserve"> </w:t>
      </w:r>
      <w:hyperlink r:id="rId34">
        <w:r>
          <w:rPr>
            <w:rStyle w:val="Hyperlink"/>
          </w:rPr>
          <w:t xml:space="preserve">MedEstheticsMag</w:t>
        </w:r>
      </w:hyperlink>
      <w:r>
        <w:t xml:space="preserve">;</w:t>
      </w:r>
      <w:r>
        <w:t xml:space="preserve"> </w:t>
      </w:r>
      <w:hyperlink r:id="rId35">
        <w:r>
          <w:rPr>
            <w:rStyle w:val="Hyperlink"/>
          </w:rPr>
          <w:t xml:space="preserve">Franchising.com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CMS Ambulatory Specialty Model (справочно, США):</w:t>
      </w:r>
      <w:r>
        <w:t xml:space="preserve"> </w:t>
      </w:r>
      <w:r>
        <w:t xml:space="preserve">с 01.01.2027 вводится обязательная 5-летняя модель value-based оплаты для специализированной амбулаторной помощи (сердечная недостаточность, боль в пояснице) — сигнал о дальнейшем расширении value-based care на специализированную, а не только первичную, помощь. [ACC.org / Baker Tilly, Physician Fee Schedule 2026]</w:t>
      </w:r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франшизная модель VIO Med Spa показывает, что стандартизированный «лёгкий» формат клиники масштабируется через франчайзинг быстрее, чем через M&amp;A или органическое открытие филиалов — это релевантный референс для оценки франшизного пути для профиля сна/нейро-лонгевити, если УК рассматривает такой вектор роста, но требует отдельной проверки unit-экономики, поскольку заявленные компанией цифры не подтверждены независимо.</w:t>
      </w:r>
    </w:p>
    <w:p>
      <w:r>
        <w:pict>
          <v:rect style="width:0;height:1.5pt" o:hralign="center" o:hrstd="t" o:hr="t"/>
        </w:pict>
      </w:r>
    </w:p>
    <w:bookmarkEnd w:id="36"/>
    <w:bookmarkStart w:id="39" w:name="hr-и-управление-персоналом"/>
    <w:p>
      <w:pPr>
        <w:pStyle w:val="Heading2"/>
      </w:pPr>
      <w:r>
        <w:t xml:space="preserve">5. HR и управление персоналом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окно скудное на точно датированные материалы, но направление сигнала чёткое.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McKinsey HR Monitor 2026</w:t>
      </w:r>
      <w:r>
        <w:t xml:space="preserve"> </w:t>
      </w:r>
      <w:r>
        <w:t xml:space="preserve">(опрос ~1300 HR-специалистов и ~5500 сотрудников в США, Европе и Китае, через Becker’s Hospital Review): оплата труда обогнала гарантии занятости как главный фактор удержания персонала — компенсацию как ключевой драйвер назвали более половины респондентов, далее work-life balance (46%), гарантии занятости (45%), гибкость графика (33%). Точная дата публикации не подтверждена.</w:t>
      </w:r>
      <w:r>
        <w:t xml:space="preserve"> </w:t>
      </w:r>
      <w:hyperlink r:id="rId37">
        <w:r>
          <w:rPr>
            <w:rStyle w:val="Hyperlink"/>
          </w:rPr>
          <w:t xml:space="preserve">Becker’s Hospital Review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Becker’s Hospital Review:</w:t>
      </w:r>
      <w:r>
        <w:t xml:space="preserve"> </w:t>
      </w:r>
      <w:r>
        <w:t xml:space="preserve">55% работников здравоохранения заявляют, что рассматривают смену работы в течение года.</w:t>
      </w:r>
      <w:r>
        <w:t xml:space="preserve"> </w:t>
      </w:r>
      <w:hyperlink r:id="rId38">
        <w:r>
          <w:rPr>
            <w:rStyle w:val="Hyperlink"/>
          </w:rPr>
          <w:t xml:space="preserve">«10 healthcare workforce challenges defining 2026»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Россия — регуляторное наставничество.</w:t>
      </w:r>
      <w:r>
        <w:t xml:space="preserve"> </w:t>
      </w:r>
      <w:r>
        <w:t xml:space="preserve">Приказ Минздрава РФ № 167н от 05.03.2026 закрепляет Положение о наставничестве для врачей, впервые прошедших первичную аккредитацию; итоговый доклад о результатах должен быть представлен в правительство РФ до 01.11.2026 — содержательные количественные данные по эффективности программы ожидаются в следующем отчётном цикле.</w:t>
      </w:r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для всех трёх клиник УК — пересмотреть систему удержания персонала в пользу прозрачной и конкурентной оплаты и управляемой нагрузки как рациональных рычагов, не ограничиваясь только нематериальной мотивацией (признание, вовлечённость). Стоит запланировать проверку итогового доклада Минздрава РФ по наставничеству в отчёте от 06.11.2026.</w:t>
      </w:r>
    </w:p>
    <w:p>
      <w:r>
        <w:pict>
          <v:rect style="width:0;height:1.5pt" o:hralign="center" o:hrstd="t" o:hr="t"/>
        </w:pict>
      </w:r>
    </w:p>
    <w:bookmarkEnd w:id="39"/>
    <w:bookmarkStart w:id="41" w:name="пациентский-опыт-и-маркетинг"/>
    <w:p>
      <w:pPr>
        <w:pStyle w:val="Heading2"/>
      </w:pPr>
      <w:r>
        <w:t xml:space="preserve">6. Пациентский опыт и маркетинг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окно практически пустое — целевой поиск не дал материалов с чётко подтверждённой датой публикации внутри 09.10–23.10.2026 и надёжным первоисточником.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McKinsey, «Healing consumer confidence through AI-powered, human-centered healthcare»</w:t>
      </w:r>
      <w:r>
        <w:t xml:space="preserve"> </w:t>
      </w:r>
      <w:r>
        <w:t xml:space="preserve">(на основе 2025 McKinsey Consumer Health Insights Survey, точная дата публикации статьи не подтверждена): около трети потребителей считают, что здравоохранение не оправдывает их ожиданий, половина — что отрасль не отвечает потребностям общества; доверие описывается как «надломленный» актив.</w:t>
      </w:r>
      <w:r>
        <w:t xml:space="preserve"> </w:t>
      </w:r>
      <w:hyperlink r:id="rId40">
        <w:r>
          <w:rPr>
            <w:rStyle w:val="Hyperlink"/>
          </w:rPr>
          <w:t xml:space="preserve">McKinsey</w:t>
        </w:r>
      </w:hyperlink>
    </w:p>
    <w:p>
      <w:pPr>
        <w:numPr>
          <w:ilvl w:val="0"/>
          <w:numId w:val="1006"/>
        </w:numPr>
        <w:pStyle w:val="Compact"/>
      </w:pPr>
      <w:r>
        <w:t xml:space="preserve">Вендорские кейсы по управлению отзывами (рост рейтинга отдельных клиник в Google после внедрения платформ запроса отзывов) найдены, но это самозаявленные маркетинговые цифры без независимой проверки — не включены как самостоятельные находки.</w:t>
      </w:r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тема «эрозия доверия к здравоохранению» (McKinsey) логически продолжает концепцию «неопределённой середины» Accenture из отчёта от 09.10.2026 — персонализация и проактивная коммуникация остаются основным рычагом против этой эрозии, а не разовые промо-акции или программы лояльности. Отдельного нового количественного ориентира за это окно не появилось.</w:t>
      </w:r>
    </w:p>
    <w:p>
      <w:r>
        <w:pict>
          <v:rect style="width:0;height:1.5pt" o:hralign="center" o:hrstd="t" o:hr="t"/>
        </w:pict>
      </w:r>
    </w:p>
    <w:bookmarkEnd w:id="41"/>
    <w:bookmarkStart w:id="44" w:name="управление-сетьюгруппой-клиник"/>
    <w:p>
      <w:pPr>
        <w:pStyle w:val="Heading2"/>
      </w:pPr>
      <w:r>
        <w:t xml:space="preserve">7. Управление сетью/группой клиник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одна содержательная находка, частично закрывающая многолетний пробел по теме бэк-офисной стандартизации.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ModMed / U.S. Orthopaedic Partners (США) — консолидация 9 легаси-систем в единую платформу на 55+ локациях.</w:t>
      </w:r>
      <w:r>
        <w:t xml:space="preserve"> </w:t>
      </w:r>
      <w:r>
        <w:t xml:space="preserve">USOP (10 ортопедических практик, 140+ врачей, 1600+ сотрудников в Алабаме, Луизиане и Миссисипи) перевёл все локации на единую EHR/PM/revenue-cycle платформу ModMed. По данным вендора: ~30 000 сэкономленных человеко-часов персонала, сбор выручки сокращён до «менее 30 дней». Опубликовано 04.06.2026 — вне двухнедельного окна, но ранее не использовано в серии отчётов.</w:t>
      </w:r>
      <w:r>
        <w:t xml:space="preserve"> </w:t>
      </w:r>
      <w:hyperlink r:id="rId42">
        <w:r>
          <w:rPr>
            <w:rStyle w:val="Hyperlink"/>
          </w:rPr>
          <w:t xml:space="preserve">ModMed / Business Wire</w:t>
        </w:r>
      </w:hyperlink>
      <w:r>
        <w:t xml:space="preserve"> </w:t>
      </w:r>
      <w:r>
        <w:rPr>
          <w:iCs/>
          <w:i/>
        </w:rPr>
        <w:t xml:space="preserve">Оговорка:</w:t>
      </w:r>
      <w:r>
        <w:t xml:space="preserve"> </w:t>
      </w:r>
      <w:r>
        <w:t xml:space="preserve">USOP — монопрофильная (ортопедия) сеть практик, а не мультипрофильная УК с разными видами клиник, и показатели — вендорские, не аудированные независимо. Это первый за пять циклов поиска кейс с измеримыми цифрами именно по технологической/бэк-офисной стандартизации на сопоставимом масштабе, но прямого аналога структуре заказчика (хирургия + женское здоровье + сон/лонгевити под одной УК) до сих пор не найдено.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«Мать и дитя» (ГК «МД Медикал», Россия) — вертикально интегрированная модель с маршрутизацией пациентов между форматами.</w:t>
      </w:r>
      <w:r>
        <w:t xml:space="preserve"> </w:t>
      </w:r>
      <w:r>
        <w:t xml:space="preserve">По данным компании, выручка за I квартал 2026 года выросла на 32% (до 11,83 млрд руб.), рост частично обусловлен консолидацией ГК «Эксперт» (с мая 2025); 20.03.2026 открыта новая клиника в Куркино. Компания описывает модель как построенную на едином медицинском университете и маршрутизации пациентов между роддомом/стационаром/амбулаторией внутри группы. Это презентационные/финансовые материалы компании, не независимый анализ — указывается как «по данным компании».</w:t>
      </w:r>
      <w:r>
        <w:t xml:space="preserve"> </w:t>
      </w:r>
      <w:hyperlink r:id="rId43">
        <w:r>
          <w:rPr>
            <w:rStyle w:val="Hyperlink"/>
          </w:rPr>
          <w:t xml:space="preserve">investmint.ru</w:t>
        </w:r>
      </w:hyperlink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даже частичный перенос модели ModMed/USOP полезен — единая платформа записи/биллинга/отчётности логически может заменить лоскутную автоматизацию по трём клиникам УК раньше, чем будет унифицирован клинический контур; административный слой можно стандартизировать независимо от разнопрофильности клиник. Пробел по прямому мультипрофильному кейсу остаётся открытым — рекомендация (пятый цикл подряд) сменить тактику на точечные интервью/кейсы конкретных операторов вместо поискового мониторинга.</w:t>
      </w:r>
    </w:p>
    <w:p>
      <w:r>
        <w:pict>
          <v:rect style="width:0;height:1.5pt" o:hralign="center" o:hrstd="t" o:hr="t"/>
        </w:pict>
      </w:r>
    </w:p>
    <w:bookmarkEnd w:id="44"/>
    <w:bookmarkStart w:id="47" w:name="глобальные-бенчмарки-и-кейсы"/>
    <w:p>
      <w:pPr>
        <w:pStyle w:val="Heading2"/>
      </w:pPr>
      <w:r>
        <w:t xml:space="preserve">8. Глобальные бенчмарки и кейсы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окно практически пустое второй цикл подряд. Целевой поиск по Mayo Clinic, Cleveland Clinic, Kaiser Permanente, азиатским медтуристическим хабам и крупным частным сетям Ближнего Востока/Европы не дал ни одного нового датированного кейса с измеримым управленческим (а не только финансовым) результатом.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Kaiser Permanente «Inside the Model»</w:t>
      </w:r>
      <w:r>
        <w:t xml:space="preserve"> </w:t>
      </w:r>
      <w:r>
        <w:t xml:space="preserve">— образовательная программа для госадминистраторов и врачей-лидеров прошла 4–7.10.2026 в районе Залива Сан-Франциско ($4200–5000 за участие), но итоги/выводы участников пока не опубликованы.</w:t>
      </w:r>
      <w:r>
        <w:t xml:space="preserve"> </w:t>
      </w:r>
      <w:hyperlink r:id="rId45">
        <w:r>
          <w:rPr>
            <w:rStyle w:val="Hyperlink"/>
          </w:rPr>
          <w:t xml:space="preserve">Kaiser Permanente International</w:t>
        </w:r>
      </w:hyperlink>
    </w:p>
    <w:p>
      <w:pPr>
        <w:numPr>
          <w:ilvl w:val="0"/>
          <w:numId w:val="1008"/>
        </w:numPr>
        <w:pStyle w:val="Compact"/>
      </w:pPr>
      <w:r>
        <w:t xml:space="preserve">Финансовые результаты крупных сетей за период (Bumrungrad Q1 2026: выручка +0,7%, чистая прибыль +3,2%; Aster DM Healthcare Q1 FY27: выручка +10,85% кв/кв при падении чистой прибыли на 80,93% кв/кв) не сопровождались описанием конкретной управленческой практики — это финансовые, а не управленческие кейсы, не включены как самостоятельные находки.</w:t>
      </w:r>
    </w:p>
    <w:p>
      <w:pPr>
        <w:numPr>
          <w:ilvl w:val="0"/>
          <w:numId w:val="1008"/>
        </w:numPr>
        <w:pStyle w:val="Compact"/>
      </w:pPr>
      <w:r>
        <w:t xml:space="preserve">Deloitte 2026 Global Health Care Outlook описывает общий макротренд переноса помощи в недорогие форматы (neighborhood clinics, амбулаторная помощь, удалённый мониторинг), но без кейса конкретной организации.</w:t>
      </w:r>
      <w:r>
        <w:t xml:space="preserve"> </w:t>
      </w:r>
      <w:hyperlink r:id="rId46">
        <w:r>
          <w:rPr>
            <w:rStyle w:val="Hyperlink"/>
          </w:rPr>
          <w:t xml:space="preserve">Deloitte</w:t>
        </w:r>
      </w:hyperlink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в отсутствие новых данных актуальными остаются выводы предыдущих отчётов (модель сетевой аккредитации Magrabi Health, интеграционные показатели PureHealth/Hellenic Healthcare Group). Рекомендуется проверить итоги программы Kaiser Permanente «Inside the Model» в одном из следующих циклов и — как и для разделов 1 и 3 — перейти от общих тематических запросов к точечному мониторингу конкретных сетей.</w:t>
      </w:r>
    </w:p>
    <w:p>
      <w:r>
        <w:pict>
          <v:rect style="width:0;height:1.5pt" o:hralign="center" o:hrstd="t" o:hr="t"/>
        </w:pict>
      </w:r>
    </w:p>
    <w:bookmarkEnd w:id="47"/>
    <w:bookmarkStart w:id="59" w:name="обзор-клиники-clinique-la-prairie"/>
    <w:p>
      <w:pPr>
        <w:pStyle w:val="Heading2"/>
      </w:pPr>
      <w:r>
        <w:t xml:space="preserve">Обзор клиники: Clinique La Prairie</w:t>
      </w:r>
    </w:p>
    <w:p>
      <w:pPr>
        <w:pStyle w:val="FirstParagraph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Clinique La Prairie, Монтрё, Швейцария (флагман; основана в 1931 году). С 2024 года развивает сеть городских «Longevity Hub» — подтверждены локации в Мадриде, Бангкоке, Дохе, Тайбэе и Дубае; в ноябре 2024 открыт курорт в Anji (Китай) — первый международный Health Resort за пределами Швейцарии; по данным профиля компании, в феврале 2026 открыта городская велнес-локация BluSonil в Скоттсдейле (Аризона, США). Профиль: премиальная медицина долголетия и антиэйдж (клеточная терапия, детокс, сон, нутрициология) — близкий по духу профилю проекта сна/нейро-лонгевити УК заказчика.</w:t>
      </w:r>
    </w:p>
    <w:p>
      <w:pPr>
        <w:pStyle w:val="BodyText"/>
      </w:pPr>
      <w:r>
        <w:rPr>
          <w:bCs/>
          <w:b/>
        </w:rPr>
        <w:t xml:space="preserve">Чем примечательна:</w:t>
      </w:r>
      <w:r>
        <w:t xml:space="preserve"> </w:t>
      </w:r>
      <w:r>
        <w:t xml:space="preserve">клиника прошла через управленческий кризис (2013 год, массовая смена персонала; новый CEO Симоне Джиберони с 2016 года) и перестроила бизнес-модель не вокруг роста выручки, а вокруг отделения капитала, запертого в недвижимости, от операционного медицинского бизнеса — редкий для частной медицины управленческий ход, задокументированный независимо.</w:t>
      </w:r>
    </w:p>
    <w:bookmarkStart w:id="58" w:name="разбор-по-углам"/>
    <w:p>
      <w:pPr>
        <w:pStyle w:val="Heading3"/>
      </w:pPr>
      <w:r>
        <w:t xml:space="preserve">Разбор по углам</w:t>
      </w:r>
    </w:p>
    <w:p>
      <w:pPr>
        <w:pStyle w:val="FirstParagraph"/>
      </w:pPr>
      <w:r>
        <w:rPr>
          <w:bCs/>
          <w:b/>
        </w:rPr>
        <w:t xml:space="preserve">1. Процессное/бизнес-модельное новшество (подтверждено независимыми источниками).</w:t>
      </w:r>
      <w:r>
        <w:t xml:space="preserve"> </w:t>
      </w:r>
      <w:r>
        <w:t xml:space="preserve">28.02.2024 компания Beiersdorf подписала соглашение о покупке объектов недвижимости флагмана в Монтрё (7 корпусов, включая виллу «La Résidence», свыше 23 000 м²) по схеме sale-and-leaseback; сама медицинская клиника как операционный бизнес в сделку не вошла и продолжает работать на этой территории как арендатор.</w:t>
      </w:r>
      <w:r>
        <w:t xml:space="preserve"> </w:t>
      </w:r>
      <w:hyperlink r:id="rId48">
        <w:r>
          <w:rPr>
            <w:rStyle w:val="Hyperlink"/>
          </w:rPr>
          <w:t xml:space="preserve">Lenz &amp; Staehelin</w:t>
        </w:r>
      </w:hyperlink>
      <w:r>
        <w:t xml:space="preserve">;</w:t>
      </w:r>
      <w:r>
        <w:t xml:space="preserve"> </w:t>
      </w:r>
      <w:hyperlink r:id="rId49">
        <w:r>
          <w:rPr>
            <w:rStyle w:val="Hyperlink"/>
          </w:rPr>
          <w:t xml:space="preserve">Happi.com, 28.02.2024</w:t>
        </w:r>
      </w:hyperlink>
      <w:r>
        <w:t xml:space="preserve">;</w:t>
      </w:r>
      <w:r>
        <w:t xml:space="preserve"> </w:t>
      </w:r>
      <w:hyperlink r:id="rId50">
        <w:r>
          <w:rPr>
            <w:rStyle w:val="Hyperlink"/>
          </w:rPr>
          <w:t xml:space="preserve">Kellerhals Carrard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Интерпретация (не факт источника):</w:t>
      </w:r>
      <w:r>
        <w:t xml:space="preserve"> </w:t>
      </w:r>
      <w:r>
        <w:t xml:space="preserve">это классическая конструкция owner/operator — капитал, зафиксированный в стенах, высвобождён для реинвестирования в развитие бренда и новых локаций, а операционный медицинский бизнес остаётся у профильной команды.</w:t>
      </w:r>
    </w:p>
    <w:p>
      <w:pPr>
        <w:pStyle w:val="BodyText"/>
      </w:pPr>
      <w:r>
        <w:rPr>
          <w:bCs/>
          <w:b/>
        </w:rPr>
        <w:t xml:space="preserve">2. Масштабирование через модель «флагман + лёгкие городские хабы» (подтверждено независимыми источниками).</w:t>
      </w:r>
      <w:r>
        <w:t xml:space="preserve"> </w:t>
      </w:r>
      <w:r>
        <w:t xml:space="preserve">По словам CEO в интервью отраслевому изданию (январь 2024), на тот момент помимо флагмана в Монтрё работало 5 городских Longevity Hub; заявленная цель компании на 2040 год — 10 курортов и 40 городских хабов.</w:t>
      </w:r>
      <w:r>
        <w:t xml:space="preserve"> </w:t>
      </w:r>
      <w:hyperlink r:id="rId51">
        <w:r>
          <w:rPr>
            <w:rStyle w:val="Hyperlink"/>
          </w:rPr>
          <w:t xml:space="preserve">Spa Business, 01.2024</w:t>
        </w:r>
      </w:hyperlink>
      <w:r>
        <w:t xml:space="preserve">; открытие курорта в Anji подтверждено в</w:t>
      </w:r>
      <w:r>
        <w:t xml:space="preserve"> </w:t>
      </w:r>
      <w:hyperlink r:id="rId52">
        <w:r>
          <w:rPr>
            <w:rStyle w:val="Hyperlink"/>
          </w:rPr>
          <w:t xml:space="preserve">Spa Business, 11.2024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3. Уникальный PJM (частично подтверждено, часть — по данным клиники).</w:t>
      </w:r>
      <w:r>
        <w:t xml:space="preserve"> </w:t>
      </w:r>
      <w:r>
        <w:t xml:space="preserve">Флагманская программа «Revitalisation» (6 ночей) проводится эксклюзивно в Монтрё; городские хабы используются для поддерживающих визитов между основными заездами — по словам CEO, чтобы международный клиент «продолжал путь ближе к дому».</w:t>
      </w:r>
      <w:r>
        <w:t xml:space="preserve"> </w:t>
      </w:r>
      <w:hyperlink r:id="rId53">
        <w:r>
          <w:rPr>
            <w:rStyle w:val="Hyperlink"/>
          </w:rPr>
          <w:t xml:space="preserve">CSQ, 05.2020</w:t>
        </w:r>
      </w:hyperlink>
      <w:r>
        <w:t xml:space="preserve">. Цены на флагманскую программу известны только через стороннего реселлера (≈£24 559 за «Revitalisation» и ≈£45 949 за премиум-версию по данным Healing Holidays) — это цены посредника, не официальный прайс клиники.</w:t>
      </w:r>
      <w:r>
        <w:t xml:space="preserve"> </w:t>
      </w:r>
      <w:r>
        <w:rPr>
          <w:bCs/>
          <w:b/>
        </w:rPr>
        <w:t xml:space="preserve">По данным клиники</w:t>
      </w:r>
      <w:r>
        <w:t xml:space="preserve"> </w:t>
      </w:r>
      <w:r>
        <w:t xml:space="preserve">(самоотчёт CEO, не подтверждено независимым аудитом): NPS 91% и доля повторных визитов свыше 65%.</w:t>
      </w:r>
    </w:p>
    <w:p>
      <w:pPr>
        <w:pStyle w:val="BodyText"/>
      </w:pPr>
      <w:r>
        <w:rPr>
          <w:bCs/>
          <w:b/>
        </w:rPr>
        <w:t xml:space="preserve">Что можно перенять:</w:t>
      </w:r>
      <w:r>
        <w:t xml:space="preserve"> </w:t>
      </w:r>
      <w:r>
        <w:t xml:space="preserve">- Принцип разделения владения недвижимостью и операционной медицины: для небольшой частной клиники это может означать предпочтение аренды премиальной локации покупке — высвобождённый капитал идёт в оборудование, персонал и маркетинг, а не замораживается в стенах. Ограничение: сделка Beiersdorf стала возможна благодаря 90-летнему люксовому бренду и доступу к крупному стратегическому покупателю — малой клинике недоступны такие условия, перенимать стоит принцип, а не механику сделки.</w:t>
      </w:r>
      <w:r>
        <w:t xml:space="preserve"> </w:t>
      </w:r>
      <w:r>
        <w:t xml:space="preserve">- Модель «интенсивный флагман + лёгкие точки поддержки» прямо переносима на проект премиального сна/нейро-лонгевити заказчика: вместо строительства второй полноценной клиники можно открыть компактный хаб для follow-up визитов в другом городе/районе, сохранив основной интенсивный протокол в одном месте.</w:t>
      </w:r>
      <w:r>
        <w:t xml:space="preserve"> </w:t>
      </w:r>
      <w:r>
        <w:t xml:space="preserve">- NPS и retention-показатели клиники нельзя использовать как отраслевой benchmark — это несверенное самозаявление компании.</w:t>
      </w:r>
    </w:p>
    <w:p>
      <w:pPr>
        <w:pStyle w:val="BodyText"/>
      </w:pPr>
      <w:r>
        <w:rPr>
          <w:bCs/>
          <w:b/>
        </w:rPr>
        <w:t xml:space="preserve">Источники:</w:t>
      </w:r>
      <w:r>
        <w:t xml:space="preserve"> </w:t>
      </w:r>
      <w:hyperlink r:id="rId54">
        <w:r>
          <w:rPr>
            <w:rStyle w:val="Hyperlink"/>
          </w:rPr>
          <w:t xml:space="preserve">BeautyMatter, 2017</w:t>
        </w:r>
      </w:hyperlink>
      <w:r>
        <w:t xml:space="preserve">;</w:t>
      </w:r>
      <w:r>
        <w:t xml:space="preserve"> </w:t>
      </w:r>
      <w:hyperlink r:id="rId55">
        <w:r>
          <w:rPr>
            <w:rStyle w:val="Hyperlink"/>
          </w:rPr>
          <w:t xml:space="preserve">Attractions Management</w:t>
        </w:r>
      </w:hyperlink>
      <w:r>
        <w:t xml:space="preserve">;</w:t>
      </w:r>
      <w:r>
        <w:t xml:space="preserve"> </w:t>
      </w:r>
      <w:hyperlink r:id="rId56">
        <w:r>
          <w:rPr>
            <w:rStyle w:val="Hyperlink"/>
          </w:rPr>
          <w:t xml:space="preserve">Biopôle</w:t>
        </w:r>
      </w:hyperlink>
      <w:r>
        <w:t xml:space="preserve">;</w:t>
      </w:r>
      <w:r>
        <w:t xml:space="preserve"> </w:t>
      </w:r>
      <w:hyperlink r:id="rId48">
        <w:r>
          <w:rPr>
            <w:rStyle w:val="Hyperlink"/>
          </w:rPr>
          <w:t xml:space="preserve">Lenz &amp; Staehelin</w:t>
        </w:r>
      </w:hyperlink>
      <w:r>
        <w:t xml:space="preserve">;</w:t>
      </w:r>
      <w:r>
        <w:t xml:space="preserve"> </w:t>
      </w:r>
      <w:hyperlink r:id="rId49">
        <w:r>
          <w:rPr>
            <w:rStyle w:val="Hyperlink"/>
          </w:rPr>
          <w:t xml:space="preserve">Happi.com, 28.02.2024</w:t>
        </w:r>
      </w:hyperlink>
      <w:r>
        <w:t xml:space="preserve">;</w:t>
      </w:r>
      <w:r>
        <w:t xml:space="preserve"> </w:t>
      </w:r>
      <w:hyperlink r:id="rId50">
        <w:r>
          <w:rPr>
            <w:rStyle w:val="Hyperlink"/>
          </w:rPr>
          <w:t xml:space="preserve">Kellerhals Carrard</w:t>
        </w:r>
      </w:hyperlink>
      <w:r>
        <w:t xml:space="preserve">;</w:t>
      </w:r>
      <w:r>
        <w:t xml:space="preserve"> </w:t>
      </w:r>
      <w:hyperlink r:id="rId51">
        <w:r>
          <w:rPr>
            <w:rStyle w:val="Hyperlink"/>
          </w:rPr>
          <w:t xml:space="preserve">Spa Business, 01.2024</w:t>
        </w:r>
      </w:hyperlink>
      <w:r>
        <w:t xml:space="preserve">;</w:t>
      </w:r>
      <w:r>
        <w:t xml:space="preserve"> </w:t>
      </w:r>
      <w:hyperlink r:id="rId52">
        <w:r>
          <w:rPr>
            <w:rStyle w:val="Hyperlink"/>
          </w:rPr>
          <w:t xml:space="preserve">Spa Business, 11.2024</w:t>
        </w:r>
      </w:hyperlink>
      <w:r>
        <w:t xml:space="preserve">;</w:t>
      </w:r>
      <w:r>
        <w:t xml:space="preserve"> </w:t>
      </w:r>
      <w:hyperlink r:id="rId53">
        <w:r>
          <w:rPr>
            <w:rStyle w:val="Hyperlink"/>
          </w:rPr>
          <w:t xml:space="preserve">CSQ, 05.2020</w:t>
        </w:r>
      </w:hyperlink>
      <w:r>
        <w:t xml:space="preserve">;</w:t>
      </w:r>
      <w:r>
        <w:t xml:space="preserve"> </w:t>
      </w:r>
      <w:hyperlink r:id="rId57">
        <w:r>
          <w:rPr>
            <w:rStyle w:val="Hyperlink"/>
          </w:rPr>
          <w:t xml:space="preserve">Healing Holidays</w:t>
        </w:r>
      </w:hyperlink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рекомендации-к-применению"/>
    <w:p>
      <w:pPr>
        <w:pStyle w:val="Heading2"/>
      </w:pPr>
      <w:r>
        <w:t xml:space="preserve">Рекомендации к применению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Перед внедрением «агентного ИИ» в административные процессы выбрать один узкий, измеримый пилот</w:t>
      </w:r>
      <w:r>
        <w:t xml:space="preserve"> </w:t>
      </w:r>
      <w:r>
        <w:t xml:space="preserve">на клинику (напоминания/отмены в хирургии, претензионная аналитика в биллинге) с базовой метрикой и ROI-целью, по аналогии с кейсом Baylor Scott &amp; White, а не закупать универсальную платформу (раздел 2).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Пересмотреть блоковое расписание операционной в хирургической клинике</w:t>
      </w:r>
      <w:r>
        <w:t xml:space="preserve"> </w:t>
      </w:r>
      <w:r>
        <w:t xml:space="preserve">с учётом фактической длительности разных типов вмешательств, а не равных слотов (раздел 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 записи клиники женского здоровья/лактации приоритизировать continuity</w:t>
      </w:r>
      <w:r>
        <w:t xml:space="preserve"> </w:t>
      </w:r>
      <w:r>
        <w:t xml:space="preserve">(«свой» специалист) как инструмент снижения оттока, отдельно от метрики скорости записи (раздел 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Оценить аккредитацию хирургической клиники как инструмент допуска к корпоративным/страховым контрактам</w:t>
      </w:r>
      <w:r>
        <w:t xml:space="preserve">, а не только как репутационный актив — по аналогии с казахстанской практикой привязки категории аккредитации к госзакупкам (раздел 3).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Пересмотреть систему удержания персонала в пользу прозрачной и конкурентной оплаты и управляемой нагрузки</w:t>
      </w:r>
      <w:r>
        <w:t xml:space="preserve"> </w:t>
      </w:r>
      <w:r>
        <w:t xml:space="preserve">как рациональных, а не только мотивационных рычагов (раздел 5).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Оценить франчайзинговую модель как потенциальный путь масштабирования проекта сна/нейро-лонгевити</w:t>
      </w:r>
      <w:r>
        <w:t xml:space="preserve">, если органический рост или M&amp;A избыточно капиталоёмки — с обязательной отдельной проверкой unit-экономики, так как опубликованные вендорами цифры (VIO Med Spa) не аудированы независимо (раздел 4).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Рассмотреть разделение владения недвижимостью и операционного медицинского бизнеса</w:t>
      </w:r>
      <w:r>
        <w:t xml:space="preserve"> </w:t>
      </w:r>
      <w:r>
        <w:t xml:space="preserve">при любом новом открытии или релокации клиники — предпочесть аренду премиальной локации покупке, высвобождая капитал под оборудование и персонал (рубрика «Обзор клиники»).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Для проекта сна/нейро-лонгевити рассмотреть модель «интенсивный флагман + лёгкий городской хаб»</w:t>
      </w:r>
      <w:r>
        <w:t xml:space="preserve"> </w:t>
      </w:r>
      <w:r>
        <w:t xml:space="preserve">для поддерживающих визитов вместо строительства второй полноценной клиники (рубрика «Обзор клиники»).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Начать унификацию административного слоя (запись, биллинг, отчётность) между тремя клиниками УК независимо от разнопрофильности</w:t>
      </w:r>
      <w:r>
        <w:t xml:space="preserve">, не дожидаясь прямого мультипрофильного кейса-аналога — принцип ModMed/USOP о раздельной технологической и клинической стандартизации переносим уже сейчас (раздел 7).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Запланировать проверку итогового доклада Минздрава РФ по наставничеству (ожидается к 01.11.2026) и итогов программы Kaiser Permanente «Inside the Model»</w:t>
      </w:r>
      <w:r>
        <w:t xml:space="preserve"> </w:t>
      </w:r>
      <w:r>
        <w:t xml:space="preserve">в следующем отчётном цикле — оба материала на момент подготовки этого отчёта не опубликованы (разделы 5, 8).</w:t>
      </w:r>
    </w:p>
    <w:p>
      <w:r>
        <w:pict>
          <v:rect style="width:0;height:1.5pt" o:hralign="center" o:hrstd="t" o:hr="t"/>
        </w:pict>
      </w:r>
    </w:p>
    <w:bookmarkEnd w:id="60"/>
    <w:bookmarkStart w:id="61" w:name="список-источников"/>
    <w:p>
      <w:pPr>
        <w:pStyle w:val="Heading2"/>
      </w:pPr>
      <w:r>
        <w:t xml:space="preserve">Список источников</w:t>
      </w:r>
    </w:p>
    <w:p>
      <w:pPr>
        <w:numPr>
          <w:ilvl w:val="0"/>
          <w:numId w:val="1010"/>
        </w:numPr>
        <w:pStyle w:val="Compact"/>
      </w:pPr>
      <w:r>
        <w:t xml:space="preserve">Becker’s Hospital Review — «Pay dethrones job security as workers’ top reason to stay (McKinsey)», https://www.beckershospitalreview.com/workforce/pay-dethrones-job-security-as-workers-top-reason-to-stay-mckinsey/</w:t>
      </w:r>
    </w:p>
    <w:p>
      <w:pPr>
        <w:numPr>
          <w:ilvl w:val="0"/>
          <w:numId w:val="1010"/>
        </w:numPr>
        <w:pStyle w:val="Compact"/>
      </w:pPr>
      <w:r>
        <w:t xml:space="preserve">Becker’s Hospital Review — «10 healthcare workforce challenges defining 2026», https://www.beckershospitalreview.com/academic-medical-center/10-healthcare-workforce-challenges-defining-2026/</w:t>
      </w:r>
    </w:p>
    <w:p>
      <w:pPr>
        <w:numPr>
          <w:ilvl w:val="0"/>
          <w:numId w:val="1010"/>
        </w:numPr>
        <w:pStyle w:val="Compact"/>
      </w:pPr>
      <w:r>
        <w:t xml:space="preserve">Becker’s Hospital Review — «85% of healthcare leaders plan to boost agentic AI investment: Deloitte», https://www.beckershospitalreview.com/healthcare-information-technology/ai/85-of-healthcare-leaders-plan-to-boost-agentic-ai-investment-deloitte/</w:t>
      </w:r>
    </w:p>
    <w:p>
      <w:pPr>
        <w:numPr>
          <w:ilvl w:val="0"/>
          <w:numId w:val="1010"/>
        </w:numPr>
        <w:pStyle w:val="Compact"/>
      </w:pPr>
      <w:r>
        <w:t xml:space="preserve">Chief Healthcare Executive, 20.02.2026 — «Most healthcare leaders invest in agentic AI, but gaps emerge», https://www.chiefhealthcareexecutive.com/view/most-healthcare-leaders-invest-in-agentic-ai-but-gaps-emerge</w:t>
      </w:r>
    </w:p>
    <w:p>
      <w:pPr>
        <w:numPr>
          <w:ilvl w:val="0"/>
          <w:numId w:val="1010"/>
        </w:numPr>
        <w:pStyle w:val="Compact"/>
      </w:pPr>
      <w:r>
        <w:t xml:space="preserve">Deloitte Insights — «2026 US Health Care Executive Outlook», https://www.deloitte.com/us/en/insights/industry/health-care/life-sciences-and-health-care-industry-outlooks/2026-us-health-care-executive-outlook.html</w:t>
      </w:r>
    </w:p>
    <w:p>
      <w:pPr>
        <w:numPr>
          <w:ilvl w:val="0"/>
          <w:numId w:val="1010"/>
        </w:numPr>
        <w:pStyle w:val="Compact"/>
      </w:pPr>
      <w:r>
        <w:t xml:space="preserve">Deloitte Insights — «2026 Global Health Care Outlook», https://www.deloitte.com/us/en/insights/industry/health-care/life-sciences-and-health-care-industry-outlooks/2026-global-health-care-outlook.html</w:t>
      </w:r>
    </w:p>
    <w:p>
      <w:pPr>
        <w:numPr>
          <w:ilvl w:val="0"/>
          <w:numId w:val="1010"/>
        </w:numPr>
        <w:pStyle w:val="Compact"/>
      </w:pPr>
      <w:r>
        <w:t xml:space="preserve">Healthcare Finance News — «How AI transformed the revenue cycle at Baylor Scott &amp; White Health», https://www.healthcarefinancenews.com/news/how-ai-transformed-revenue-cycle-baylor-scott-white-health</w:t>
      </w:r>
    </w:p>
    <w:p>
      <w:pPr>
        <w:numPr>
          <w:ilvl w:val="0"/>
          <w:numId w:val="1010"/>
        </w:numPr>
        <w:pStyle w:val="Compact"/>
      </w:pPr>
      <w:r>
        <w:t xml:space="preserve">The Hans India, 13.10.2026 — «CARE Hospitals HI-TEC City awarded prestigious JCI accreditation», https://www.thehansindia.com/life-style/health/care-hospitals-hi-tech-city-awarded-prestigious-jci-accreditation-1132256</w:t>
      </w:r>
    </w:p>
    <w:p>
      <w:pPr>
        <w:numPr>
          <w:ilvl w:val="0"/>
          <w:numId w:val="1010"/>
        </w:numPr>
        <w:pStyle w:val="Compact"/>
      </w:pPr>
      <w:r>
        <w:t xml:space="preserve">Telangana Today, 13.10.2026 — «CARE Hospitals HITEC City receives JCI accreditation», https://telanganatoday.com/care-hospitals-hitec-city-receives-jci-accreditation</w:t>
      </w:r>
    </w:p>
    <w:p>
      <w:pPr>
        <w:numPr>
          <w:ilvl w:val="0"/>
          <w:numId w:val="1010"/>
        </w:numPr>
        <w:pStyle w:val="Compact"/>
      </w:pPr>
      <w:r>
        <w:t xml:space="preserve">inbusiness.kz — «Большинство клиник Казахстана пройдут национальную аккредитацию», https://inbusiness.kz/index.php/ru/last/bolshinstvo-klinik-kazahstana-projdut-nacionalnuyu-akkreditaciyu</w:t>
      </w:r>
    </w:p>
    <w:p>
      <w:pPr>
        <w:numPr>
          <w:ilvl w:val="0"/>
          <w:numId w:val="1010"/>
        </w:numPr>
        <w:pStyle w:val="Compact"/>
      </w:pPr>
      <w:r>
        <w:t xml:space="preserve">drepo.sdl.edu.sa — диссертационное исследование KPI частной сети клиник в Джидде, https://drepo.sdl.edu.sa/items/aca44c19-15f5-4994-8787-306f05f41fc8</w:t>
      </w:r>
    </w:p>
    <w:p>
      <w:pPr>
        <w:numPr>
          <w:ilvl w:val="0"/>
          <w:numId w:val="1010"/>
        </w:numPr>
        <w:pStyle w:val="Compact"/>
      </w:pPr>
      <w:r>
        <w:t xml:space="preserve">ModMed / Business Wire, 04.06.2026 — пресс-релиз о внедрении платформы в U.S. Orthopaedic Partners, https://secure.businesswire.com/news/home/20260604829640/en/</w:t>
      </w:r>
    </w:p>
    <w:p>
      <w:pPr>
        <w:numPr>
          <w:ilvl w:val="0"/>
          <w:numId w:val="1010"/>
        </w:numPr>
        <w:pStyle w:val="Compact"/>
      </w:pPr>
      <w:r>
        <w:t xml:space="preserve">investmint.ru — новости «МД Медикал Груп» (Мать и дитя), https://investmint.ru/mdmg/news/</w:t>
      </w:r>
    </w:p>
    <w:p>
      <w:pPr>
        <w:numPr>
          <w:ilvl w:val="0"/>
          <w:numId w:val="1010"/>
        </w:numPr>
        <w:pStyle w:val="Compact"/>
      </w:pPr>
      <w:r>
        <w:t xml:space="preserve">mcclinics.ru — презентационные материалы группы клиник «Мать и дитя», https://www.mcclinics.ru/</w:t>
      </w:r>
    </w:p>
    <w:p>
      <w:pPr>
        <w:numPr>
          <w:ilvl w:val="0"/>
          <w:numId w:val="1010"/>
        </w:numPr>
        <w:pStyle w:val="Compact"/>
      </w:pPr>
      <w:r>
        <w:t xml:space="preserve">Kaiser Permanente International — программа «Inside the Kaiser Permanente Model», https://international.kaiserpermanente.org/program/inside-the-kaiser-permanente-model-value-based-care-in-practice/</w:t>
      </w:r>
    </w:p>
    <w:p>
      <w:pPr>
        <w:numPr>
          <w:ilvl w:val="0"/>
          <w:numId w:val="1010"/>
        </w:numPr>
        <w:pStyle w:val="Compact"/>
      </w:pPr>
      <w:r>
        <w:t xml:space="preserve">McKinsey &amp; Company — «Healing consumer confidence through AI-powered, human-centered healthcare», https://www.mckinsey.com</w:t>
      </w:r>
    </w:p>
    <w:p>
      <w:pPr>
        <w:numPr>
          <w:ilvl w:val="0"/>
          <w:numId w:val="1010"/>
        </w:numPr>
        <w:pStyle w:val="Compact"/>
      </w:pPr>
      <w:r>
        <w:t xml:space="preserve">MedEstheticsMag — новости франчайзинга VIO Med Spa, https://www.medestheticsmag.com</w:t>
      </w:r>
    </w:p>
    <w:p>
      <w:pPr>
        <w:numPr>
          <w:ilvl w:val="0"/>
          <w:numId w:val="1010"/>
        </w:numPr>
        <w:pStyle w:val="Compact"/>
      </w:pPr>
      <w:r>
        <w:t xml:space="preserve">Franchising.com — новости франчайзинга VIO Med Spa, https://www.franchising.com</w:t>
      </w:r>
    </w:p>
    <w:p>
      <w:pPr>
        <w:numPr>
          <w:ilvl w:val="0"/>
          <w:numId w:val="1010"/>
        </w:numPr>
        <w:pStyle w:val="Compact"/>
      </w:pPr>
      <w:r>
        <w:t xml:space="preserve">Becker’s Hospital Review — «How Cleveland Clinic reduced cancer patients’ wait times by more than 80%», https://www.beckershospitalreview.com/care-coordination/how-cleveland-clinic-reduced-cancer-patients-wait-times-by-more-than-80/</w:t>
      </w:r>
    </w:p>
    <w:p>
      <w:pPr>
        <w:numPr>
          <w:ilvl w:val="0"/>
          <w:numId w:val="1010"/>
        </w:numPr>
        <w:pStyle w:val="Compact"/>
      </w:pPr>
      <w:r>
        <w:t xml:space="preserve">Becker’s Hospital Review — «NYC Health+Hospitals reduced wait times, improved care continuity in pilot program», https://www.beckershospitalreview.com/quality/hospital-physician-relationships/nyc-health-hospitals-reduced-wait-times-improved-care-continuity-in-pilot-program/</w:t>
      </w:r>
    </w:p>
    <w:p>
      <w:pPr>
        <w:numPr>
          <w:ilvl w:val="0"/>
          <w:numId w:val="1010"/>
        </w:numPr>
        <w:pStyle w:val="Compact"/>
      </w:pPr>
      <w:r>
        <w:t xml:space="preserve">BeautyMatter, 2017 — «Revitalizing Clinique La Prairie», https://www.beautymatter.com/articles/revitalizing-clinique-la-prairie</w:t>
      </w:r>
    </w:p>
    <w:p>
      <w:pPr>
        <w:numPr>
          <w:ilvl w:val="0"/>
          <w:numId w:val="1010"/>
        </w:numPr>
        <w:pStyle w:val="Compact"/>
      </w:pPr>
      <w:r>
        <w:t xml:space="preserve">Attractions Management — профиль Clinique La Prairie / Simone Gibertoni, https://www.attractionsmanagement.com/attractions-news/Clinique-La-Prairie-Switzerland-spa-medical-wellness-Simone-Gibertoni/331295</w:t>
      </w:r>
    </w:p>
    <w:p>
      <w:pPr>
        <w:numPr>
          <w:ilvl w:val="0"/>
          <w:numId w:val="1010"/>
        </w:numPr>
        <w:pStyle w:val="Compact"/>
      </w:pPr>
      <w:r>
        <w:t xml:space="preserve">Biopôle — «Clinique La Prairie and its pioneering heritage», https://www.biopole.ch/story/clinique-la-prairie-and-its-pioneering-heritage/</w:t>
      </w:r>
    </w:p>
    <w:p>
      <w:pPr>
        <w:numPr>
          <w:ilvl w:val="0"/>
          <w:numId w:val="1010"/>
        </w:numPr>
        <w:pStyle w:val="Compact"/>
      </w:pPr>
      <w:r>
        <w:t xml:space="preserve">Lenz &amp; Staehelin — «Beiersdorf / La Prairie acquires real estate assets of Clinique La Prairie», https://lenzstaehelin.com/news-and-insights/browse-deals-and-cases/dealscases-detail/beiersdorf-la-prairie-acquires-real-estate-assets-of-clinique-la-prairie</w:t>
      </w:r>
    </w:p>
    <w:p>
      <w:pPr>
        <w:numPr>
          <w:ilvl w:val="0"/>
          <w:numId w:val="1010"/>
        </w:numPr>
        <w:pStyle w:val="Compact"/>
      </w:pPr>
      <w:r>
        <w:t xml:space="preserve">Happi.com, 28.02.2024 — «Beiersdorf acquires real estate assets of Clinique La Prairie in Montreux», https://www.happi.com/contents/view_breaking-news/2024-02-28/beiersdorf-acquires-real-estate-assets-of-clinique-la-prairie-in-montreux/20556</w:t>
      </w:r>
    </w:p>
    <w:p>
      <w:pPr>
        <w:numPr>
          <w:ilvl w:val="0"/>
          <w:numId w:val="1010"/>
        </w:numPr>
        <w:pStyle w:val="Compact"/>
      </w:pPr>
      <w:r>
        <w:t xml:space="preserve">Kellerhals Carrard — deal ticker, Clinique La Prairie / Beiersdorf, https://kellerhals-carrard.ch/en/news-und-publikationen/news/deal-ticker-clinique-la-prairie-beiersdorf-purchases-the-real-estate-premises-of-clinique-la-prairie</w:t>
      </w:r>
    </w:p>
    <w:p>
      <w:pPr>
        <w:numPr>
          <w:ilvl w:val="0"/>
          <w:numId w:val="1010"/>
        </w:numPr>
        <w:pStyle w:val="Compact"/>
      </w:pPr>
      <w:r>
        <w:t xml:space="preserve">Spa Business, 01.2024 — «Clinique La Prairie to open up to 50 properties, shares CEO Simone Gibertoni», https://www.spabusiness.com/wellness-news/Clinique-La-Prairie-to-open-up-to-50-properties-shares-CEO-Simone-Gibertoni/352518</w:t>
      </w:r>
    </w:p>
    <w:p>
      <w:pPr>
        <w:numPr>
          <w:ilvl w:val="0"/>
          <w:numId w:val="1010"/>
        </w:numPr>
        <w:pStyle w:val="Compact"/>
      </w:pPr>
      <w:r>
        <w:t xml:space="preserve">Spa Business, 11.2024 — «Human connection, hyper-personalisation and brand ecosystems: Simone Gibertoni predicts the future of longevity», https://www.spabusiness.com/wellness-news/Human-connection-hyper-personalisation-and-brand-ecosystems-Simone-Gibertoni-predicts-the-future-of-longevity/354449</w:t>
      </w:r>
    </w:p>
    <w:p>
      <w:pPr>
        <w:numPr>
          <w:ilvl w:val="0"/>
          <w:numId w:val="1010"/>
        </w:numPr>
        <w:pStyle w:val="Compact"/>
      </w:pPr>
      <w:r>
        <w:t xml:space="preserve">CSQ, 05.2020 — интервью Simone Gibertoni, https://csq.com/2020/05/simone-gibertoni-the-ceo-of-clinique-la-prairie-shares-the-latest-on-health-and-medical-wellness-from-inside-its-immunity-enhancing-wellness-institute/</w:t>
      </w:r>
    </w:p>
    <w:p>
      <w:pPr>
        <w:numPr>
          <w:ilvl w:val="0"/>
          <w:numId w:val="1010"/>
        </w:numPr>
        <w:pStyle w:val="Compact"/>
      </w:pPr>
      <w:r>
        <w:t xml:space="preserve">Healing Holidays — страница программы «Revitalisation», https://healingholidays.com/retreats/clinique-la-prairie/revitalisation/details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csq.com/2020/05/simone-gibertoni-the-ceo-of-clinique-la-prairie-shares-the-latest-on-health-and-medical-wellness-from-inside-its-immunity-enhancing-wellness-institute/" TargetMode="External" /><Relationship Type="http://schemas.openxmlformats.org/officeDocument/2006/relationships/hyperlink" Id="rId32" Target="https://drepo.sdl.edu.sa/items/aca44c19-15f5-4994-8787-306f05f41fc8" TargetMode="External" /><Relationship Type="http://schemas.openxmlformats.org/officeDocument/2006/relationships/hyperlink" Id="rId57" Target="https://healingholidays.com/retreats/clinique-la-prairie/revitalisation/details" TargetMode="External" /><Relationship Type="http://schemas.openxmlformats.org/officeDocument/2006/relationships/hyperlink" Id="rId31" Target="https://inbusiness.kz/index.php/ru/last/bolshinstvo-klinik-kazahstana-projdut-nacionalnuyu-akkreditaciyu" TargetMode="External" /><Relationship Type="http://schemas.openxmlformats.org/officeDocument/2006/relationships/hyperlink" Id="rId45" Target="https://international.kaiserpermanente.org/program/inside-the-kaiser-permanente-model-value-based-care-in-practice/" TargetMode="External" /><Relationship Type="http://schemas.openxmlformats.org/officeDocument/2006/relationships/hyperlink" Id="rId43" Target="https://investmint.ru/mdmg/news/" TargetMode="External" /><Relationship Type="http://schemas.openxmlformats.org/officeDocument/2006/relationships/hyperlink" Id="rId50" Target="https://kellerhals-carrard.ch/en/news-und-publikationen/news/deal-ticker-clinique-la-prairie-beiersdorf-purchases-the-real-estate-premises-of-clinique-la-prairie" TargetMode="External" /><Relationship Type="http://schemas.openxmlformats.org/officeDocument/2006/relationships/hyperlink" Id="rId48" Target="https://lenzstaehelin.com/news-and-insights/browse-deals-and-cases/dealscases-detail/beiersdorf-la-prairie-acquires-real-estate-assets-of-clinique-la-prairie" TargetMode="External" /><Relationship Type="http://schemas.openxmlformats.org/officeDocument/2006/relationships/hyperlink" Id="rId42" Target="https://secure.businesswire.com/news/home/20260604829640/en/" TargetMode="External" /><Relationship Type="http://schemas.openxmlformats.org/officeDocument/2006/relationships/hyperlink" Id="rId30" Target="https://telanganatoday.com/care-hospitals-hitec-city-receives-jci-accreditation" TargetMode="External" /><Relationship Type="http://schemas.openxmlformats.org/officeDocument/2006/relationships/hyperlink" Id="rId55" Target="https://www.attractionsmanagement.com/attractions-news/Clinique-La-Prairie-Switzerland-spa-medical-wellness-Simone-Gibertoni/331295" TargetMode="External" /><Relationship Type="http://schemas.openxmlformats.org/officeDocument/2006/relationships/hyperlink" Id="rId54" Target="https://www.beautymatter.com/articles/revitalizing-clinique-la-prairie" TargetMode="External" /><Relationship Type="http://schemas.openxmlformats.org/officeDocument/2006/relationships/hyperlink" Id="rId38" Target="https://www.beckershospitalreview.com/academic-medical-center/10-healthcare-workforce-challenges-defining-2026/" TargetMode="External" /><Relationship Type="http://schemas.openxmlformats.org/officeDocument/2006/relationships/hyperlink" Id="rId21" Target="https://www.beckershospitalreview.com/care-coordination/how-cleveland-clinic-reduced-cancer-patients-wait-times-by-more-than-80/" TargetMode="External" /><Relationship Type="http://schemas.openxmlformats.org/officeDocument/2006/relationships/hyperlink" Id="rId24" Target="https://www.beckershospitalreview.com/healthcare-information-technology/ai/85-of-healthcare-leaders-plan-to-boost-agentic-ai-investment-deloitte/" TargetMode="External" /><Relationship Type="http://schemas.openxmlformats.org/officeDocument/2006/relationships/hyperlink" Id="rId22" Target="https://www.beckershospitalreview.com/quality/hospital-physician-relationships/nyc-health-hospitals-reduced-wait-times-improved-care-continuity-in-pilot-program/" TargetMode="External" /><Relationship Type="http://schemas.openxmlformats.org/officeDocument/2006/relationships/hyperlink" Id="rId37" Target="https://www.beckershospitalreview.com/workforce/pay-dethrones-job-security-as-workers-top-reason-to-stay-mckinsey/" TargetMode="External" /><Relationship Type="http://schemas.openxmlformats.org/officeDocument/2006/relationships/hyperlink" Id="rId56" Target="https://www.biopole.ch/story/clinique-la-prairie-and-its-pioneering-heritage/" TargetMode="External" /><Relationship Type="http://schemas.openxmlformats.org/officeDocument/2006/relationships/hyperlink" Id="rId25" Target="https://www.chiefhealthcareexecutive.com/view/most-healthcare-leaders-invest-in-agentic-ai-but-gaps-emerge" TargetMode="External" /><Relationship Type="http://schemas.openxmlformats.org/officeDocument/2006/relationships/hyperlink" Id="rId46" Target="https://www.deloitte.com/us/en/insights/industry/health-care/life-sciences-and-health-care-industry-outlooks/2026-global-health-care-outlook.html" TargetMode="External" /><Relationship Type="http://schemas.openxmlformats.org/officeDocument/2006/relationships/hyperlink" Id="rId26" Target="https://www.deloitte.com/us/en/insights/industry/health-care/life-sciences-and-health-care-industry-outlooks/2026-us-health-care-executive-outlook.html" TargetMode="External" /><Relationship Type="http://schemas.openxmlformats.org/officeDocument/2006/relationships/hyperlink" Id="rId35" Target="https://www.franchising.com" TargetMode="External" /><Relationship Type="http://schemas.openxmlformats.org/officeDocument/2006/relationships/hyperlink" Id="rId49" Target="https://www.happi.com/contents/view_breaking-news/2024-02-28/beiersdorf-acquires-real-estate-assets-of-clinique-la-prairie-in-montreux/20556" TargetMode="External" /><Relationship Type="http://schemas.openxmlformats.org/officeDocument/2006/relationships/hyperlink" Id="rId27" Target="https://www.healthcarefinancenews.com/news/how-ai-transformed-revenue-cycle-baylor-scott-white-health" TargetMode="External" /><Relationship Type="http://schemas.openxmlformats.org/officeDocument/2006/relationships/hyperlink" Id="rId40" Target="https://www.mckinsey.com" TargetMode="External" /><Relationship Type="http://schemas.openxmlformats.org/officeDocument/2006/relationships/hyperlink" Id="rId34" Target="https://www.medestheticsmag.com" TargetMode="External" /><Relationship Type="http://schemas.openxmlformats.org/officeDocument/2006/relationships/hyperlink" Id="rId51" Target="https://www.spabusiness.com/wellness-news/Clinique-La-Prairie-to-open-up-to-50-properties-shares-CEO-Simone-Gibertoni/352518" TargetMode="External" /><Relationship Type="http://schemas.openxmlformats.org/officeDocument/2006/relationships/hyperlink" Id="rId52" Target="https://www.spabusiness.com/wellness-news/Human-connection-hyper-personalisation-and-brand-ecosystems-Simone-Gibertoni-predicts-the-future-of-longevity/354449" TargetMode="External" /><Relationship Type="http://schemas.openxmlformats.org/officeDocument/2006/relationships/hyperlink" Id="rId29" Target="https://www.thehansindia.com/life-style/health/care-hospitals-hi-tech-city-awarded-prestigious-jci-accreditation-113225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csq.com/2020/05/simone-gibertoni-the-ceo-of-clinique-la-prairie-shares-the-latest-on-health-and-medical-wellness-from-inside-its-immunity-enhancing-wellness-institute/" TargetMode="External" /><Relationship Type="http://schemas.openxmlformats.org/officeDocument/2006/relationships/hyperlink" Id="rId32" Target="https://drepo.sdl.edu.sa/items/aca44c19-15f5-4994-8787-306f05f41fc8" TargetMode="External" /><Relationship Type="http://schemas.openxmlformats.org/officeDocument/2006/relationships/hyperlink" Id="rId57" Target="https://healingholidays.com/retreats/clinique-la-prairie/revitalisation/details" TargetMode="External" /><Relationship Type="http://schemas.openxmlformats.org/officeDocument/2006/relationships/hyperlink" Id="rId31" Target="https://inbusiness.kz/index.php/ru/last/bolshinstvo-klinik-kazahstana-projdut-nacionalnuyu-akkreditaciyu" TargetMode="External" /><Relationship Type="http://schemas.openxmlformats.org/officeDocument/2006/relationships/hyperlink" Id="rId45" Target="https://international.kaiserpermanente.org/program/inside-the-kaiser-permanente-model-value-based-care-in-practice/" TargetMode="External" /><Relationship Type="http://schemas.openxmlformats.org/officeDocument/2006/relationships/hyperlink" Id="rId43" Target="https://investmint.ru/mdmg/news/" TargetMode="External" /><Relationship Type="http://schemas.openxmlformats.org/officeDocument/2006/relationships/hyperlink" Id="rId50" Target="https://kellerhals-carrard.ch/en/news-und-publikationen/news/deal-ticker-clinique-la-prairie-beiersdorf-purchases-the-real-estate-premises-of-clinique-la-prairie" TargetMode="External" /><Relationship Type="http://schemas.openxmlformats.org/officeDocument/2006/relationships/hyperlink" Id="rId48" Target="https://lenzstaehelin.com/news-and-insights/browse-deals-and-cases/dealscases-detail/beiersdorf-la-prairie-acquires-real-estate-assets-of-clinique-la-prairie" TargetMode="External" /><Relationship Type="http://schemas.openxmlformats.org/officeDocument/2006/relationships/hyperlink" Id="rId42" Target="https://secure.businesswire.com/news/home/20260604829640/en/" TargetMode="External" /><Relationship Type="http://schemas.openxmlformats.org/officeDocument/2006/relationships/hyperlink" Id="rId30" Target="https://telanganatoday.com/care-hospitals-hitec-city-receives-jci-accreditation" TargetMode="External" /><Relationship Type="http://schemas.openxmlformats.org/officeDocument/2006/relationships/hyperlink" Id="rId55" Target="https://www.attractionsmanagement.com/attractions-news/Clinique-La-Prairie-Switzerland-spa-medical-wellness-Simone-Gibertoni/331295" TargetMode="External" /><Relationship Type="http://schemas.openxmlformats.org/officeDocument/2006/relationships/hyperlink" Id="rId54" Target="https://www.beautymatter.com/articles/revitalizing-clinique-la-prairie" TargetMode="External" /><Relationship Type="http://schemas.openxmlformats.org/officeDocument/2006/relationships/hyperlink" Id="rId38" Target="https://www.beckershospitalreview.com/academic-medical-center/10-healthcare-workforce-challenges-defining-2026/" TargetMode="External" /><Relationship Type="http://schemas.openxmlformats.org/officeDocument/2006/relationships/hyperlink" Id="rId21" Target="https://www.beckershospitalreview.com/care-coordination/how-cleveland-clinic-reduced-cancer-patients-wait-times-by-more-than-80/" TargetMode="External" /><Relationship Type="http://schemas.openxmlformats.org/officeDocument/2006/relationships/hyperlink" Id="rId24" Target="https://www.beckershospitalreview.com/healthcare-information-technology/ai/85-of-healthcare-leaders-plan-to-boost-agentic-ai-investment-deloitte/" TargetMode="External" /><Relationship Type="http://schemas.openxmlformats.org/officeDocument/2006/relationships/hyperlink" Id="rId22" Target="https://www.beckershospitalreview.com/quality/hospital-physician-relationships/nyc-health-hospitals-reduced-wait-times-improved-care-continuity-in-pilot-program/" TargetMode="External" /><Relationship Type="http://schemas.openxmlformats.org/officeDocument/2006/relationships/hyperlink" Id="rId37" Target="https://www.beckershospitalreview.com/workforce/pay-dethrones-job-security-as-workers-top-reason-to-stay-mckinsey/" TargetMode="External" /><Relationship Type="http://schemas.openxmlformats.org/officeDocument/2006/relationships/hyperlink" Id="rId56" Target="https://www.biopole.ch/story/clinique-la-prairie-and-its-pioneering-heritage/" TargetMode="External" /><Relationship Type="http://schemas.openxmlformats.org/officeDocument/2006/relationships/hyperlink" Id="rId25" Target="https://www.chiefhealthcareexecutive.com/view/most-healthcare-leaders-invest-in-agentic-ai-but-gaps-emerge" TargetMode="External" /><Relationship Type="http://schemas.openxmlformats.org/officeDocument/2006/relationships/hyperlink" Id="rId46" Target="https://www.deloitte.com/us/en/insights/industry/health-care/life-sciences-and-health-care-industry-outlooks/2026-global-health-care-outlook.html" TargetMode="External" /><Relationship Type="http://schemas.openxmlformats.org/officeDocument/2006/relationships/hyperlink" Id="rId26" Target="https://www.deloitte.com/us/en/insights/industry/health-care/life-sciences-and-health-care-industry-outlooks/2026-us-health-care-executive-outlook.html" TargetMode="External" /><Relationship Type="http://schemas.openxmlformats.org/officeDocument/2006/relationships/hyperlink" Id="rId35" Target="https://www.franchising.com" TargetMode="External" /><Relationship Type="http://schemas.openxmlformats.org/officeDocument/2006/relationships/hyperlink" Id="rId49" Target="https://www.happi.com/contents/view_breaking-news/2024-02-28/beiersdorf-acquires-real-estate-assets-of-clinique-la-prairie-in-montreux/20556" TargetMode="External" /><Relationship Type="http://schemas.openxmlformats.org/officeDocument/2006/relationships/hyperlink" Id="rId27" Target="https://www.healthcarefinancenews.com/news/how-ai-transformed-revenue-cycle-baylor-scott-white-health" TargetMode="External" /><Relationship Type="http://schemas.openxmlformats.org/officeDocument/2006/relationships/hyperlink" Id="rId40" Target="https://www.mckinsey.com" TargetMode="External" /><Relationship Type="http://schemas.openxmlformats.org/officeDocument/2006/relationships/hyperlink" Id="rId34" Target="https://www.medestheticsmag.com" TargetMode="External" /><Relationship Type="http://schemas.openxmlformats.org/officeDocument/2006/relationships/hyperlink" Id="rId51" Target="https://www.spabusiness.com/wellness-news/Clinique-La-Prairie-to-open-up-to-50-properties-shares-CEO-Simone-Gibertoni/352518" TargetMode="External" /><Relationship Type="http://schemas.openxmlformats.org/officeDocument/2006/relationships/hyperlink" Id="rId52" Target="https://www.spabusiness.com/wellness-news/Human-connection-hyper-personalisation-and-brand-ecosystems-Simone-Gibertoni-predicts-the-future-of-longevity/354449" TargetMode="External" /><Relationship Type="http://schemas.openxmlformats.org/officeDocument/2006/relationships/hyperlink" Id="rId29" Target="https://www.thehansindia.com/life-style/health/care-hospitals-hi-tech-city-awarded-prestigious-jci-accreditation-113225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2026-10-23T04:16:11Z</dcterms:created>
  <dcterms:modified xsi:type="dcterms:W3CDTF">2026-10-23T04:16:11Z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