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Мониторинг международных практик управления здравоохранением</w:t>
      </w:r>
    </w:p>
    <w:p/>
    <w:p>
      <w:pPr>
        <w:spacing w:after="120"/>
      </w:pPr>
      <w:r>
        <w:rPr>
          <w:b/>
          <w:bCs/>
        </w:rPr>
        <w:t xml:space="preserve">Период охвата:</w:t>
      </w:r>
      <w:r>
        <w:t xml:space="preserve"> 18–25 сентября 2026 г. (строгое окно поиска); дополнительно включено 7 материалов за более ранний период (конец июля — первая половина сентября 2026 г.) — каждый отмечен фактической датой публикации и включён точечно, поскольку закрывает пробелы предыдущих отчётов либо содержит редкие измеримые результаты</w:t>
      </w:r>
    </w:p>
    <w:p>
      <w:pPr>
        <w:spacing w:after="120"/>
      </w:pPr>
      <w:r>
        <w:rPr>
          <w:b/>
          <w:bCs/>
        </w:rPr>
        <w:t xml:space="preserve">Дата составления:</w:t>
      </w:r>
      <w:r>
        <w:t xml:space="preserve"> 25 сентября 2026 г.</w:t>
      </w:r>
    </w:p>
    <w:p>
      <w:pPr>
        <w:spacing w:after="120"/>
      </w:pPr>
      <w:r>
        <w:rPr>
          <w:b/>
          <w:bCs/>
        </w:rPr>
        <w:t xml:space="preserve">Подготовлено для:</w:t>
      </w:r>
      <w:r>
        <w:t xml:space="preserve"> собственника и генерального директора управляющей компании частных медицинских клиник (хирургическая клиника, клиника женского здоровья/лактации, проект премиального сна и нейро-лонгевити)</w:t>
      </w:r>
    </w:p>
    <w:p/>
    <w:p>
      <w:pPr>
        <w:pBdr>
          <w:bottom w:val="single" w:color="AAAAAA" w:sz="6" w:space="1"/>
        </w:pBdr>
        <w:spacing w:after="200"/>
      </w:pPr>
    </w:p>
    <w:p/>
    <w:p>
      <w:pPr>
        <w:pStyle w:val="Heading2"/>
        <w:spacing w:after="120" w:before="240"/>
      </w:pPr>
      <w:r>
        <w:t xml:space="preserve">Методологическое примечание</w:t>
      </w:r>
    </w:p>
    <w:p/>
    <w:p>
      <w:pPr>
        <w:spacing w:after="120"/>
      </w:pPr>
      <w:r>
        <w:t xml:space="preserve">Строгое недельное окно (18–25.09.2026) оказалось бедным на профильную управленческую аналитику по всем восьми направлениям — это подтверждено независимо всеми четырьмя параллельными циклами поиска, проведёнными для этого выпуска. Основная масса материалов, найденных в поисковой выдаче под запросы 2026 года, оказалась недатированным вендорским контентом или SEO-статьями без верифицируемой даты публикации — такие материалы отсеяны. Часть находок опирается только на данные поисковой выдачи без прямого доступа к первоисточнику (ряд доменов — mdpi.com через кэш, healthcaremea.com, lasvegassun.com/Lee Enterprises, mckinsey.com — были недоступны для прямого чтения в среде выполнения); это отмечено отдельно по каждому пункту. Все цифры приведены только там, где они прямо указаны в источнике.</w:t>
      </w:r>
    </w:p>
    <w:p/>
    <w:p>
      <w:pPr>
        <w:pBdr>
          <w:bottom w:val="single" w:color="AAAAAA" w:sz="6" w:space="1"/>
        </w:pBdr>
        <w:spacing w:after="200"/>
      </w:pPr>
    </w:p>
    <w:p/>
    <w:p>
      <w:pPr>
        <w:pStyle w:val="Heading2"/>
        <w:spacing w:after="120" w:before="240"/>
      </w:pPr>
      <w:r>
        <w:t xml:space="preserve">Executive Summary</w:t>
      </w:r>
    </w:p>
    <w:p/>
    <w:p>
      <w:pPr>
        <w:pStyle w:val="ListParagraph"/>
        <w:numPr>
          <w:ilvl w:val="0"/>
          <w:numId w:val="2"/>
        </w:numPr>
        <w:spacing w:after="80"/>
      </w:pPr>
      <w:r>
        <w:rPr>
          <w:b/>
          <w:bCs/>
        </w:rPr>
        <w:t xml:space="preserve">Более раннее AI-сопровождение пациентов перед операцией снизило отмены на 50%</w:t>
      </w:r>
      <w:r>
        <w:t xml:space="preserve">: OHSU (США) перенесла точку контакта с пациентом раньше в хирургическом пути (автоматизированные напоминания и проверка готовности с эскалацией к человеку) и добилась сокращения целевых поздних отмен операций вдвое — прямой ориентир для хирургической клиники УК.</w:t>
      </w:r>
    </w:p>
    <w:p>
      <w:pPr>
        <w:pStyle w:val="ListParagraph"/>
        <w:numPr>
          <w:ilvl w:val="0"/>
          <w:numId w:val="2"/>
        </w:numPr>
        <w:spacing w:after="80"/>
      </w:pPr>
      <w:r>
        <w:rPr>
          <w:b/>
          <w:bCs/>
        </w:rPr>
        <w:t xml:space="preserve">Рост числа врачей-специалистов сам по себе не сокращает время ожидания</w:t>
      </w:r>
      <w:r>
        <w:t xml:space="preserve">: рецензируемый анализ (NEJM Catalyst) на данных 6 специальностей в 15 городах США показывает эффект «индуцированного спроса» — среднее время ожидания к специалисту выросло до 31 дня в 2025 г. (+19% с 2022 г., +48% с 2004 г.) почти независимо от плотности врачей; авторы рекомендуют триаж, самостоятельную запись и снижение неявок вместо простого найма.</w:t>
      </w:r>
    </w:p>
    <w:p>
      <w:pPr>
        <w:pStyle w:val="ListParagraph"/>
        <w:numPr>
          <w:ilvl w:val="0"/>
          <w:numId w:val="2"/>
        </w:numPr>
        <w:spacing w:after="80"/>
      </w:pPr>
      <w:r>
        <w:rPr>
          <w:b/>
          <w:bCs/>
        </w:rPr>
        <w:t xml:space="preserve">ИИ в revenue cycle management требует не «внедрения», а управленческой дисциплины</w:t>
      </w:r>
      <w:r>
        <w:t xml:space="preserve">: HFMA формулирует правило — ни один кейс применения ИИ в финансовых/операционных процессах не должен запускаться без базовой метрики, целевого ROI и персонально ответственного за результат сотрудника; главным барьером назван не интерес к ИИ, а организационная готовность.</w:t>
      </w:r>
    </w:p>
    <w:p>
      <w:pPr>
        <w:pStyle w:val="ListParagraph"/>
        <w:numPr>
          <w:ilvl w:val="0"/>
          <w:numId w:val="2"/>
        </w:numPr>
        <w:spacing w:after="80"/>
      </w:pPr>
      <w:r>
        <w:rPr>
          <w:b/>
          <w:bCs/>
        </w:rPr>
        <w:t xml:space="preserve">Подтверждён структурный пробел в доказательной базе JCI для амбулаторной хирургии</w:t>
      </w:r>
      <w:r>
        <w:t xml:space="preserve">: систематический обзор 80 публикаций не нашёл ни одного эмпирического исследования эффективности именно JCI-аккредитации в центрах амбулаторной хирургии — клиникам такого профиля придётся выстраивать собственную систему KPI и контроля рисков, а не опираться на готовый внешний бенчмарк.</w:t>
      </w:r>
    </w:p>
    <w:p>
      <w:pPr>
        <w:pStyle w:val="ListParagraph"/>
        <w:numPr>
          <w:ilvl w:val="0"/>
          <w:numId w:val="2"/>
        </w:numPr>
        <w:spacing w:after="80"/>
      </w:pPr>
      <w:r>
        <w:rPr>
          <w:b/>
          <w:bCs/>
        </w:rPr>
        <w:t xml:space="preserve">Нехирургическое «трение» — главный драйвер лояльности пациента, не качество лечения</w:t>
      </w:r>
      <w:r>
        <w:t xml:space="preserve">: опрос 10 000 потребителей (Medical Economics) показал, что «очень лёгкий» опыт взаимодействия (запись, регистратура, портал) даёт около 90% удержания пациентов, а переход к конкурентам чаще всего вызван сбоями именно на этих нехирургических точках контакта, а не сомнениями в компетентности врача.</w:t>
      </w:r>
    </w:p>
    <w:p>
      <w:pPr>
        <w:pStyle w:val="ListParagraph"/>
        <w:numPr>
          <w:ilvl w:val="0"/>
          <w:numId w:val="2"/>
        </w:numPr>
        <w:spacing w:after="80"/>
      </w:pPr>
      <w:r>
        <w:rPr>
          <w:b/>
          <w:bCs/>
        </w:rPr>
        <w:t xml:space="preserve">Простая просьба оставить отзыв резко меняет конверсию репутации</w:t>
      </w:r>
      <w:r>
        <w:t xml:space="preserve">: доля пациентов, никогда/редко оставляющих отзывы, снизилась с 56% (2025) до 42% (2026); 68% пациентов заявили, что оставили бы отзыв, если бы их об этом просто попросили — дешёвый управленческий рычаг репутации.</w:t>
      </w:r>
    </w:p>
    <w:p>
      <w:pPr>
        <w:pStyle w:val="ListParagraph"/>
        <w:numPr>
          <w:ilvl w:val="0"/>
          <w:numId w:val="2"/>
        </w:numPr>
        <w:spacing w:after="80"/>
      </w:pPr>
      <w:r>
        <w:rPr>
          <w:b/>
          <w:bCs/>
        </w:rPr>
        <w:t xml:space="preserve">В сделках M&amp;A здравоохранения интеграция после закрытия, а не условия сделки, определяет успех</w:t>
      </w:r>
      <w:r>
        <w:t xml:space="preserve">: по данным конференции McGuireWoods (сентябрь 2026) и аналитики LevinPro, доля добавочных («tuck-in») сделок превышает запуск новых платформ, а насыщенные ниши роллап-консолидации (стоматология, офтальмология эстетики, дерматология) показывают сжатие мультипликаторов — сигнал для УК при планировании новых направлений избегать перенасыщенных ниш без явной дифференциации.</w:t>
      </w:r>
    </w:p>
    <w:p/>
    <w:p>
      <w:pPr>
        <w:pBdr>
          <w:bottom w:val="single" w:color="AAAAAA" w:sz="6" w:space="1"/>
        </w:pBdr>
        <w:spacing w:after="200"/>
      </w:pPr>
    </w:p>
    <w:p/>
    <w:p>
      <w:pPr>
        <w:pStyle w:val="Heading2"/>
        <w:spacing w:after="120" w:before="240"/>
      </w:pPr>
      <w:r>
        <w:t xml:space="preserve">1. Операционное управление клиникой</w:t>
      </w:r>
    </w:p>
    <w:p/>
    <w:p>
      <w:pPr>
        <w:spacing w:after="120"/>
      </w:pPr>
      <w:r>
        <w:rPr>
          <w:b/>
          <w:bCs/>
        </w:rPr>
        <w:t xml:space="preserve">Тренд периода:</w:t>
      </w:r>
      <w:r>
        <w:t xml:space="preserve"> окно было тонким по числу материалов уровня независимого исследования, но два найденных кейса содержат редкие для темы количественные результаты и прямо применимы к хирургическому профилю.</w:t>
      </w:r>
    </w:p>
    <w:p/>
    <w:p>
      <w:pPr>
        <w:pStyle w:val="ListParagraph"/>
        <w:numPr>
          <w:ilvl w:val="0"/>
          <w:numId w:val="1"/>
        </w:numPr>
        <w:spacing w:after="80"/>
      </w:pPr>
      <w:r>
        <w:rPr>
          <w:b/>
          <w:bCs/>
        </w:rPr>
        <w:t xml:space="preserve">OHSU (Oregon Health &amp; Science University, США) — более раннее AI-сопровождение пациента перед операцией</w:t>
      </w:r>
      <w:r>
        <w:t xml:space="preserve">: команда управления операционным расписанием перенесла автоматизированные напоминания и проверку готовности пациента раньше в хирургический путь, с эскалацией к человеку при выявлении рисков (а не как разовое финальное подтверждение). Результат: сокращение целевых поздних отмен операций на 50%. Представлено на Transform Perioperative Operations Virtual Summit, 23.09.2026. Источник: Becker's Hospital Review. https://www.beckershospitalreview.com/leadership/preparing-patients-earlier-how-ohsu-reduced-targeted-late-surgical-cancellations-by-50/</w:t>
      </w:r>
    </w:p>
    <w:p>
      <w:pPr>
        <w:pStyle w:val="ListParagraph"/>
        <w:numPr>
          <w:ilvl w:val="0"/>
          <w:numId w:val="1"/>
        </w:numPr>
        <w:spacing w:after="80"/>
      </w:pPr>
      <w:r>
        <w:rPr>
          <w:b/>
          <w:bCs/>
        </w:rPr>
        <w:t xml:space="preserve">Найм большего числа специалистов не сокращает время ожидания (эффект индуцированного спроса)</w:t>
      </w:r>
      <w:r>
        <w:t xml:space="preserve">: национальный анализ 6 специальностей в 15 городах США (Leemore Dafny — Harvard Kennedy School/HBS, Sherry Glied — NYU Wagner, Thomas H. Lee — NEJM Catalyst) показывает, что среднее время ожидания к специалисту достигло 31 дня в 2025 г. (+19% с 2022 г., +48% с 2004 г.), при этом плотность врачей на душу населения слабо коррелирует со временем ожидания — эффект сравним с «индуцированным спросом» на дорогах: дополнительная мощность быстро заполняется. Рекомендованные операционные альтернативы: триаж и обучение пациента на уровне первичного звена через МИС, приём и ведение силами APP (advanced practice providers), виртуальные групповые визиты, самостоятельная запись для снижения неявок. Дата публикации — 15.09.2026 (на 3 дня раньше строгого окна, включено ввиду принципиальной значимости для планирования штата). Источник: NEJM Catalyst Innovations in Care Delivery; освещение — NYU. https://catalyst.nejm.org/doi/full/10.1056/CAT.26.0077</w:t>
      </w:r>
    </w:p>
    <w:p/>
    <w:p>
      <w:pPr>
        <w:spacing w:after="120"/>
      </w:pPr>
      <w:r>
        <w:rPr>
          <w:b/>
          <w:bCs/>
        </w:rPr>
        <w:t xml:space="preserve">Что это значит для нас:</w:t>
      </w:r>
      <w:r>
        <w:t xml:space="preserve"> готовность пациента к операции — управляемый ресурс потока, а не разовая административная формальность; для хирургической клиники стоит протестировать более раннее и многоступенчатое (не единственное) AI-напоминание с эскалацией к живому координатору при признаках риска отмены. Вывод NEJM Catalyst особенно важен при планировании расширения штата врачей в клинике лактации или сне/нейро-лонгевити: прежде чем нанимать дополнительных специалистов для сокращения очереди, стоит проверить, не решается ли проблема самостоятельной записью, снижением неявок и делегированием части приёма среднему медперсоналу.</w:t>
      </w:r>
    </w:p>
    <w:p/>
    <w:p>
      <w:pPr>
        <w:pBdr>
          <w:bottom w:val="single" w:color="AAAAAA" w:sz="6" w:space="1"/>
        </w:pBdr>
        <w:spacing w:after="200"/>
      </w:pPr>
    </w:p>
    <w:p/>
    <w:p>
      <w:pPr>
        <w:pStyle w:val="Heading2"/>
        <w:spacing w:after="120" w:before="240"/>
      </w:pPr>
      <w:r>
        <w:t xml:space="preserve">2. Цифровизация и ИИ в управлении</w:t>
      </w:r>
    </w:p>
    <w:p/>
    <w:p>
      <w:pPr>
        <w:spacing w:after="120"/>
      </w:pPr>
      <w:r>
        <w:rPr>
          <w:b/>
          <w:bCs/>
        </w:rPr>
        <w:t xml:space="preserve">Тренд периода:</w:t>
      </w:r>
      <w:r>
        <w:t xml:space="preserve"> конкретных релизов нового поколения МИС/CRM в узком окне не найдено; большинство материалов про agentic AI в здравоохранении — недатированный вендорский контент. Две находки — управленческая, а не техническая аналитика.</w:t>
      </w:r>
    </w:p>
    <w:p/>
    <w:p>
      <w:pPr>
        <w:pStyle w:val="ListParagraph"/>
        <w:numPr>
          <w:ilvl w:val="0"/>
          <w:numId w:val="1"/>
        </w:numPr>
        <w:spacing w:after="80"/>
      </w:pPr>
      <w:r>
        <w:rPr>
          <w:b/>
          <w:bCs/>
        </w:rPr>
        <w:t xml:space="preserve">HFMA: ИИ в revenue cycle management требует более жёстких вопросов перед внедрением</w:t>
      </w:r>
      <w:r>
        <w:t xml:space="preserve">: на основе интервью с финансовыми руководителями RCM сформулирован принцип — каждый кейс применения ИИ должен иметь заданную базовую метрику, измеримый финансовый/операционный результат, доказательство ROI и персонально ответственного сотрудника за отслеживание эффекта после внедрения. Главным барьером к результативному использованию ИИ названа не нехватка интереса, а организационная дисциплина исполнения. Дата: 21.09.2026. Источник: HFMA. https://www.hfma.org/technology/ai/revenue-cycle-ai-demands-a-tougher-set-of-questions/</w:t>
      </w:r>
    </w:p>
    <w:p>
      <w:pPr>
        <w:pStyle w:val="ListParagraph"/>
        <w:numPr>
          <w:ilvl w:val="0"/>
          <w:numId w:val="1"/>
        </w:numPr>
        <w:spacing w:after="80"/>
      </w:pPr>
      <w:r>
        <w:rPr>
          <w:b/>
          <w:bCs/>
        </w:rPr>
        <w:t xml:space="preserve">Ambient AI-скрайбы сокращают время документирования визита на 69,1%</w:t>
      </w:r>
      <w:r>
        <w:t xml:space="preserve">: симулированные приёмы первичного звена с участием 9 врачей (University of Toronto, при участии Women's College Hospital) показали снижение времени, затрачиваемого на ведение записей приёма, на 69,1% — исследование позиционирует ambient-скрайбы как инструмент снижения административной нагрузки и профессионального выгорания, а не диагностики. Дата публикации — 15–16.09.2026 (на 2–3 дня раньше окна, включено как дополняющая количественная точка к теме административной нагрузки). Источник: JAMIA Open; освещение — University of Toronto, Medical Xpress. https://www.utoronto.ca/news/ai-scribes-could-reduce-physicians-administrative-burden-help-ease-burnout-study</w:t>
      </w:r>
    </w:p>
    <w:p/>
    <w:p>
      <w:pPr>
        <w:spacing w:after="120"/>
      </w:pPr>
      <w:r>
        <w:rPr>
          <w:b/>
          <w:bCs/>
        </w:rPr>
        <w:t xml:space="preserve">Что это значит для нас:</w:t>
      </w:r>
      <w:r>
        <w:t xml:space="preserve"> прежде чем запускать новые ИИ-пилоты (запись, контакт-центр, RCM) в любой из клиник УК, стоит формализовать правило HFMA — без базовой метрики, цели по ROI и именного ответственного пилот не начинается; это снижает риск «ИИ ради ИИ» и распыления бюджета. Данные по ambient-скрайбам (второе независимое исследование с похожим выводом за два месяца) повышают уверенность в том, что документирование приёма — один из самых быстро окупаемых кейсов внедрения ИИ и одновременно инструмент снижения нагрузки на врачей, особенно в клинике лактации с высокой плотностью консультаций.</w:t>
      </w:r>
    </w:p>
    <w:p/>
    <w:p>
      <w:pPr>
        <w:pBdr>
          <w:bottom w:val="single" w:color="AAAAAA" w:sz="6" w:space="1"/>
        </w:pBdr>
        <w:spacing w:after="200"/>
      </w:pPr>
    </w:p>
    <w:p/>
    <w:p>
      <w:pPr>
        <w:pStyle w:val="Heading2"/>
        <w:spacing w:after="120" w:before="240"/>
      </w:pPr>
      <w:r>
        <w:t xml:space="preserve">3. Качество и аккредитация</w:t>
      </w:r>
    </w:p>
    <w:p/>
    <w:p>
      <w:pPr>
        <w:spacing w:after="120"/>
      </w:pPr>
      <w:r>
        <w:rPr>
          <w:b/>
          <w:bCs/>
        </w:rPr>
        <w:t xml:space="preserve">Тренд периода:</w:t>
      </w:r>
      <w:r>
        <w:t xml:space="preserve"> окно было практически пустым; единственная содержательная находка — академическая, указывающая на пробел, а не на новую практику.</w:t>
      </w:r>
    </w:p>
    <w:p/>
    <w:p>
      <w:pPr>
        <w:pStyle w:val="ListParagraph"/>
        <w:numPr>
          <w:ilvl w:val="0"/>
          <w:numId w:val="1"/>
        </w:numPr>
        <w:spacing w:after="80"/>
      </w:pPr>
      <w:r>
        <w:rPr>
          <w:b/>
          <w:bCs/>
        </w:rPr>
        <w:t xml:space="preserve">Структурный пробел в доказательной базе JCI-аккредитации для амбулаторной хирургии</w:t>
      </w:r>
      <w:r>
        <w:t xml:space="preserve">: систематический скоупинг-обзор (PRISMA-ScR) 80 публикаций по 7 базам данных (включая PubMed, Scopus, eLIBRARY.ru) обнаружил, что литература по «JCI-аккредитации» и «амбулаторной хирургии» существует в двух непересекающихся массивах — не найдено ни одного эмпирического исследования, напрямую оценивающего внедрение или эффективность JCI именно в центрах амбулаторной хирургии. Источник: журнал Healthcare (MDPI), т. 14, вып. 17. Точная дата выхода номера — первая половина сентября 2026 г., точный день не подтверждён независимо; включено на 1–3 недели раньше окна ввиду прямой применимости к хирургическому профилю клиники. https://www.mdpi.com/2227-9032/14/17/2858</w:t>
      </w:r>
    </w:p>
    <w:p>
      <w:pPr>
        <w:pStyle w:val="ListParagraph"/>
        <w:numPr>
          <w:ilvl w:val="0"/>
          <w:numId w:val="1"/>
        </w:numPr>
        <w:spacing w:after="80"/>
      </w:pPr>
      <w:r>
        <w:rPr>
          <w:b/>
          <w:bCs/>
        </w:rPr>
        <w:t xml:space="preserve">Контекст (не находка с результатами)</w:t>
      </w:r>
      <w:r>
        <w:t xml:space="preserve">: 42-я международная конференция ISQua по качеству и безопасности в здравоохранении пройдёт в Дублине 27–30.09.2026 (более 1400 участников, 250+ спикеров, партнёрство с ирландской HSE). Содержательных материалов с управленческими данными, опубликованных именно в окне 18–25.09.2026, не найдено — только стандартные страницы логистики мероприятия. Целесообразно включить итоги конференции в следующий выпуск. https://isqua.org/events2/dublin-2026.html</w:t>
      </w:r>
    </w:p>
    <w:p/>
    <w:p>
      <w:pPr>
        <w:spacing w:after="120"/>
      </w:pPr>
      <w:r>
        <w:rPr>
          <w:b/>
          <w:bCs/>
        </w:rPr>
        <w:t xml:space="preserve">Что это значит для нас:</w:t>
      </w:r>
      <w:r>
        <w:t xml:space="preserve"> отсутствие эмпирических данных об эффективности JCI именно в формате амбулаторной хирургии означает, что хирургической клинике УК не на что опереться из внешних бенчмарков при подготовке к возможной аккредитации — целесообразно с самого начала выстраивать собственную систему KPI качества и управления клиническими рисками, параллельно сравнивая JCI и альтернативы (DNV/NIAHO, отмеченный в предыдущем отчёте), а не рассчитывать на готовый отраслевой ориентир.</w:t>
      </w:r>
    </w:p>
    <w:p/>
    <w:p>
      <w:pPr>
        <w:pBdr>
          <w:bottom w:val="single" w:color="AAAAAA" w:sz="6" w:space="1"/>
        </w:pBdr>
        <w:spacing w:after="200"/>
      </w:pPr>
    </w:p>
    <w:p/>
    <w:p>
      <w:pPr>
        <w:pStyle w:val="Heading2"/>
        <w:spacing w:after="120" w:before="240"/>
      </w:pPr>
      <w:r>
        <w:t xml:space="preserve">4. Финансовая модель и бизнес-модели</w:t>
      </w:r>
    </w:p>
    <w:p/>
    <w:p>
      <w:pPr>
        <w:spacing w:after="120"/>
      </w:pPr>
      <w:r>
        <w:rPr>
          <w:b/>
          <w:bCs/>
        </w:rPr>
        <w:t xml:space="preserve">Тренд периода:</w:t>
      </w:r>
      <w:r>
        <w:t xml:space="preserve"> окно тонкое; по value-based care, пакетным тарифам и revenue cycle management новых материалов, прошедших фильтр по дате и достоверности, не найдено. Единственная сильная находка — по франшизному масштабированию.</w:t>
      </w:r>
    </w:p>
    <w:p/>
    <w:p>
      <w:pPr>
        <w:pStyle w:val="ListParagraph"/>
        <w:numPr>
          <w:ilvl w:val="0"/>
          <w:numId w:val="1"/>
        </w:numPr>
        <w:spacing w:after="80"/>
      </w:pPr>
      <w:r>
        <w:rPr>
          <w:b/>
          <w:bCs/>
        </w:rPr>
        <w:t xml:space="preserve">Плотностная стратегия франшизного масштабирования сети диагностики и клиник (Chandan Healthcare, Индия)</w:t>
      </w:r>
      <w:r>
        <w:t xml:space="preserve">: сеть расширена до 568 действующих франшиз (плюс 23 комплексных диагностических центра, 18 диагностических центров, 25 самостоятельных лабораторий, 2 центральные референс-лаборатории) за 6 месяцев, с концентрацией около 80% точек в одном штате (Уттар-Прадеш) вокруг существующей лабораторной инфраструктуры — модель «сначала плотность в регионе, затем географическая экспансия». Цель — 1000 франшиз к концу FY27, затем 3000 в течение двух последующих лет. Дата: 23.09.2026. Источник: Outlook Business. https://www.outlookbusiness.com/spotlight/news-wire/chandan-healthcare-scales-franchise-network-to-500-franchises-targets-1-000-franchises-by-fy27-end</w:t>
      </w:r>
    </w:p>
    <w:p/>
    <w:p>
      <w:pPr>
        <w:spacing w:after="120"/>
      </w:pPr>
      <w:r>
        <w:rPr>
          <w:b/>
          <w:bCs/>
        </w:rPr>
        <w:t xml:space="preserve">Явный пробел:</w:t>
      </w:r>
      <w:r>
        <w:t xml:space="preserve"> новых кейсов по подписочным/абонементным моделям с проверяемыми цифрами, пакетным тарифам и revenue cycle management в узком окне не найдено (единственный найденный материал на эту тему — колонка мнений без проверяемых первичных данных — исключён из отчёта как недостоверный). Действующий вывод по подписочным моделям из отчёта от 18.09.2026 (кейс Вермонта) остаётся в силе без изменений.</w:t>
      </w:r>
    </w:p>
    <w:p/>
    <w:p>
      <w:pPr>
        <w:spacing w:after="120"/>
      </w:pPr>
      <w:r>
        <w:rPr>
          <w:b/>
          <w:bCs/>
        </w:rPr>
        <w:t xml:space="preserve">Что это значит для нас:</w:t>
      </w:r>
      <w:r>
        <w:t xml:space="preserve"> логика Chandan Healthcare — сначала выстроить плотность франшизной сети в одном регионе вокруг уже работающей инфраструктуры и только потом масштабироваться географически — прямо применима, если УК в перспективе рассмотрит тиражирование одного из своих профилей (например, лактационного консультирования) в новый город: правильнее сначала насытить один рынок, чем сразу открывать точки в нескольких городах.</w:t>
      </w:r>
    </w:p>
    <w:p/>
    <w:p>
      <w:pPr>
        <w:pBdr>
          <w:bottom w:val="single" w:color="AAAAAA" w:sz="6" w:space="1"/>
        </w:pBdr>
        <w:spacing w:after="200"/>
      </w:pPr>
    </w:p>
    <w:p/>
    <w:p>
      <w:pPr>
        <w:pStyle w:val="Heading2"/>
        <w:spacing w:after="120" w:before="240"/>
      </w:pPr>
      <w:r>
        <w:t xml:space="preserve">5. HR и управление персоналом</w:t>
      </w:r>
    </w:p>
    <w:p/>
    <w:p>
      <w:pPr>
        <w:spacing w:after="120"/>
      </w:pPr>
      <w:r>
        <w:rPr>
          <w:b/>
          <w:bCs/>
        </w:rPr>
        <w:t xml:space="preserve">Тренд периода:</w:t>
      </w:r>
      <w:r>
        <w:t xml:space="preserve"> окно тонкое, но обе находки содержательны и относятся к разным геаграфиям (США и Россия).</w:t>
      </w:r>
    </w:p>
    <w:p/>
    <w:p>
      <w:pPr>
        <w:pStyle w:val="ListParagraph"/>
        <w:numPr>
          <w:ilvl w:val="0"/>
          <w:numId w:val="1"/>
        </w:numPr>
        <w:spacing w:after="80"/>
      </w:pPr>
      <w:r>
        <w:rPr>
          <w:b/>
          <w:bCs/>
        </w:rPr>
        <w:t xml:space="preserve">Модель «Culture CPR» как альтернатива повышению зарплат для удержания персонала</w:t>
      </w:r>
      <w:r>
        <w:t xml:space="preserve">: комментарий по управлению медицинской практикой описывает подход через признание (Celebration), донесение цели (Purpose) и открытое обсуждение того, что работает/не работает в организации, как более эффективную альтернативу премиям и бонусам за подписание контракта. В материале приводится оценка текучести кадров в первый год работы в медицинских практиках США на уровне 25–35%. Дата: около 24.09.2026. Источник: Medical Economics. https://www.medicaleconomics.com/view/why-better-culture-not-more-pay-can-heal-your-workplace-woes</w:t>
      </w:r>
    </w:p>
    <w:p>
      <w:pPr>
        <w:pStyle w:val="ListParagraph"/>
        <w:numPr>
          <w:ilvl w:val="0"/>
          <w:numId w:val="1"/>
        </w:numPr>
        <w:spacing w:after="80"/>
      </w:pPr>
      <w:r>
        <w:rPr>
          <w:b/>
          <w:bCs/>
        </w:rPr>
        <w:t xml:space="preserve">Россия: финансовые механизмы поддержки наставничества врачей уточнены на уровне регионов</w:t>
      </w:r>
      <w:r>
        <w:t xml:space="preserve">: поверх обязательного федерального регулирования наставничества введены региональные денежные меры — например, в Архангельской области предусмотрено порядка 170 млн руб. на первичную поддержку и порядка 66 млн руб. на компенсацию аренды жилья для наставляемых молодых медиков; учреждена федеральная награда «За наставничество в здравоохранении» для наставников; письма Минздрава и ФФОМС от 10 и 13 августа 2026 г. закрепляют наставничество как обязательный элемент HR-управления клиникой, включая частные клиники — участники ОМС. Дата: 06.08.2026 (за пределами строгого окна, включено как содержательно новый — финансовый — аспект уже отмеченной в отчёте от 12.09.2026 темы наставничества). Источник: Vademecum. https://www.vademec.ru/news/2026/08/06/regiony-nachnut-vvodit-dopolnitelnye-mery-podderzhki-dlya-prokhodyashchikh-nastavnichestvo-medikov/</w:t>
      </w:r>
    </w:p>
    <w:p/>
    <w:p>
      <w:pPr>
        <w:spacing w:after="120"/>
      </w:pPr>
      <w:r>
        <w:rPr>
          <w:b/>
          <w:bCs/>
        </w:rPr>
        <w:t xml:space="preserve">Что это значит для нас:</w:t>
      </w:r>
      <w:r>
        <w:t xml:space="preserve"> тезис «культура удерживает дешевле, чем деньги» согласуется с рекомендацией предыдущего отчёта о приоритете организационных изменений над разовыми выплатами; для УК это аргумент в пользу системного разговора с врачами о нагрузке и признании, а не только премиальных схем. Для клиник, работающих (или рассматривающих работу) в системе ОМС в России, региональные субсидии на наставничество — это не только комплаенс-обязанность, но и доступный источник частичного финансирования программ адаптации молодых специалистов.</w:t>
      </w:r>
    </w:p>
    <w:p/>
    <w:p>
      <w:pPr>
        <w:pBdr>
          <w:bottom w:val="single" w:color="AAAAAA" w:sz="6" w:space="1"/>
        </w:pBdr>
        <w:spacing w:after="200"/>
      </w:pPr>
    </w:p>
    <w:p/>
    <w:p>
      <w:pPr>
        <w:pStyle w:val="Heading2"/>
        <w:spacing w:after="120" w:before="240"/>
      </w:pPr>
      <w:r>
        <w:t xml:space="preserve">6. Пациентский опыт и маркетинг</w:t>
      </w:r>
    </w:p>
    <w:p/>
    <w:p>
      <w:pPr>
        <w:spacing w:after="120"/>
      </w:pPr>
      <w:r>
        <w:rPr>
          <w:b/>
          <w:bCs/>
        </w:rPr>
        <w:t xml:space="preserve">Тренд периода:</w:t>
      </w:r>
      <w:r>
        <w:t xml:space="preserve"> узкое окно, но одна содержательная находка (опрос 10 000 потребителей, Medical Economics) даёт две сильные, количественно подкреплённые практики.</w:t>
      </w:r>
    </w:p>
    <w:p/>
    <w:p>
      <w:pPr>
        <w:pStyle w:val="ListParagraph"/>
        <w:numPr>
          <w:ilvl w:val="0"/>
          <w:numId w:val="1"/>
        </w:numPr>
        <w:spacing w:after="80"/>
      </w:pPr>
      <w:r>
        <w:rPr>
          <w:b/>
          <w:bCs/>
        </w:rPr>
        <w:t xml:space="preserve">Нехирургическое «трение» — главный фактор лояльности пациента, не качество лечения</w:t>
      </w:r>
      <w:r>
        <w:t xml:space="preserve">: по данным опроса 10 000 потребителей, «очень лёгкий» опыт взаимодействия с клиникой (запись, регистратура, цифровой портал) коррелирует примерно с 90% удержанием пациентов; даже незначительные трудности переводят пациентов в заметно менее лояльную группу. Переход к другой клинике чаще вызван сбоями именно в нехирургическом опыте, а не сомнениями в компетентности врача. Отдельная рекомендация для небольших практик — единый веб-портал/канал, по возможности не уступающий по удобству телефону и очному общению, и начинать внедрение ИИ с низкорисковых внутренних задач, прежде чем выводить его на пациентский контакт. Дата: 22.09.2026. Источник: Medical Economics. https://www.medicaleconomics.com/view/finding-the-right-mix-of-staff-and-technology-that-keeps-patients-coming-back</w:t>
      </w:r>
    </w:p>
    <w:p>
      <w:pPr>
        <w:pStyle w:val="ListParagraph"/>
        <w:numPr>
          <w:ilvl w:val="0"/>
          <w:numId w:val="1"/>
        </w:numPr>
        <w:spacing w:after="80"/>
      </w:pPr>
      <w:r>
        <w:rPr>
          <w:b/>
          <w:bCs/>
        </w:rPr>
        <w:t xml:space="preserve">Простая просьба оставить отзыв резко повышает конверсию в отзывы</w:t>
      </w:r>
      <w:r>
        <w:t xml:space="preserve">: по данным того же исследования, доля пациентов, которые редко или никогда не оставляют отзывы, снизилась с 56% в 2025 г. до 42% в 2026 г.; 68% пациентов сообщили, что оставили бы отзыв, если бы врач или клиника их об этом просто попросили. Точная дата публикации конкретно этой статистики внутри общего цикла материалов на основе опроса не выделена отдельно (кластер публикаций вокруг 22.09.2026) — отмечено как минимальная неопределённость. Источник: Medical Economics.</w:t>
      </w:r>
    </w:p>
    <w:p/>
    <w:p>
      <w:pPr>
        <w:spacing w:after="120"/>
      </w:pPr>
      <w:r>
        <w:rPr>
          <w:b/>
          <w:bCs/>
        </w:rPr>
        <w:t xml:space="preserve">Что это значит для нас:</w:t>
      </w:r>
      <w:r>
        <w:t xml:space="preserve"> для всех трёх профилей клиник УК стоит провести аудит именно нехирургических точек контакта — запись, ожидание подтверждения, работа портала/личного кабинета — как отдельного KPI лояльности, независимо от клинического качества. Систематизация простого шага «попросить оставить отзыв после визита» — низкозатратный и, судя по данным, высокоэффективный рычаг управления репутацией, который может быть внедрён как стандартная процедура на ресепшене или в после-визитной коммуникации.</w:t>
      </w:r>
    </w:p>
    <w:p/>
    <w:p>
      <w:pPr>
        <w:pBdr>
          <w:bottom w:val="single" w:color="AAAAAA" w:sz="6" w:space="1"/>
        </w:pBdr>
        <w:spacing w:after="200"/>
      </w:pPr>
    </w:p>
    <w:p/>
    <w:p>
      <w:pPr>
        <w:pStyle w:val="Heading2"/>
        <w:spacing w:after="120" w:before="240"/>
      </w:pPr>
      <w:r>
        <w:t xml:space="preserve">7. Управление сетью/группой клиник</w:t>
      </w:r>
    </w:p>
    <w:p/>
    <w:p>
      <w:pPr>
        <w:spacing w:after="120"/>
      </w:pPr>
      <w:r>
        <w:rPr>
          <w:b/>
          <w:bCs/>
        </w:rPr>
        <w:t xml:space="preserve">Тренд периода:</w:t>
      </w:r>
      <w:r>
        <w:t xml:space="preserve"> умеренно насыщенное окно — профильная M&amp;A-конференция и рыночная аналитика попали точно в период, плюс одна сделка, закрывающаяся непосредственно в эти дни.</w:t>
      </w:r>
    </w:p>
    <w:p/>
    <w:p>
      <w:pPr>
        <w:pStyle w:val="ListParagraph"/>
        <w:numPr>
          <w:ilvl w:val="0"/>
          <w:numId w:val="1"/>
        </w:numPr>
        <w:spacing w:after="80"/>
      </w:pPr>
      <w:r>
        <w:rPr>
          <w:b/>
          <w:bCs/>
        </w:rPr>
        <w:t xml:space="preserve">Интеграция после закрытия сделки, а не условия сделки, определяет её успех</w:t>
      </w:r>
      <w:r>
        <w:t xml:space="preserve">: по итогам 19-й ежегодной конференции McGuireWoods Healthcare Growth &amp; Operations (Шарлотт, США, 15–16.09.2026) зафиксирован консенсус — объём сделок растёт по сравнению с минимумами 2021 г., но капитал избирателен, и именно качество пост-интеграции, а не условия закрытия, определяет результат. Даты публикации обзоров конференции: 18.09.2026 и 24.09.2026. Источник: LevinPro Healthcare (Levin Associates). https://healthcare.levinassociates.com/2026/09/18/raising-the-bar-mcguirewoods-2026-healthcare-growth-and-operations-conference-recap/ ; https://healthcare.levinassociates.com/2026/09/24/inside-the-sessions-mcguirewoods-2026-healthcare-growth-and-operations-conference/</w:t>
      </w:r>
    </w:p>
    <w:p>
      <w:pPr>
        <w:pStyle w:val="ListParagraph"/>
        <w:numPr>
          <w:ilvl w:val="0"/>
          <w:numId w:val="1"/>
        </w:numPr>
        <w:spacing w:after="80"/>
      </w:pPr>
      <w:r>
        <w:rPr>
          <w:b/>
          <w:bCs/>
        </w:rPr>
        <w:t xml:space="preserve">Структура рынка M&amp;A: физиогруппы доминируют, ниши роллап-консолидации перенасыщены</w:t>
      </w:r>
      <w:r>
        <w:t xml:space="preserve">: по данным LevinPro, группы врачебных практик составляют 29% всех сделок в здравоохранении, добавочные («tuck-in») сделки преобладают над запуском новых платформ; премиальные мультипликаторы удерживаются в онкологии и инфузионной терапии, а в перенасыщенных нишах роллап-консолидации (стоматология, эстетическая офтальмология, дерматология) наблюдается сжатие мультипликаторов. Пример концентрации: в Огайо — 38 сделок с начала года, из них стоматология — самая скупаемая специальность (54 сделки) против 7 по внутренним болезням и 6 по педиатрии. Дата: 21.09.2026. Источник: LevinPro Healthcare. https://healthcare.levinassociates.com/2026/09/21/top-states-for-healthcare-ma/</w:t>
      </w:r>
    </w:p>
    <w:p>
      <w:pPr>
        <w:pStyle w:val="ListParagraph"/>
        <w:numPr>
          <w:ilvl w:val="0"/>
          <w:numId w:val="1"/>
        </w:numPr>
        <w:spacing w:after="80"/>
      </w:pPr>
      <w:r>
        <w:rPr>
          <w:b/>
          <w:bCs/>
        </w:rPr>
        <w:t xml:space="preserve">Объединение через капитальные обязательства продолжает применяться как модель интеграции</w:t>
      </w:r>
      <w:r>
        <w:t xml:space="preserve">: WVU Health System завершает приобретение 5-больничной системы Independence Health System (западная Пенсильвания) с обязательством инвестировать $800 млн; объединённая структура — около 7000 сотрудников, 1000 врачей, 925 коек. Сделка подписана в июне 2026 г., закрытие ожидается в конце сентября — начале октября 2026 г., то есть непосредственно в текущем окне. Источник: Becker's Hospital Review. https://www.beckershospitalreview.com/hospital-transactions-and-valuation/wvu-health-system-to-acquire-5-hospital-pennsylvania-system/</w:t>
      </w:r>
    </w:p>
    <w:p/>
    <w:p>
      <w:pPr>
        <w:spacing w:after="120"/>
      </w:pPr>
      <w:r>
        <w:rPr>
          <w:b/>
          <w:bCs/>
        </w:rPr>
        <w:t xml:space="preserve">Явный пробел (сохраняется третий выпуск подряд):</w:t>
      </w:r>
      <w:r>
        <w:t xml:space="preserve"> датированного кейса именно о стандартизации бэк-офиса между разнопрофильными клиниками внутри одной УК по-прежнему не найдено. Единственный близкий по смыслу материал (Grant Thornton, о модели shared-services как инструменте операционной дисциплины под давлением на маржу) опубликован 27.02.2026 — слишком давно для включения как актуальной находки, но подтверждает, что тема остаётся предметом консалтинговой повестки.</w:t>
      </w:r>
    </w:p>
    <w:p/>
    <w:p>
      <w:pPr>
        <w:spacing w:after="120"/>
      </w:pPr>
      <w:r>
        <w:rPr>
          <w:b/>
          <w:bCs/>
        </w:rPr>
        <w:t xml:space="preserve">Что это значит для нас:</w:t>
      </w:r>
      <w:r>
        <w:t xml:space="preserve"> при любых будущих сделках или партнёрствах УК стоит закладывать бюджет и время именно на пост-интеграционный период (объединение МИС, процессов, персонала), а не только на юридическое закрытие сделки — это главный урок конференции McGuireWoods. Данные по насыщенности ниш (стоматология, эстетика, дерматология) — предостережение при рассмотрении новых направлений: перенасыщенные роллап-категории требуют явной дифференциации, иначе оценка и маржа будут под давлением.</w:t>
      </w:r>
    </w:p>
    <w:p/>
    <w:p>
      <w:pPr>
        <w:pBdr>
          <w:bottom w:val="single" w:color="AAAAAA" w:sz="6" w:space="1"/>
        </w:pBdr>
        <w:spacing w:after="200"/>
      </w:pPr>
    </w:p>
    <w:p/>
    <w:p>
      <w:pPr>
        <w:pStyle w:val="Heading2"/>
        <w:spacing w:after="120" w:before="240"/>
      </w:pPr>
      <w:r>
        <w:t xml:space="preserve">8. Глобальные бенчмарки и кейсы</w:t>
      </w:r>
    </w:p>
    <w:p/>
    <w:p>
      <w:pPr>
        <w:spacing w:after="120"/>
      </w:pPr>
      <w:r>
        <w:rPr>
          <w:b/>
          <w:bCs/>
        </w:rPr>
        <w:t xml:space="preserve">Тренд периода:</w:t>
      </w:r>
      <w:r>
        <w:t xml:space="preserve"> в строгом окне предметных материалов не найдено; обе находки — за пределами недели, но заполняют два разных пробела прошлых отчётов (специализированная аккредитация вне JCI/DNV и количественный кейс межстрановой интеграции сети).</w:t>
      </w:r>
    </w:p>
    <w:p/>
    <w:p>
      <w:pPr>
        <w:pStyle w:val="ListParagraph"/>
        <w:numPr>
          <w:ilvl w:val="0"/>
          <w:numId w:val="1"/>
        </w:numPr>
        <w:spacing w:after="80"/>
      </w:pPr>
      <w:r>
        <w:rPr>
          <w:b/>
          <w:bCs/>
        </w:rPr>
        <w:t xml:space="preserve">Magrabi Health (офтальмологическая сеть Саудовской Аравии/стран Залива) — первая в мире сеть, получившая специализированную аккредитацию «Network of Excellence»</w:t>
      </w:r>
      <w:r>
        <w:t xml:space="preserve">: аккредитация присвоена Surgical Review Corporation не отдельной больнице, а сети регионального масштаба — модель, потенциально более достижимая для специализированной хирургической клиники, чем аккредитация уровня JCI для многопрофильного госпиталя. Объявлено на Forbes Middle East Healthcare Summit. Финансовых показателей не приведено. Дата: 15.09.2026 (за 3 дня до окна). </w:t>
      </w:r>
      <w:r>
        <w:rPr>
          <w:b/>
          <w:bCs/>
        </w:rPr>
        <w:t xml:space="preserve">Источник не удалось проверить напрямую</w:t>
      </w:r>
      <w:r>
        <w:t xml:space="preserve"> (прямой доступ к странице был заблокирован в среде выполнения, данные взяты только из фрагмента поисковой выдачи) — использовать с осторожностью до самостоятельной проверки. https://www.healthcaremea.com/2026/09/15/magrabi-health-highlights-specialized-care-at-forbes-middle-east-healthcare-summit-2026/</w:t>
      </w:r>
    </w:p>
    <w:p>
      <w:pPr>
        <w:pStyle w:val="ListParagraph"/>
        <w:numPr>
          <w:ilvl w:val="0"/>
          <w:numId w:val="1"/>
        </w:numPr>
        <w:spacing w:after="80"/>
      </w:pPr>
      <w:r>
        <w:rPr>
          <w:b/>
          <w:bCs/>
        </w:rPr>
        <w:t xml:space="preserve">PureHealth (Абу-Даби) — количественно измеримый кейс интеграции межстрановой сети клиник</w:t>
      </w:r>
      <w:r>
        <w:t xml:space="preserve">: после приобретения Hellenic Healthcare Group (Греция/Кипр, 11 больниц, 23 диагностических центра) группа показала по итогам 1 полугодия 2026 г.: выручка +9% год к году (14,9 млрд дирхамов ОАЭ), чистая прибыль +20% (1,2 млрд дирхамов, ≈337 млн долл. США), EBITDA +24%, поток пациентов HHG +6% год к году, международные операции — уже 33% выручки группы, загрузка коек — 75%. Дата публикации результатов: 31.07.2026 (за пределами строгого окна; включено как самый сильный из найденных количественно подкреплённый бенчмарк межстрановой интеграции сети клиник). Источник: Economy Middle East. https://economymiddleeast.com/news/purehealth-reports-326-75-million-net-profit-4-06-billion-revenue-h1-2026/</w:t>
      </w:r>
    </w:p>
    <w:p/>
    <w:p>
      <w:pPr>
        <w:spacing w:after="120"/>
      </w:pPr>
      <w:r>
        <w:rPr>
          <w:b/>
          <w:bCs/>
        </w:rPr>
        <w:t xml:space="preserve">Что это значит для нас:</w:t>
      </w:r>
      <w:r>
        <w:t xml:space="preserve"> модель Magrabi Health стоит держать в поле зрения как альтернативный путь международной аккредитации именно для узкоспециализированной хирургической клиники — специализированная сетевая аккредитация может оказаться более реалистичной целью, чем JCI многопрофильного уровня (требует отдельной проверки источника перед использованием в стратегических материалах). Показатели PureHealth дают ориентир того, как выглядит «успешная» интеграция сети в цифрах (рост выручки, прибыли, загрузки) — полезная база для сравнения в уменьшенном масштабе, если УК в будущем будет оценивать эффект от присоединения новой клиники или направления.</w:t>
      </w:r>
    </w:p>
    <w:p/>
    <w:p>
      <w:pPr>
        <w:pBdr>
          <w:bottom w:val="single" w:color="AAAAAA" w:sz="6" w:space="1"/>
        </w:pBdr>
        <w:spacing w:after="200"/>
      </w:pPr>
    </w:p>
    <w:p/>
    <w:p>
      <w:pPr>
        <w:pStyle w:val="Heading2"/>
        <w:spacing w:after="120" w:before="240"/>
      </w:pPr>
      <w:r>
        <w:t xml:space="preserve">Рекомендации к применению</w:t>
      </w:r>
    </w:p>
    <w:p/>
    <w:p>
      <w:pPr>
        <w:pStyle w:val="ListParagraph"/>
        <w:numPr>
          <w:ilvl w:val="0"/>
          <w:numId w:val="2"/>
        </w:numPr>
        <w:spacing w:after="80"/>
      </w:pPr>
      <w:r>
        <w:rPr>
          <w:b/>
          <w:bCs/>
        </w:rPr>
        <w:t xml:space="preserve">Пилотировать более раннее многоступенчатое AI-сопровождение пациента перед операцией</w:t>
      </w:r>
      <w:r>
        <w:t xml:space="preserve"> в хирургической клинике по модели OHSU — с эскалацией к живому координатору при признаках риска отмены (раздел 1).</w:t>
      </w:r>
    </w:p>
    <w:p>
      <w:pPr>
        <w:pStyle w:val="ListParagraph"/>
        <w:numPr>
          <w:ilvl w:val="0"/>
          <w:numId w:val="2"/>
        </w:numPr>
        <w:spacing w:after="80"/>
      </w:pPr>
      <w:r>
        <w:rPr>
          <w:b/>
          <w:bCs/>
        </w:rPr>
        <w:t xml:space="preserve">Перед наймом дополнительных врачей для сокращения очереди в клинике лактации или сне/нейро-лонгевити</w:t>
      </w:r>
      <w:r>
        <w:t xml:space="preserve"> — сначала протестировать самостоятельную запись, снижение неявок и делегирование части приёма среднему медперсоналу; эффект от простого расширения штата может быть переоценён (раздел 1).</w:t>
      </w:r>
    </w:p>
    <w:p>
      <w:pPr>
        <w:pStyle w:val="ListParagraph"/>
        <w:numPr>
          <w:ilvl w:val="0"/>
          <w:numId w:val="2"/>
        </w:numPr>
        <w:spacing w:after="80"/>
      </w:pPr>
      <w:r>
        <w:rPr>
          <w:b/>
          <w:bCs/>
        </w:rPr>
        <w:t xml:space="preserve">Ввести формальное правило запуска ИИ-пилотов</w:t>
      </w:r>
      <w:r>
        <w:t xml:space="preserve"> (запись, контакт-центр, RCM): ни один пилот не стартует без базовой метрики, целевого ROI и персонально ответственного сотрудника — по модели HFMA (раздел 2).</w:t>
      </w:r>
    </w:p>
    <w:p>
      <w:pPr>
        <w:pStyle w:val="ListParagraph"/>
        <w:numPr>
          <w:ilvl w:val="0"/>
          <w:numId w:val="2"/>
        </w:numPr>
        <w:spacing w:after="80"/>
      </w:pPr>
      <w:r>
        <w:rPr>
          <w:b/>
          <w:bCs/>
        </w:rPr>
        <w:t xml:space="preserve">Рассмотреть ambient AI-документирование приёма как быстро окупаемый пилот</w:t>
      </w:r>
      <w:r>
        <w:t xml:space="preserve"> снижения административной нагрузки и выгорания — тема второй раз подряд подтверждена независимыми исследованиями (раздел 2).</w:t>
      </w:r>
    </w:p>
    <w:p>
      <w:pPr>
        <w:pStyle w:val="ListParagraph"/>
        <w:numPr>
          <w:ilvl w:val="0"/>
          <w:numId w:val="2"/>
        </w:numPr>
        <w:spacing w:after="80"/>
      </w:pPr>
      <w:r>
        <w:rPr>
          <w:b/>
          <w:bCs/>
        </w:rPr>
        <w:t xml:space="preserve">При подготовке хирургической клиники к международной аккредитации выстраивать собственную систему KPI качества и управления рисками</w:t>
      </w:r>
      <w:r>
        <w:t xml:space="preserve">, не рассчитывая на внешний бенчмарк эффективности JCI именно для амбулаторной хирургии — такого бенчмарка не существует в академической литературе (раздел 3).</w:t>
      </w:r>
    </w:p>
    <w:p>
      <w:pPr>
        <w:pStyle w:val="ListParagraph"/>
        <w:numPr>
          <w:ilvl w:val="0"/>
          <w:numId w:val="2"/>
        </w:numPr>
        <w:spacing w:after="80"/>
      </w:pPr>
      <w:r>
        <w:rPr>
          <w:b/>
          <w:bCs/>
        </w:rPr>
        <w:t xml:space="preserve">Провести аудит нехирургических точек контакта с пациентом</w:t>
      </w:r>
      <w:r>
        <w:t xml:space="preserve"> (запись, регистратура, портал/личный кабинет) как отдельного KPI лояльности во всех трёх клиниках — по данным опроса, это сильнее влияет на удержание, чем клиническое качество (раздел 6).</w:t>
      </w:r>
    </w:p>
    <w:p>
      <w:pPr>
        <w:pStyle w:val="ListParagraph"/>
        <w:numPr>
          <w:ilvl w:val="0"/>
          <w:numId w:val="2"/>
        </w:numPr>
        <w:spacing w:after="80"/>
      </w:pPr>
      <w:r>
        <w:rPr>
          <w:b/>
          <w:bCs/>
        </w:rPr>
        <w:t xml:space="preserve">Внедрить стандартную процедуру «попросить отзыв после визита»</w:t>
      </w:r>
      <w:r>
        <w:t xml:space="preserve"> как недорогой и высокоэффективный инструмент управления репутацией (раздел 6).</w:t>
      </w:r>
    </w:p>
    <w:p>
      <w:pPr>
        <w:pStyle w:val="ListParagraph"/>
        <w:numPr>
          <w:ilvl w:val="0"/>
          <w:numId w:val="2"/>
        </w:numPr>
        <w:spacing w:after="80"/>
      </w:pPr>
      <w:r>
        <w:rPr>
          <w:b/>
          <w:bCs/>
        </w:rPr>
        <w:t xml:space="preserve">При структурировании любых сделок или партнёрств закладывать отдельный бюджет и график на пост-интеграционный период</w:t>
      </w:r>
      <w:r>
        <w:t xml:space="preserve"> (объединение процессов, МИС, персонала) — это определяет успех сделки сильнее, чем её условия на момент закрытия (раздел 7).</w:t>
      </w:r>
    </w:p>
    <w:p>
      <w:pPr>
        <w:pStyle w:val="ListParagraph"/>
        <w:numPr>
          <w:ilvl w:val="0"/>
          <w:numId w:val="2"/>
        </w:numPr>
        <w:spacing w:after="80"/>
      </w:pPr>
      <w:r>
        <w:rPr>
          <w:b/>
          <w:bCs/>
        </w:rPr>
        <w:t xml:space="preserve">С осторожностью подходить к запуску новых направлений в перенасыщенных нишах</w:t>
      </w:r>
      <w:r>
        <w:t xml:space="preserve"> (например, эстетические/стоматологические роллап-категории) без явной дифференциации — рынок M&amp;A показывает сжатие мультипликаторов именно в таких сегментах (раздел 7).</w:t>
      </w:r>
    </w:p>
    <w:p>
      <w:pPr>
        <w:pStyle w:val="ListParagraph"/>
        <w:numPr>
          <w:ilvl w:val="0"/>
          <w:numId w:val="2"/>
        </w:numPr>
        <w:spacing w:after="80"/>
      </w:pPr>
      <w:r>
        <w:rPr>
          <w:b/>
          <w:bCs/>
        </w:rPr>
        <w:t xml:space="preserve">Держать в поле зрения модель специализированной сетевой аккредитации (Magrabi Health) и итоги конференции ISQua (Дублин, 27–30.09.2026)</w:t>
      </w:r>
      <w:r>
        <w:t xml:space="preserve"> как материал для следующего выпуска — оба направления могут дать более практичный путь к международному признанию качества, чем JCI полного профиля (разделы 3, 8).</w:t>
      </w:r>
    </w:p>
    <w:p/>
    <w:p>
      <w:pPr>
        <w:pBdr>
          <w:bottom w:val="single" w:color="AAAAAA" w:sz="6" w:space="1"/>
        </w:pBdr>
        <w:spacing w:after="200"/>
      </w:pPr>
    </w:p>
    <w:p/>
    <w:p>
      <w:pPr>
        <w:pStyle w:val="Heading2"/>
        <w:spacing w:after="120" w:before="240"/>
      </w:pPr>
      <w:r>
        <w:t xml:space="preserve">Список источников</w:t>
      </w:r>
    </w:p>
    <w:p/>
    <w:p>
      <w:pPr>
        <w:pStyle w:val="ListParagraph"/>
        <w:numPr>
          <w:ilvl w:val="0"/>
          <w:numId w:val="2"/>
        </w:numPr>
        <w:spacing w:after="80"/>
      </w:pPr>
      <w:r>
        <w:t xml:space="preserve">Becker's Hospital Review — "Preparing patients earlier: How OHSU reduced targeted late surgical cancellations by 50%", 23.09.2026. https://www.beckershospitalreview.com/leadership/preparing-patients-earlier-how-ohsu-reduced-targeted-late-surgical-cancellations-by-50/</w:t>
      </w:r>
    </w:p>
    <w:p>
      <w:pPr>
        <w:pStyle w:val="ListParagraph"/>
        <w:numPr>
          <w:ilvl w:val="0"/>
          <w:numId w:val="2"/>
        </w:numPr>
        <w:spacing w:after="80"/>
      </w:pPr>
      <w:r>
        <w:t xml:space="preserve">NEJM Catalyst Innovations in Care Delivery — Dafny L., Glied S., Lee T.H., о времени ожидания к специалистам и эффекте индуцированного спроса, 15.09.2026. https://catalyst.nejm.org/doi/full/10.1056/CAT.26.0077</w:t>
      </w:r>
    </w:p>
    <w:p>
      <w:pPr>
        <w:pStyle w:val="ListParagraph"/>
        <w:numPr>
          <w:ilvl w:val="0"/>
          <w:numId w:val="2"/>
        </w:numPr>
        <w:spacing w:after="80"/>
      </w:pPr>
      <w:r>
        <w:t xml:space="preserve">HFMA — "Revenue cycle AI demands a tougher set of questions", 21.09.2026. https://www.hfma.org/technology/ai/revenue-cycle-ai-demands-a-tougher-set-of-questions/</w:t>
      </w:r>
    </w:p>
    <w:p>
      <w:pPr>
        <w:pStyle w:val="ListParagraph"/>
        <w:numPr>
          <w:ilvl w:val="0"/>
          <w:numId w:val="2"/>
        </w:numPr>
        <w:spacing w:after="80"/>
      </w:pPr>
      <w:r>
        <w:t xml:space="preserve">JAMIA Open / University of Toronto — исследование об ambient AI-скрайбах и снижении времени документирования на 69,1%, 15–16.09.2026. https://www.utoronto.ca/news/ai-scribes-could-reduce-physicians-administrative-burden-help-ease-burnout-study</w:t>
      </w:r>
    </w:p>
    <w:p>
      <w:pPr>
        <w:pStyle w:val="ListParagraph"/>
        <w:numPr>
          <w:ilvl w:val="0"/>
          <w:numId w:val="2"/>
        </w:numPr>
        <w:spacing w:after="80"/>
      </w:pPr>
      <w:r>
        <w:t xml:space="preserve">Healthcare (MDPI), т. 14, вып. 17 — систематический обзор доказательной базы JCI-аккредитации в амбулаторной хирургии, первая половина сентября 2026 (точная дата не подтверждена). https://www.mdpi.com/2227-9032/14/17/2858</w:t>
      </w:r>
    </w:p>
    <w:p>
      <w:pPr>
        <w:pStyle w:val="ListParagraph"/>
        <w:numPr>
          <w:ilvl w:val="0"/>
          <w:numId w:val="2"/>
        </w:numPr>
        <w:spacing w:after="80"/>
      </w:pPr>
      <w:r>
        <w:t xml:space="preserve">ISQua — анонс 42-й международной конференции по качеству и безопасности в здравоохранении, Дублин, 27–30.09.2026. https://isqua.org/events2/dublin-2026.html</w:t>
      </w:r>
    </w:p>
    <w:p>
      <w:pPr>
        <w:pStyle w:val="ListParagraph"/>
        <w:numPr>
          <w:ilvl w:val="0"/>
          <w:numId w:val="2"/>
        </w:numPr>
        <w:spacing w:after="80"/>
      </w:pPr>
      <w:r>
        <w:t xml:space="preserve">Outlook Business — о франшизном масштабировании Chandan Healthcare (Индия), 23.09.2026. https://www.outlookbusiness.com/spotlight/news-wire/chandan-healthcare-scales-franchise-network-to-500-franchises-targets-1-000-franchises-by-fy27-end</w:t>
      </w:r>
    </w:p>
    <w:p>
      <w:pPr>
        <w:pStyle w:val="ListParagraph"/>
        <w:numPr>
          <w:ilvl w:val="0"/>
          <w:numId w:val="2"/>
        </w:numPr>
        <w:spacing w:after="80"/>
      </w:pPr>
      <w:r>
        <w:t xml:space="preserve">Medical Economics — "Why better culture, not more pay, can heal your workplace woes", ~24.09.2026. https://www.medicaleconomics.com/view/why-better-culture-not-more-pay-can-heal-your-workplace-woes</w:t>
      </w:r>
    </w:p>
    <w:p>
      <w:pPr>
        <w:pStyle w:val="ListParagraph"/>
        <w:numPr>
          <w:ilvl w:val="0"/>
          <w:numId w:val="2"/>
        </w:numPr>
        <w:spacing w:after="80"/>
      </w:pPr>
      <w:r>
        <w:t xml:space="preserve">Vademecum — о региональных финансовых мерах поддержки наставничества врачей в России, 06.08.2026. https://www.vademec.ru/news/2026/08/06/regiony-nachnut-vvodit-dopolnitelnye-mery-podderzhki-dlya-prokhodyashchikh-nastavnichestvo-medikov/</w:t>
      </w:r>
    </w:p>
    <w:p>
      <w:pPr>
        <w:pStyle w:val="ListParagraph"/>
        <w:numPr>
          <w:ilvl w:val="0"/>
          <w:numId w:val="2"/>
        </w:numPr>
        <w:spacing w:after="80"/>
      </w:pPr>
      <w:r>
        <w:t xml:space="preserve">Medical Economics — "Finding the right mix of staff and technology that keeps patients coming back" (опрос 10 000 потребителей), 22.09.2026. https://www.medicaleconomics.com/view/finding-the-right-mix-of-staff-and-technology-that-keeps-patients-coming-back</w:t>
      </w:r>
    </w:p>
    <w:p>
      <w:pPr>
        <w:pStyle w:val="ListParagraph"/>
        <w:numPr>
          <w:ilvl w:val="0"/>
          <w:numId w:val="2"/>
        </w:numPr>
        <w:spacing w:after="80"/>
      </w:pPr>
      <w:r>
        <w:t xml:space="preserve">LevinPro Healthcare (Levin Associates) — обзоры конференции McGuireWoods Healthcare Growth &amp; Operations 2026, 18.09.2026 и 24.09.2026. https://healthcare.levinassociates.com/2026/09/18/raising-the-bar-mcguirewoods-2026-healthcare-growth-and-operations-conference-recap/</w:t>
      </w:r>
    </w:p>
    <w:p>
      <w:pPr>
        <w:pStyle w:val="ListParagraph"/>
        <w:numPr>
          <w:ilvl w:val="0"/>
          <w:numId w:val="2"/>
        </w:numPr>
        <w:spacing w:after="80"/>
      </w:pPr>
      <w:r>
        <w:t xml:space="preserve">LevinPro Healthcare — аналитика по региональной структуре M&amp;A в здравоохранении США, 21.09.2026. https://healthcare.levinassociates.com/2026/09/21/top-states-for-healthcare-ma/</w:t>
      </w:r>
    </w:p>
    <w:p>
      <w:pPr>
        <w:pStyle w:val="ListParagraph"/>
        <w:numPr>
          <w:ilvl w:val="0"/>
          <w:numId w:val="2"/>
        </w:numPr>
        <w:spacing w:after="80"/>
      </w:pPr>
      <w:r>
        <w:t xml:space="preserve">Becker's Hospital Review — о приобретении Independence Health System системой WVU Health System, закрытие сделки в окне 09.2026 (первичное сообщение — июнь 2026). https://www.beckershospitalreview.com/hospital-transactions-and-valuation/wvu-health-system-to-acquire-5-hospital-pennsylvania-system/</w:t>
      </w:r>
    </w:p>
    <w:p>
      <w:pPr>
        <w:pStyle w:val="ListParagraph"/>
        <w:numPr>
          <w:ilvl w:val="0"/>
          <w:numId w:val="2"/>
        </w:numPr>
        <w:spacing w:after="80"/>
      </w:pPr>
      <w:r>
        <w:t xml:space="preserve">HealthcareMEA — о специализированной сетевой аккредитации Magrabi Health, 15.09.2026 (источник не проверен напрямую). https://www.healthcaremea.com/2026/09/15/magrabi-health-highlights-specialized-care-at-forbes-middle-east-healthcare-summit-2026/</w:t>
      </w:r>
    </w:p>
    <w:p>
      <w:pPr>
        <w:pStyle w:val="ListParagraph"/>
        <w:numPr>
          <w:ilvl w:val="0"/>
          <w:numId w:val="2"/>
        </w:numPr>
        <w:spacing w:after="80"/>
      </w:pPr>
      <w:r>
        <w:t xml:space="preserve">Economy Middle East — финансовые результаты PureHealth за 1 полугодие 2026 г. и интеграция Hellenic Healthcare Group, 31.07.2026. https://economymiddleeast.com/news/purehealth-reports-326-75-million-net-profit-4-06-billion-revenue-h1-2026/</w:t>
      </w:r>
    </w:p>
    <w:p>
      <w:pPr>
        <w:pStyle w:val="ListParagraph"/>
        <w:numPr>
          <w:ilvl w:val="0"/>
          <w:numId w:val="2"/>
        </w:numPr>
        <w:spacing w:after="80"/>
      </w:pPr>
      <w:r>
        <w:t xml:space="preserve">Grant Thornton — о модели shared-services как инструменте операционной дисциплины в здравоохранении, 27.02.2026 (фоновый источник, за пределами окна включения, не отдельная находка). https://www.grantthornton.com/insights/articles/health-care/2026/healthcare-finds-leverage-in-shared-services</w:t>
      </w:r>
    </w:p>
    <w:p/>
    <w:p>
      <w:pPr>
        <w:pBdr>
          <w:bottom w:val="single" w:color="AAAAAA" w:sz="6" w:space="1"/>
        </w:pBdr>
        <w:spacing w:after="200"/>
      </w:pPr>
    </w:p>
    <w:p/>
    <w:p>
      <w:pPr>
        <w:spacing w:after="120"/>
      </w:pPr>
      <w:r>
        <w:rPr>
          <w:i/>
          <w:iCs/>
        </w:rPr>
        <w:t xml:space="preserve">Отчёт подготовлен ИИ-агентом мониторинга международных практик управления здравоохранением. Ряд материалов включён с явной пометкой о неподтверждённой точной дате публикации или недоступности первоисточника для прямой проверки — использовать такие пункты с дополнительной осторожностью до самостоятельной верификации. Пробел по стандартизации бэк-офиса между разнопрофильными клиниками внутри одной УК сохраняется третий выпуск подряд — рекомендуется точечный целевой поиск (например, кейсы российских сетей «Мать и дитя», «Медси», «Медскан» или интервью их менеджмента) в одном из следующих циклов.</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2026-09-25T04:18:05.239Z</dcterms:created>
  <dcterms:modified xsi:type="dcterms:W3CDTF">2026-09-25T04:18:05.239Z</dcterms:modified>
</cp:coreProperties>
</file>

<file path=docProps/custom.xml><?xml version="1.0" encoding="utf-8"?>
<Properties xmlns="http://schemas.openxmlformats.org/officeDocument/2006/custom-properties" xmlns:vt="http://schemas.openxmlformats.org/officeDocument/2006/docPropsVTypes"/>
</file>