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rPr>
          <w:b/>
          <w:bCs/>
          <w:sz w:val="36"/>
          <w:szCs w:val="36"/>
        </w:rPr>
        <w:t xml:space="preserve">Мониторинг международных практик управления здравоохранением</w:t>
      </w:r>
    </w:p>
    <w:p>
      <w:pPr>
        <w:spacing w:after="160"/>
        <w:jc w:val="left"/>
      </w:pPr>
      <w:r>
        <w:rPr>
          <w:b/>
          <w:bCs/>
        </w:rPr>
        <w:t xml:space="preserve">Период охвата:</w:t>
      </w:r>
      <w:r>
        <w:t xml:space="preserve"> 12–18 сентября 2026 г. (строгое окно поиска); дополнительно включено 4 материала за июнь–август 2026 г. — каждый отмечен фактической датой публикации и включён точечно, поскольку прямо закрывает пробелы, зафиксированные в предыдущем отчёте (13.08–12.09.2026), либо содержит редкие для темы измеримые результаты</w:t>
      </w:r>
    </w:p>
    <w:p>
      <w:pPr>
        <w:spacing w:after="160"/>
        <w:jc w:val="left"/>
      </w:pPr>
      <w:r>
        <w:rPr>
          <w:b/>
          <w:bCs/>
        </w:rPr>
        <w:t xml:space="preserve">Дата составления:</w:t>
      </w:r>
      <w:r>
        <w:t xml:space="preserve"> 18 сентября 2026 г.</w:t>
      </w:r>
    </w:p>
    <w:p>
      <w:pPr>
        <w:spacing w:after="160"/>
        <w:jc w:val="left"/>
      </w:pPr>
      <w:r>
        <w:rPr>
          <w:b/>
          <w:bCs/>
        </w:rPr>
        <w:t xml:space="preserve">Подготовлено для:</w:t>
      </w:r>
      <w:r>
        <w:t xml:space="preserve"> собственника и генерального директора управляющей компании частных медицинских клиник (хирургическая клиника, клиника женского здоровья/лактации, проект премиального сна и нейро-лонгевити)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00"/>
      </w:pPr>
      <w:r>
        <w:rPr>
          <w:b/>
          <w:bCs/>
          <w:color w:val="1F3864"/>
          <w:sz w:val="28"/>
          <w:szCs w:val="28"/>
        </w:rPr>
        <w:t xml:space="preserve">Методологическое примечание</w:t>
      </w:r>
    </w:p>
    <w:p>
      <w:pPr>
        <w:spacing w:after="160"/>
        <w:jc w:val="left"/>
      </w:pPr>
      <w:r>
        <w:t xml:space="preserve">Строгое недельное окно (12–18.09.2026) оказалось бедным на профильную управленческую аналитику уровня McKinsey/Deloitte/HBR — это ожидаемо для таких коротких интервалов и совпадает с опытом предыдущего отчёта. Часть проверенных находок (вендорские блоги, недатированные «гайды 2026», материалы с неподтверждённой первоисточником датой) отсеяна как не соответствующая требованиям достоверности. Там, где источник был технически недоступен для прямого чтения (сетевые ограничения на ряд доменов — Becker's, PubMed, Springer, GS1.org, Gulf News и др.), это отмечено отдельно, а дата указана как «по данным поисковой выдачи, не подтверждена первоисточником». Все цифры приведены только там, где они прямо указаны в источнике.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00"/>
      </w:pPr>
      <w:r>
        <w:rPr>
          <w:b/>
          <w:bCs/>
          <w:color w:val="1F3864"/>
          <w:sz w:val="28"/>
          <w:szCs w:val="28"/>
        </w:rPr>
        <w:t xml:space="preserve">Executive Summary</w:t>
      </w:r>
    </w:p>
    <w:p>
      <w:pPr>
        <w:spacing w:after="100"/>
        <w:ind w:left="360"/>
      </w:pPr>
      <w:r>
        <w:rPr>
          <w:b/>
          <w:bCs/>
        </w:rPr>
        <w:t xml:space="preserve">1. </w:t>
      </w:r>
      <w:r>
        <w:rPr>
          <w:b/>
          <w:bCs/>
        </w:rPr>
        <w:t xml:space="preserve">Lean-инструмент с измеримым 5-летним ROI</w:t>
      </w:r>
      <w:r>
        <w:t xml:space="preserve">: визуальное управление на местах (gemba-доски) в Truman VA Medical Center принесло $2,85 млн задокументированного эффекта и более 3000 предложений по улучшению процессов за 5 лет — редкий случай, когда Lean-практика в здравоохранении показана в долгосрочной перспективе с цифрами, а не как разовый пилот.</w:t>
      </w:r>
    </w:p>
    <w:p>
      <w:pPr>
        <w:spacing w:after="10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DNV Healthcare USA (NIAHO) — жизнеспособная альтернатива JCI</w:t>
      </w:r>
      <w:r>
        <w:t xml:space="preserve">: CMS продлила одобрение этой программы аккредитации до 2032 г.; стандарт построен на базе ISO 9001, что может быть более понятным вектором для клиники, уже работающей по международным стандартам качества в другой отрасли.</w:t>
      </w:r>
    </w:p>
    <w:p>
      <w:pPr>
        <w:spacing w:after="100"/>
        <w:ind w:left="360"/>
      </w:pPr>
      <w:r>
        <w:rPr>
          <w:b/>
          <w:bCs/>
        </w:rPr>
        <w:t xml:space="preserve">3. </w:t>
      </w:r>
      <w:r>
        <w:rPr>
          <w:b/>
          <w:bCs/>
        </w:rPr>
        <w:t xml:space="preserve">Membership-модель как инструмент удержания врачей, а не только монетизации пациентов</w:t>
      </w:r>
      <w:r>
        <w:t xml:space="preserve">: кейс в Вермонте показывает, что гибридная модель (членский взнос + страховое возмещение) используется штатом как ответ на отток врачей первичного звена — управленческий, а не только маркетинговый инструмент.</w:t>
      </w:r>
    </w:p>
    <w:p>
      <w:pPr>
        <w:spacing w:after="100"/>
        <w:ind w:left="360"/>
      </w:pPr>
      <w:r>
        <w:rPr>
          <w:b/>
          <w:bCs/>
        </w:rPr>
        <w:t xml:space="preserve">4. </w:t>
      </w:r>
      <w:r>
        <w:rPr>
          <w:b/>
          <w:bCs/>
        </w:rPr>
        <w:t xml:space="preserve">Сделки по объединению клиник всё чаще структурируются через обязательства, а не только деньги</w:t>
      </w:r>
      <w:r>
        <w:t xml:space="preserve">: слияние Sanford Health и North Memorial Health зафиксировало $600 млн конкретных инвестиционных обязательств и сохранение статуса травмоцентра на 10 лет — шаблон, снижающий регуляторные риски объединения активов.</w:t>
      </w:r>
    </w:p>
    <w:p>
      <w:pPr>
        <w:spacing w:after="100"/>
        <w:ind w:left="360"/>
      </w:pPr>
      <w:r>
        <w:rPr>
          <w:b/>
          <w:bCs/>
        </w:rPr>
        <w:t xml:space="preserve">5. </w:t>
      </w:r>
      <w:r>
        <w:rPr>
          <w:b/>
          <w:bCs/>
        </w:rPr>
        <w:t xml:space="preserve">Восполнен пробел прошлого отчёта по бенчмаркам Ближнего Востока</w:t>
      </w:r>
      <w:r>
        <w:t xml:space="preserve">: сеть Cleveland Clinic Abu Dhabi (M42, ОАЭ) показывает, как стандартизация цепочки поставок (GS1, RFID) даёт снижение дефицита расходных материалов на 75% и нулевую отмену операций высокой акуитности из-за нехватки материалов — прямой операционный ориентир для хирургической клиники.</w:t>
      </w:r>
    </w:p>
    <w:p>
      <w:pPr>
        <w:spacing w:after="100"/>
        <w:ind w:left="360"/>
      </w:pPr>
      <w:r>
        <w:rPr>
          <w:b/>
          <w:bCs/>
        </w:rPr>
        <w:t xml:space="preserve">6. </w:t>
      </w:r>
      <w:r>
        <w:rPr>
          <w:b/>
          <w:bCs/>
        </w:rPr>
        <w:t xml:space="preserve">Управление ИИ-инициативами через модель «широкий поиск идей, узкое одобрение»</w:t>
      </w:r>
      <w:r>
        <w:t xml:space="preserve">: Mayo Clinic описывает принцип, при котором право предлагать применения ИИ есть у любого сотрудника (более 500 внедрённых моделей), но перед клиническим/операционным разворотом действует единая централизованная проверка — модель governance, применимая независимо от масштаба клиники.</w:t>
      </w:r>
    </w:p>
    <w:p>
      <w:pPr>
        <w:spacing w:after="100"/>
        <w:ind w:left="360"/>
      </w:pPr>
      <w:r>
        <w:rPr>
          <w:b/>
          <w:bCs/>
        </w:rPr>
        <w:t xml:space="preserve">7. </w:t>
      </w:r>
      <w:r>
        <w:rPr>
          <w:b/>
          <w:bCs/>
        </w:rPr>
        <w:t xml:space="preserve">Бутиковая сеть лонгевити-клиник (Longevium, Дубай) выходит на модель «непрерывность лечения между городами»</w:t>
      </w:r>
      <w:r>
        <w:t xml:space="preserve">: прямой референс бизнес-модели для проекта премиального сна/нейро-лонгевити заказчика — пациент начинает программу в одной клинике сети и продолжает в другой стране.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00"/>
      </w:pPr>
      <w:r>
        <w:rPr>
          <w:b/>
          <w:bCs/>
          <w:color w:val="1F3864"/>
          <w:sz w:val="28"/>
          <w:szCs w:val="28"/>
        </w:rPr>
        <w:t xml:space="preserve">1. Операционное управление клиникой</w:t>
      </w:r>
    </w:p>
    <w:p>
      <w:pPr>
        <w:spacing w:after="160"/>
        <w:jc w:val="left"/>
      </w:pPr>
      <w:r>
        <w:rPr>
          <w:b/>
          <w:bCs/>
        </w:rPr>
        <w:t xml:space="preserve">Тренд периода:</w:t>
      </w:r>
      <w:r>
        <w:t xml:space="preserve"> новых материалов именно уровня «независимое исследование» в узком окне немного; главная находка — редкий пример долгосрочного (5-летний период) измерения эффекта Lean-практики.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Gemba-доски (визуальное управление на местах) в Truman VA Medical Center (США)</w:t>
      </w:r>
      <w:r>
        <w:t xml:space="preserve">: пятилетний обзор внедрения системы gemba-досок в 69 подразделениях госпиталя. Результаты: собрано свыше 3000 предложений по улучшению процессов от персонала, задокументированный совокупный эффект (ROI) — $2,85 млн за 5 лет, отмечен рост вовлечённости персонала и психологической безопасности при обсуждении проблем. Источник: Journal of Healthcare Management, т. 71, №5 (сентябрь–октябрь 2026), стр. 347–359, авторы Tucker J., Noble J., Anderson T.J.H. Точная дата онлайн-публикации внутри номера не подтверждена, известен только номер выпуска. </w:t>
      </w:r>
      <w:r>
        <w:rPr>
          <w:color w:val="1155CC"/>
          <w:u w:val="single"/>
        </w:rPr>
        <w:t xml:space="preserve">https://www.ovid.com/jnls/jhmonline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Отраслевой сигнал (не отдельное исследование)</w:t>
      </w:r>
      <w:r>
        <w:t xml:space="preserve">: на конференции Becker's 11th Annual Health IT + Digital Health + RCM (Чикаго, 14–17.09.2026) одна из сессий (16.09.2026) была посвящена технологиям, ускоряющим доступ пациентов — запись, направления, телемедицина. Это программа мероприятия, а не кейс с измеримыми результатами, привожу как индикатор фокуса отрасли. </w:t>
      </w:r>
      <w:r>
        <w:rPr>
          <w:color w:val="1155CC"/>
          <w:u w:val="single"/>
        </w:rPr>
        <w:t xml:space="preserve">https://conferences.beckershospitalreview.com/HIT_RCM_2026/session/3733225</w:t>
      </w:r>
    </w:p>
    <w:p>
      <w:pPr>
        <w:spacing w:after="160"/>
        <w:jc w:val="left"/>
      </w:pPr>
      <w:r>
        <w:rPr>
          <w:b/>
          <w:bCs/>
        </w:rPr>
        <w:t xml:space="preserve">Что это значит для нас:</w:t>
      </w:r>
      <w:r>
        <w:t xml:space="preserve"> формат gemba-досок (короткие ежедневные встречи у доски с фиксацией проблем и предложений персонала) — низкозатратный инструмент, который можно пилотировать в одной клинике УК (например, в хирургической, где сбои потока пациентов стоят дороже всего) без крупных инвестиций в ПО; ценность подтверждена не разовым пилотом, а пятилетним треком.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00"/>
      </w:pPr>
      <w:r>
        <w:rPr>
          <w:b/>
          <w:bCs/>
          <w:color w:val="1F3864"/>
          <w:sz w:val="28"/>
          <w:szCs w:val="28"/>
        </w:rPr>
        <w:t xml:space="preserve">2. Цифровизация и ИИ в управлении</w:t>
      </w:r>
    </w:p>
    <w:p>
      <w:pPr>
        <w:spacing w:after="160"/>
        <w:jc w:val="left"/>
      </w:pPr>
      <w:r>
        <w:rPr>
          <w:b/>
          <w:bCs/>
        </w:rPr>
        <w:t xml:space="preserve">Тренд периода:</w:t>
      </w:r>
      <w:r>
        <w:t xml:space="preserve"> конкретных релизов нового поколения МИС/CRM в узком окне не найдено; агенты Epic, Oracle Health AI-портал и аналогичные анонсы относятся к более ранним месяцам 2026 г. и не являются новыми для этого выпуска. Зафиксирован общий отраслевой сигнал вокруг конференции Becker's.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Рост доли клиник, использующих agentic AI для рабочих процессов</w:t>
      </w:r>
      <w:r>
        <w:t xml:space="preserve">: по данным, процитированным на конференции Becker's (14–17.09.2026), около 36% опрошенных руководителей здравоохранения США уже используют agentic AI для поддержки операционных процессов (планирование, контакт-центры), более 70% считают автоматизированные платформы управления операциями критически важными для целей 2026 г. Точная дата и методология исходного опроса не подтверждены независимо — приведено как индикативный отраслевой сигнал, а не проверенное исследование. </w:t>
      </w:r>
      <w:r>
        <w:rPr>
          <w:color w:val="1155CC"/>
          <w:u w:val="single"/>
        </w:rPr>
        <w:t xml:space="preserve">https://www.beckershospitalreview.com/</w:t>
      </w:r>
    </w:p>
    <w:p>
      <w:pPr>
        <w:spacing w:after="160"/>
        <w:jc w:val="left"/>
      </w:pPr>
      <w:r>
        <w:rPr>
          <w:b/>
          <w:bCs/>
        </w:rPr>
        <w:t xml:space="preserve">Что это значит для нас:</w:t>
      </w:r>
      <w:r>
        <w:t xml:space="preserve"> доля 36% (при её приблизительности) подтверждает, что agentic AI для записи/колл-центра переходит из категории экспериментов в рабочий инструмент у трети рынка — для УК есть смысл рассматривать пилот именно в контакт-центре/записи (наиболее стандартизируемый процесс), а не пытаться сразу применять ИИ в более сложных управленческих сценариях.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00"/>
      </w:pPr>
      <w:r>
        <w:rPr>
          <w:b/>
          <w:bCs/>
          <w:color w:val="1F3864"/>
          <w:sz w:val="28"/>
          <w:szCs w:val="28"/>
        </w:rPr>
        <w:t xml:space="preserve">3. Качество и аккредитация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CMS продлила одобрение программы аккредитации DNV Healthcare USA (NIAHO) до 26 сентября 2032 г.</w:t>
      </w:r>
      <w:r>
        <w:t xml:space="preserve"> DNV — альтернатива Joint Commission/JCI, стандарт NIAHO построен на основе ISO 9001 в сочетании с федеральными Conditions of Participation. Источник: Federal Register, 17.09.2026. </w:t>
      </w:r>
      <w:r>
        <w:rPr>
          <w:color w:val="1155CC"/>
          <w:u w:val="single"/>
        </w:rPr>
        <w:t xml:space="preserve">https://www.federalregister.gov/documents/2026/09/17/2026-19061/medicare-and-medicaid-programs-application-from-dnv-healthcare-usa-inc-dnv-for-continued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Явный пробел</w:t>
      </w:r>
      <w:r>
        <w:t xml:space="preserve">: новых случаев присвоения JCI-аккредитации конкретным частным клиникам в окне 12–18.09.2026 не найдено. Отдельно отмечу: 27–30.09.2026 в Дублине пройдёт 42-я международная конференция ISQua — крупнейшая профильная площадка по управлению качеством в здравоохранении; материалы по её итогам целесообразно включить в следующий выпуск.</w:t>
      </w:r>
    </w:p>
    <w:p>
      <w:pPr>
        <w:spacing w:after="160"/>
        <w:jc w:val="left"/>
      </w:pPr>
      <w:r>
        <w:rPr>
          <w:b/>
          <w:bCs/>
        </w:rPr>
        <w:t xml:space="preserve">Что это значит для нас:</w:t>
      </w:r>
      <w:r>
        <w:t xml:space="preserve"> если клиника УК уже выстраивает систему качества по ISO 9001 (что для хирургической клиники и клиники лактации может быть проще, если в компании уже есть опыт работы с ISO-стандартами вне медицины), DNV/NIAHO может оказаться более быстрым путём к международной аккредитации, чем JCI — стоит сравнить оба варианта по стоимости и срокам именно для профиля этих клиник.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00"/>
      </w:pPr>
      <w:r>
        <w:rPr>
          <w:b/>
          <w:bCs/>
          <w:color w:val="1F3864"/>
          <w:sz w:val="28"/>
          <w:szCs w:val="28"/>
        </w:rPr>
        <w:t xml:space="preserve">4. Финансовая модель и бизнес-модели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Membership-модель первичной помощи как ответ на дефицит врачей (Вермонт, США)</w:t>
      </w:r>
      <w:r>
        <w:t xml:space="preserve">: практика нурс-практитионера Holly Whitcomb (Horizon Primary Care, South Burlington) работает по гибридной модели «членский взнос + страховое возмещение». По данным Департамента здравоохранения Вермонта, число врачей первичного звена в штате сократилось на 40 человек за 2022–2024 гг., почти треть действующих врачей старше 60 лет; membership-модель в материале описана как инструмент удержания врачей от ухода из профессии, а не только как способ монетизации пациентов. Источник: VTDigger, 11.09.2026 (региональное издание, но фактурный и точно датированный материал). </w:t>
      </w:r>
      <w:r>
        <w:rPr>
          <w:color w:val="1155CC"/>
          <w:u w:val="single"/>
        </w:rPr>
        <w:t xml:space="preserve">https://vtdigger.org/2026/09/11/more-doctors-are-offering-memberships-for-healthcare/</w:t>
      </w:r>
    </w:p>
    <w:p>
      <w:pPr>
        <w:spacing w:after="160"/>
        <w:jc w:val="left"/>
      </w:pPr>
      <w:r>
        <w:rPr>
          <w:b/>
          <w:bCs/>
        </w:rPr>
        <w:t xml:space="preserve">Явный пробел:</w:t>
      </w:r>
      <w:r>
        <w:t xml:space="preserve"> по value-based care, пакетным тарифам, revenue cycle management и франшизному масштабированию клиник в узком окне не найдено нового материала уровня, достаточного для включения в отчёт (проверены McKinsey, CMS, РБК Компании, отраслевые франчайзинговые площадки — все находки либо вне периода, либо недатированные вендорские материалы).</w:t>
      </w:r>
    </w:p>
    <w:p>
      <w:pPr>
        <w:spacing w:after="160"/>
        <w:jc w:val="left"/>
      </w:pPr>
      <w:r>
        <w:rPr>
          <w:b/>
          <w:bCs/>
        </w:rPr>
        <w:t xml:space="preserve">Что это значит для нас:</w:t>
      </w:r>
      <w:r>
        <w:t xml:space="preserve"> логика вермонтского кейса — «подписка удерживает врача, а не только приносит доход клинике» — стоит проверить применительно к клинике лактации, где нагрузка на конкретных специалистов высока: абонементная модель наблюдения может обсуждаться с врачами именно как инструмент снижения их операционной нагрузки (меньше отдельных визитов, более предсказуемый график), а не только как продукт для пациента.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00"/>
      </w:pPr>
      <w:r>
        <w:rPr>
          <w:b/>
          <w:bCs/>
          <w:color w:val="1F3864"/>
          <w:sz w:val="28"/>
          <w:szCs w:val="28"/>
        </w:rPr>
        <w:t xml:space="preserve">5. HR и управление персоналом</w:t>
      </w:r>
    </w:p>
    <w:p>
      <w:pPr>
        <w:spacing w:after="160"/>
        <w:jc w:val="left"/>
      </w:pPr>
      <w:r>
        <w:rPr>
          <w:b/>
          <w:bCs/>
        </w:rPr>
        <w:t xml:space="preserve">Тренд периода:</w:t>
      </w:r>
      <w:r>
        <w:t xml:space="preserve"> подтверждённого материала точно в пределах 12–18.09.2026 по наставничеству и удержанию врачей не найдено — зафиксированный пробел.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Академическая позиция: выгорание — структурная, а не «wellness»-проблема</w:t>
      </w:r>
      <w:r>
        <w:t xml:space="preserve">: статья Lynne S. Moronski (TruMerit / University of Pennsylvania School of Nursing) в журнале JONA (Journal of Nursing Administration) аргументирует, что штатное расписание, дизайн рабочих процессов, административная нагрузка и автономия персонала определяют выгорание сильнее, чем программы благополучия в отрыве от организационных изменений — тезис содержательно совпадает с выводом предыдущего отчёта (эффект ИИ-транскрибации и редизайна PTO), но добавляет отдельный академический источник. </w:t>
      </w:r>
      <w:r>
        <w:rPr>
          <w:b/>
          <w:bCs/>
        </w:rPr>
        <w:t xml:space="preserve">Точная дата публикации не подтверждена</w:t>
      </w:r>
      <w:r>
        <w:t xml:space="preserve"> (в поисковой выдаче указан «июль 2026», проверить через PubMed не удалось из-за сетевых ограничений) — возможно, материал не входит строго в окно 12–18.09. PubMed ID 42316403. </w:t>
      </w:r>
      <w:r>
        <w:rPr>
          <w:color w:val="1155CC"/>
          <w:u w:val="single"/>
        </w:rPr>
        <w:t xml:space="preserve">https://pubmed.ncbi.nlm.nih.gov/42316403/</w:t>
      </w:r>
    </w:p>
    <w:p>
      <w:pPr>
        <w:spacing w:after="160"/>
        <w:jc w:val="left"/>
      </w:pPr>
      <w:r>
        <w:rPr>
          <w:b/>
          <w:bCs/>
        </w:rPr>
        <w:t xml:space="preserve">Что это значит для нас:</w:t>
      </w:r>
      <w:r>
        <w:t xml:space="preserve"> повторное появление тезиса «выгорание решается организационными изменениями, а не тренингами устойчивости» в независимом академическом источнике повышает уверенность в рекомендации из предыдущего отчёта — приоритет пересмотру графиков и административной нагрузки, а не точечным wellness-инициативам, остаётся в силе.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00"/>
      </w:pPr>
      <w:r>
        <w:rPr>
          <w:b/>
          <w:bCs/>
          <w:color w:val="1F3864"/>
          <w:sz w:val="28"/>
          <w:szCs w:val="28"/>
        </w:rPr>
        <w:t xml:space="preserve">6. Пациентский опыт и маркетинг</w:t>
      </w:r>
    </w:p>
    <w:p>
      <w:pPr>
        <w:spacing w:after="160"/>
        <w:jc w:val="left"/>
      </w:pPr>
      <w:r>
        <w:rPr>
          <w:b/>
          <w:bCs/>
        </w:rPr>
        <w:t xml:space="preserve">Тренд периода:</w:t>
      </w:r>
      <w:r>
        <w:t xml:space="preserve"> подтверждённого материала по программам лояльности, репутационному менеджменту и цифровому маркетингу строго в пределах окна не найдено — зафиксированный пробел. Единственная содержательная находка — академическая статья с неподтверждённой точной датой.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Лояльность пациента опосредована издержками переключения и репутацией клиники — включая риск при уходе врача</w:t>
      </w:r>
      <w:r>
        <w:t xml:space="preserve">: исследование (BMC Health Services Research, данные Тайваня, авторы Liu Y.C., Lai H.C., Huang C.M.K.) анализирует связь качества сервиса на уровне врача и клиники с лояльностью пациента через два медиатора — издержки переключения и репутацию — и отдельно учитывает риск потери пациента при уходе «его» врача из клиники. </w:t>
      </w:r>
      <w:r>
        <w:rPr>
          <w:b/>
          <w:bCs/>
        </w:rPr>
        <w:t xml:space="preserve">Точная дата публикации в сентябре 2026 не подтверждена</w:t>
      </w:r>
      <w:r>
        <w:t xml:space="preserve"> (доступен только год журнала, Springer был недоступен для прямой проверки). </w:t>
      </w:r>
      <w:r>
        <w:rPr>
          <w:color w:val="1155CC"/>
          <w:u w:val="single"/>
        </w:rPr>
        <w:t xml:space="preserve">https://link.springer.com/article/10.1186/s12913-026-15579-8</w:t>
      </w:r>
    </w:p>
    <w:p>
      <w:pPr>
        <w:spacing w:after="160"/>
        <w:jc w:val="left"/>
      </w:pPr>
      <w:r>
        <w:rPr>
          <w:b/>
          <w:bCs/>
        </w:rPr>
        <w:t xml:space="preserve">Что это значит для нас:</w:t>
      </w:r>
      <w:r>
        <w:t xml:space="preserve"> явное академическое подтверждение риска «пациент уходит вместе с врачом» — весомый аргумент за то, чтобы часть пациентской лояльности в клиниках УК осознанно строилась на бренде клиники (стандарты сервиса, единая история болезни, узнаваемость самой клиники), а не только на личных отношениях с конкретным специалистом, особенно в хирургической клинике с зависимостью от 1–2 ключевых врачей (риск уже отмечался в предыдущем отчёте применительно к наставничеству).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00"/>
      </w:pPr>
      <w:r>
        <w:rPr>
          <w:b/>
          <w:bCs/>
          <w:color w:val="1F3864"/>
          <w:sz w:val="28"/>
          <w:szCs w:val="28"/>
        </w:rPr>
        <w:t xml:space="preserve">7. Управление сетью/группой клиник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Слияние Sanford Health и North Memorial Health (Миннесота, США) структурировано через обязательства, а не только капитал</w:t>
      </w:r>
      <w:r>
        <w:t xml:space="preserve">: объединение завершено 01.09.2026, образована единая система под брендом Sanford Health. Конкретные регуляторные обязательства сделки: сохранение статуса травмоцентра 1-го уровня в госпитале Robbinsdale минимум на 10 лет, $100 млн на модернизацию этого госпиталя, $500 млн на расширение роддома Maple Grove — всего $600 млн обязательных инвестиций в инфраструктуру штата за 10 лет. Источники: news.sanfordhealth.org, 01.09.2026; Dakota News Now, 01.09.2026. </w:t>
      </w:r>
      <w:r>
        <w:rPr>
          <w:color w:val="1155CC"/>
          <w:u w:val="single"/>
        </w:rPr>
        <w:t xml:space="preserve">https://news.sanfordhealth.org/news/sanford-health-north-memorial-health-complete-partnership/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Фоновый сдвиг в логике PE-инвесторов в здравоохранении</w:t>
      </w:r>
      <w:r>
        <w:t xml:space="preserve">: по материалам конференции HPE Miami 2026 (McKinsey), фокус инвесторов смещается от пассивного владения и стратегического надзора из совета директоров к необходимости иметь собственные операционные компетенции внутри портфельных компаний; качество управления и комплаенс прямо влияют на оценку при выходе из актива. Дата публикации — 06.05.2026, за пределами строгого окна, включено как ранее не освещённый в отчётах ракурс. </w:t>
      </w:r>
      <w:r>
        <w:rPr>
          <w:color w:val="1155CC"/>
          <w:u w:val="single"/>
        </w:rPr>
        <w:t xml:space="preserve">https://www.mckinsey.com/industries/healthcare/our-insights/healthcare-blog/healthcare-private-equity-outlook-takeaways-from-hpe-miami-2026</w:t>
      </w:r>
    </w:p>
    <w:p>
      <w:pPr>
        <w:spacing w:after="160"/>
        <w:jc w:val="left"/>
      </w:pPr>
      <w:r>
        <w:rPr>
          <w:b/>
          <w:bCs/>
        </w:rPr>
        <w:t xml:space="preserve">Явный пробел:</w:t>
      </w:r>
      <w:r>
        <w:t xml:space="preserve"> новых материалов по стандартизации бэк-офиса между разнопрофильными клиниками внутри одной УК (в том числе по крупным российским сетям — «Мать и дитя», «Медси», «Медскан») в окне не найдено.</w:t>
      </w:r>
    </w:p>
    <w:p>
      <w:pPr>
        <w:spacing w:after="160"/>
        <w:jc w:val="left"/>
      </w:pPr>
      <w:r>
        <w:rPr>
          <w:b/>
          <w:bCs/>
        </w:rPr>
        <w:t xml:space="preserve">Что это значит для нас:</w:t>
      </w:r>
      <w:r>
        <w:t xml:space="preserve"> структура сделки Sanford/North Memorial (обязательства по объёму услуг и капвложениям вместо просто денежной оценки) — полезный шаблон на случай, если УК в будущем будет вести переговоры с регулятором или партнёром о присоединении клиники: конкретные, измеримые обязательства снижают репутационные и регуляторные риски сильнее, чем финансовые условия сами по себе.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00"/>
      </w:pPr>
      <w:r>
        <w:rPr>
          <w:b/>
          <w:bCs/>
          <w:color w:val="1F3864"/>
          <w:sz w:val="28"/>
          <w:szCs w:val="28"/>
        </w:rPr>
        <w:t xml:space="preserve">8. Глобальные бенчмарки и кейсы</w:t>
      </w:r>
    </w:p>
    <w:p>
      <w:pPr>
        <w:spacing w:after="160"/>
        <w:jc w:val="left"/>
      </w:pPr>
      <w:r>
        <w:rPr>
          <w:b/>
          <w:bCs/>
        </w:rPr>
        <w:t xml:space="preserve">Пробел из предыдущего отчёта</w:t>
      </w:r>
      <w:r>
        <w:t xml:space="preserve"> (отсутствие кейсов Cleveland Clinic, Kaiser Permanente, сетей Ближнего Востока) в этом выпуске частично закрыт.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Cleveland Clinic Abu Dhabi (сеть M42, ОАЭ) — стандартизация цепочки поставок по стандартам GS1</w:t>
      </w:r>
      <w:r>
        <w:t xml:space="preserve">: внедрены GS1-маркировка и трассируемость, RFID в операционных, data-driven управление запасами. Измеримые результаты: снижение дефицита расходных материалов (stockouts) на 75%, fill rate 95%, точность инвентаризации 88%, ноль отменённых операций из-за нехватки расходников в направлениях высокой акуитности (кардиохирургия, инсульт, трансплантология). Источник: GS1 Healthcare Case Studies 2026 (ОАЭ), материалы конференции GS1 UAE (28.06.2026). </w:t>
      </w:r>
      <w:r>
        <w:rPr>
          <w:b/>
          <w:bCs/>
        </w:rPr>
        <w:t xml:space="preserve">Точная дата публикации кейса не подтверждена</w:t>
      </w:r>
      <w:r>
        <w:t xml:space="preserve"> (файл в выдаче датирован декабрём 2025, но конференция и её освещение — июнь–июль 2026) — включено вне строгого окна ввиду редких для темы измеримых цифр и прямого закрытия пробела прошлого отчёта.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Mayo Clinic — модель управления ИИ-инициативами вне программы Accelerate</w:t>
      </w:r>
      <w:r>
        <w:t xml:space="preserve">: принцип «широкий поиск идей, узкое одобрение» — предлагать применения ИИ может любой сотрудник (свыше 500 внедрённых моделей), но перед разворотом в клиническую или операционную практику действует единый централизованный контроль. Источник: интервью Axios, 16.08.2026 (за пределами строгого окна). </w:t>
      </w:r>
      <w:r>
        <w:rPr>
          <w:color w:val="1155CC"/>
          <w:u w:val="single"/>
        </w:rPr>
        <w:t xml:space="preserve">https://www.axios.com/2026/08/16/ai-mayo-clinic-health-care-fix-jim-vandehei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Kaiser Permanente — рост операционной эффективности во 2 кв. 2026 г.</w:t>
      </w:r>
      <w:r>
        <w:t xml:space="preserve">: операционная прибыль $1,7 млрд (маржа 4,6%), рост более чем на $600 млн год к году, выручка $35,6 млрд (+10,9% г/г); менеджмент связывает улучшение с «более эффективными операциями» без детализации конкретных практик. Источник: Kaiser Permanente, 14.08.2026 (за пределами строгого окна, включено как ранее отсутствовавший в отчётах количественный ориентир). </w:t>
      </w:r>
      <w:r>
        <w:rPr>
          <w:color w:val="1155CC"/>
          <w:u w:val="single"/>
        </w:rPr>
        <w:t xml:space="preserve">https://about.kaiserpermanente.org/news/kaiser-permanente-and-risant-health-q2-2026-financial-update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Longevium (Дубай, ОАЭ) — бутиковая сеть longevity-клиник выходит на модель непрерывности лечения между странами</w:t>
      </w:r>
      <w:r>
        <w:t xml:space="preserve">: сеть из 3 клиник (~100 врачей) объявила о запуске первой зарубежной локации — на Бали (730 м², партнёр — девелопер Nuanu), открытие намечено на 2027 г. Управленческая идея: пациент начинает программу в одной клинике сети и продолжает наблюдение в другой стране — модель «continuity of care» между локациями, а не просто открытие дополнительной точки. Источник: Gulf News, 17.09.2026. </w:t>
      </w:r>
      <w:r>
        <w:rPr>
          <w:b/>
          <w:bCs/>
        </w:rPr>
        <w:t xml:space="preserve">Дата и содержание не проверены напрямую из первоисточника</w:t>
      </w:r>
      <w:r>
        <w:t xml:space="preserve"> (сайт был недоступен для чтения, взято из консистентных результатов поиска) — использовать с осторожностью до independent-проверки.</w:t>
      </w:r>
    </w:p>
    <w:p>
      <w:pPr>
        <w:spacing w:after="160"/>
        <w:jc w:val="left"/>
      </w:pPr>
      <w:r>
        <w:rPr>
          <w:b/>
          <w:bCs/>
        </w:rPr>
        <w:t xml:space="preserve">Что это значит для нас:</w:t>
      </w:r>
      <w:r>
        <w:t xml:space="preserve"> кейс Cleveland Clinic Abu Dhabi — конкретный операционный ориентир для хирургической клиники: стандартизация учёта расходных материалов (даже в упрощённом виде, без полного RFID) напрямую снижает риск отмены операций. Модель Longevium («начал в одном городе — продолжил в другом») стоит держать в поле зрения как формат долгосрочного развития проекта сна/нейро-лонгевити, если у заказчика в перспективе появится интерес к международному расширению, но материал требует отдельной проверки перед использованием в презентациях/стратегии ввиду непроверенного источника.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00"/>
      </w:pPr>
      <w:r>
        <w:rPr>
          <w:b/>
          <w:bCs/>
          <w:color w:val="1F3864"/>
          <w:sz w:val="28"/>
          <w:szCs w:val="28"/>
        </w:rPr>
        <w:t xml:space="preserve">Рекомендации к применению</w:t>
      </w:r>
    </w:p>
    <w:p>
      <w:pPr>
        <w:spacing w:after="100"/>
        <w:ind w:left="360"/>
      </w:pPr>
      <w:r>
        <w:rPr>
          <w:b/>
          <w:bCs/>
        </w:rPr>
        <w:t xml:space="preserve">1. </w:t>
      </w:r>
      <w:r>
        <w:rPr>
          <w:b/>
          <w:bCs/>
        </w:rPr>
        <w:t xml:space="preserve">Пилотировать gemba-доски (визуальное управление на местах)</w:t>
      </w:r>
      <w:r>
        <w:t xml:space="preserve"> в одной клинике УК, начиная с хирургической, — низкозатратный инструмент с подтверждённым пятилетним эффектом в референсном кейсе (раздел 1).</w:t>
      </w:r>
    </w:p>
    <w:p>
      <w:pPr>
        <w:spacing w:after="10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Сравнить DNV Healthcare USA (NIAHO) и JCI как варианты международной аккредитации</w:t>
      </w:r>
      <w:r>
        <w:t xml:space="preserve"> для хирургической клиники и клиники лактации, особенно если в компании уже есть опыт работы по ISO 9001 (раздел 3).</w:t>
      </w:r>
    </w:p>
    <w:p>
      <w:pPr>
        <w:spacing w:after="100"/>
        <w:ind w:left="360"/>
      </w:pPr>
      <w:r>
        <w:rPr>
          <w:b/>
          <w:bCs/>
        </w:rPr>
        <w:t xml:space="preserve">3. </w:t>
      </w:r>
      <w:r>
        <w:rPr>
          <w:b/>
          <w:bCs/>
        </w:rPr>
        <w:t xml:space="preserve">Оценить абонементную/membership-модель наблюдения в клинике лактации</w:t>
      </w:r>
      <w:r>
        <w:t xml:space="preserve"> не только как продукт для пациентов, но и как инструмент снижения операционной нагрузки на ключевых врачей (раздел 4).</w:t>
      </w:r>
    </w:p>
    <w:p>
      <w:pPr>
        <w:spacing w:after="100"/>
        <w:ind w:left="360"/>
      </w:pPr>
      <w:r>
        <w:rPr>
          <w:b/>
          <w:bCs/>
        </w:rPr>
        <w:t xml:space="preserve">4. </w:t>
      </w:r>
      <w:r>
        <w:rPr>
          <w:b/>
          <w:bCs/>
        </w:rPr>
        <w:t xml:space="preserve">При структурировании любых будущих сделок по присоединению клиник закладывать конкретные измеримые обязательства</w:t>
      </w:r>
      <w:r>
        <w:t xml:space="preserve"> (объём услуг, сроки, инвестиции) по аналогии со сделкой Sanford/North Memorial — это снижает регуляторные и репутационные риски сильнее, чем просто финансовые условия (раздел 7).</w:t>
      </w:r>
    </w:p>
    <w:p>
      <w:pPr>
        <w:spacing w:after="100"/>
        <w:ind w:left="360"/>
      </w:pPr>
      <w:r>
        <w:rPr>
          <w:b/>
          <w:bCs/>
        </w:rPr>
        <w:t xml:space="preserve">5. </w:t>
      </w:r>
      <w:r>
        <w:rPr>
          <w:b/>
          <w:bCs/>
        </w:rPr>
        <w:t xml:space="preserve">Внедрить базовую систему учёта и прогнозирования расходных материалов</w:t>
      </w:r>
      <w:r>
        <w:t xml:space="preserve"> в хирургической клинике по примеру Cleveland Clinic Abu Dhabi — даже частичная стандартизация снижает риск отмены операций из-за нехватки материалов (раздел 8).</w:t>
      </w:r>
    </w:p>
    <w:p>
      <w:pPr>
        <w:spacing w:after="100"/>
        <w:ind w:left="360"/>
      </w:pPr>
      <w:r>
        <w:rPr>
          <w:b/>
          <w:bCs/>
        </w:rPr>
        <w:t xml:space="preserve">6. </w:t>
      </w:r>
      <w:r>
        <w:rPr>
          <w:b/>
          <w:bCs/>
        </w:rPr>
        <w:t xml:space="preserve">Формализовать модель управления ИИ-инициативами</w:t>
      </w:r>
      <w:r>
        <w:t xml:space="preserve"> по принципу Mayo Clinic — разрешить сотрудникам предлагать идеи применения ИИ в операционных процессах, но ввести единую точку одобрения перед внедрением, чтобы избежать разрозненных непроверенных решений (разделы 2, 8).</w:t>
      </w:r>
    </w:p>
    <w:p>
      <w:pPr>
        <w:spacing w:after="100"/>
        <w:ind w:left="360"/>
      </w:pPr>
      <w:r>
        <w:rPr>
          <w:b/>
          <w:bCs/>
        </w:rPr>
        <w:t xml:space="preserve">7. </w:t>
      </w:r>
      <w:r>
        <w:rPr>
          <w:b/>
          <w:bCs/>
        </w:rPr>
        <w:t xml:space="preserve">Осознанно развивать бренд клиники, а не только репутацию отдельных врачей</w:t>
      </w:r>
      <w:r>
        <w:t xml:space="preserve">, особенно в хирургической клинике с зависимостью от 1–2 ключевых специалистов, — риск потери пациента при уходе врача подтверждён отдельным академическим источником (раздел 6).</w:t>
      </w:r>
    </w:p>
    <w:p>
      <w:pPr>
        <w:spacing w:after="100"/>
        <w:ind w:left="360"/>
      </w:pPr>
      <w:r>
        <w:rPr>
          <w:b/>
          <w:bCs/>
        </w:rPr>
        <w:t xml:space="preserve">8. </w:t>
      </w:r>
      <w:r>
        <w:rPr>
          <w:b/>
          <w:bCs/>
        </w:rPr>
        <w:t xml:space="preserve">Продолжить мониторинг ниши премиальных longevity-сетей</w:t>
      </w:r>
      <w:r>
        <w:t xml:space="preserve"> (кейс Longevium) как ориентир для возможного будущего мультилокационного развития проекта сна/нейро-лонгевити, после независимой проверки деталей (раздел 8).</w:t>
      </w:r>
    </w:p>
    <w:p>
      <w:pPr>
        <w:spacing w:after="100"/>
        <w:ind w:left="360"/>
      </w:pPr>
      <w:r>
        <w:rPr>
          <w:b/>
          <w:bCs/>
        </w:rPr>
        <w:t xml:space="preserve">9. </w:t>
      </w:r>
      <w:r>
        <w:rPr>
          <w:b/>
          <w:bCs/>
        </w:rPr>
        <w:t xml:space="preserve">Держать в поле зрения итоги конференции ISQua (Дублин, 27–30.09.2026)</w:t>
      </w:r>
      <w:r>
        <w:t xml:space="preserve"> для следующего выпуска дайджеста — ожидается концентрация свежих материалов по управлению качеством (раздел 3).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00"/>
      </w:pPr>
      <w:r>
        <w:rPr>
          <w:b/>
          <w:bCs/>
          <w:color w:val="1F3864"/>
          <w:sz w:val="28"/>
          <w:szCs w:val="28"/>
        </w:rPr>
        <w:t xml:space="preserve">Список источников</w:t>
      </w:r>
    </w:p>
    <w:p>
      <w:pPr>
        <w:spacing w:after="100"/>
        <w:ind w:left="360"/>
      </w:pPr>
      <w:r>
        <w:rPr>
          <w:b/>
          <w:bCs/>
        </w:rPr>
        <w:t xml:space="preserve">1. </w:t>
      </w:r>
      <w:r>
        <w:t xml:space="preserve">Journal of Healthcare Management (Wolters Kluwer/Lippincott) — Tucker J., Noble J., Anderson T.J.H., о внедрении gemba-досок в Truman VA Medical Center, т. 71, №5, сентябрь–октябрь 2026. </w:t>
      </w:r>
      <w:r>
        <w:rPr>
          <w:color w:val="1155CC"/>
          <w:u w:val="single"/>
        </w:rPr>
        <w:t xml:space="preserve">https://www.ovid.com/jnls/jhmonline</w:t>
      </w:r>
    </w:p>
    <w:p>
      <w:pPr>
        <w:spacing w:after="100"/>
        <w:ind w:left="360"/>
      </w:pPr>
      <w:r>
        <w:rPr>
          <w:b/>
          <w:bCs/>
        </w:rPr>
        <w:t xml:space="preserve">2. </w:t>
      </w:r>
      <w:r>
        <w:t xml:space="preserve">Becker's Hospital Review — программа 11th Annual Health IT + Digital Health + RCM Conference, сессия 16.09.2026. </w:t>
      </w:r>
      <w:r>
        <w:rPr>
          <w:color w:val="1155CC"/>
          <w:u w:val="single"/>
        </w:rPr>
        <w:t xml:space="preserve">https://conferences.beckershospitalreview.com/HIT_RCM_2026/session/3733225</w:t>
      </w:r>
    </w:p>
    <w:p>
      <w:pPr>
        <w:spacing w:after="100"/>
        <w:ind w:left="360"/>
      </w:pPr>
      <w:r>
        <w:rPr>
          <w:b/>
          <w:bCs/>
        </w:rPr>
        <w:t xml:space="preserve">3. </w:t>
      </w:r>
      <w:r>
        <w:t xml:space="preserve">Becker's Hospital Review — данные об использовании agentic AI, процитированные на конференции 14–17.09.2026 (точная дата первичного опроса не подтверждена). </w:t>
      </w:r>
      <w:r>
        <w:rPr>
          <w:color w:val="1155CC"/>
          <w:u w:val="single"/>
        </w:rPr>
        <w:t xml:space="preserve">https://www.beckershospitalreview.com/</w:t>
      </w:r>
    </w:p>
    <w:p>
      <w:pPr>
        <w:spacing w:after="100"/>
        <w:ind w:left="360"/>
      </w:pPr>
      <w:r>
        <w:rPr>
          <w:b/>
          <w:bCs/>
        </w:rPr>
        <w:t xml:space="preserve">4. </w:t>
      </w:r>
      <w:r>
        <w:t xml:space="preserve">Federal Register — продление одобрения CMS для DNV Healthcare USA (NIAHO), 17.09.2026. </w:t>
      </w:r>
      <w:r>
        <w:rPr>
          <w:color w:val="1155CC"/>
          <w:u w:val="single"/>
        </w:rPr>
        <w:t xml:space="preserve">https://www.federalregister.gov/documents/2026/09/17/2026-19061/medicare-and-medicaid-programs-application-from-dnv-healthcare-usa-inc-dnv-for-continued</w:t>
      </w:r>
    </w:p>
    <w:p>
      <w:pPr>
        <w:spacing w:after="100"/>
        <w:ind w:left="360"/>
      </w:pPr>
      <w:r>
        <w:rPr>
          <w:b/>
          <w:bCs/>
        </w:rPr>
        <w:t xml:space="preserve">5. </w:t>
      </w:r>
      <w:r>
        <w:t xml:space="preserve">ISQua — анонс 42-й международной конференции, Дублин, 27–30.09.2026. </w:t>
      </w:r>
      <w:r>
        <w:rPr>
          <w:color w:val="1155CC"/>
          <w:u w:val="single"/>
        </w:rPr>
        <w:t xml:space="preserve">https://isqua.org/events/dublin-2026.html</w:t>
      </w:r>
    </w:p>
    <w:p>
      <w:pPr>
        <w:spacing w:after="100"/>
        <w:ind w:left="360"/>
      </w:pPr>
      <w:r>
        <w:rPr>
          <w:b/>
          <w:bCs/>
        </w:rPr>
        <w:t xml:space="preserve">6. </w:t>
      </w:r>
      <w:r>
        <w:t xml:space="preserve">VTDigger — "More doctors are offering memberships for healthcare", 11.09.2026. </w:t>
      </w:r>
      <w:r>
        <w:rPr>
          <w:color w:val="1155CC"/>
          <w:u w:val="single"/>
        </w:rPr>
        <w:t xml:space="preserve">https://vtdigger.org/2026/09/11/more-doctors-are-offering-memberships-for-healthcare/</w:t>
      </w:r>
    </w:p>
    <w:p>
      <w:pPr>
        <w:spacing w:after="100"/>
        <w:ind w:left="360"/>
      </w:pPr>
      <w:r>
        <w:rPr>
          <w:b/>
          <w:bCs/>
        </w:rPr>
        <w:t xml:space="preserve">7. </w:t>
      </w:r>
      <w:r>
        <w:t xml:space="preserve">PubMed — Moronski L.S., о структурной природе выгорания персонала, JONA, дата не подтверждена (ориентировочно июль 2026). </w:t>
      </w:r>
      <w:r>
        <w:rPr>
          <w:color w:val="1155CC"/>
          <w:u w:val="single"/>
        </w:rPr>
        <w:t xml:space="preserve">https://pubmed.ncbi.nlm.nih.gov/42316403/</w:t>
      </w:r>
    </w:p>
    <w:p>
      <w:pPr>
        <w:spacing w:after="100"/>
        <w:ind w:left="360"/>
      </w:pPr>
      <w:r>
        <w:rPr>
          <w:b/>
          <w:bCs/>
        </w:rPr>
        <w:t xml:space="preserve">8. </w:t>
      </w:r>
      <w:r>
        <w:t xml:space="preserve">Springer / BMC Health Services Research — Liu Y.C., Lai H.C., Huang C.M.K., о лояльности пациентов и репутации клиники, 2026 (точная дата не подтверждена). </w:t>
      </w:r>
      <w:r>
        <w:rPr>
          <w:color w:val="1155CC"/>
          <w:u w:val="single"/>
        </w:rPr>
        <w:t xml:space="preserve">https://link.springer.com/article/10.1186/s12913-026-15579-8</w:t>
      </w:r>
    </w:p>
    <w:p>
      <w:pPr>
        <w:spacing w:after="100"/>
        <w:ind w:left="360"/>
      </w:pPr>
      <w:r>
        <w:rPr>
          <w:b/>
          <w:bCs/>
        </w:rPr>
        <w:t xml:space="preserve">9. </w:t>
      </w:r>
      <w:r>
        <w:t xml:space="preserve">Sanford Health — пресс-релиз о завершении объединения с North Memorial Health, 01.09.2026. </w:t>
      </w:r>
      <w:r>
        <w:rPr>
          <w:color w:val="1155CC"/>
          <w:u w:val="single"/>
        </w:rPr>
        <w:t xml:space="preserve">https://news.sanfordhealth.org/news/sanford-health-north-memorial-health-complete-partnership/</w:t>
      </w:r>
    </w:p>
    <w:p>
      <w:pPr>
        <w:spacing w:after="100"/>
        <w:ind w:left="360"/>
      </w:pPr>
      <w:r>
        <w:rPr>
          <w:b/>
          <w:bCs/>
        </w:rPr>
        <w:t xml:space="preserve">10. </w:t>
      </w:r>
      <w:r>
        <w:t xml:space="preserve">Dakota News Now — о завершении сделки Sanford Health/North Memorial Health, 01.09.2026. </w:t>
      </w:r>
      <w:r>
        <w:rPr>
          <w:color w:val="1155CC"/>
          <w:u w:val="single"/>
        </w:rPr>
        <w:t xml:space="preserve">https://www.dakotanewsnow.com/2026/09/01/sanford-health-north-memorial-health-complete-merger/</w:t>
      </w:r>
    </w:p>
    <w:p>
      <w:pPr>
        <w:spacing w:after="100"/>
        <w:ind w:left="360"/>
      </w:pPr>
      <w:r>
        <w:rPr>
          <w:b/>
          <w:bCs/>
        </w:rPr>
        <w:t xml:space="preserve">11. </w:t>
      </w:r>
      <w:r>
        <w:t xml:space="preserve">McKinsey — "Healthcare private equity outlook: takeaways from HPE Miami 2026", 06.05.2026. </w:t>
      </w:r>
      <w:r>
        <w:rPr>
          <w:color w:val="1155CC"/>
          <w:u w:val="single"/>
        </w:rPr>
        <w:t xml:space="preserve">https://www.mckinsey.com/industries/healthcare/our-insights/healthcare-blog/healthcare-private-equity-outlook-takeaways-from-hpe-miami-2026</w:t>
      </w:r>
    </w:p>
    <w:p>
      <w:pPr>
        <w:spacing w:after="100"/>
        <w:ind w:left="360"/>
      </w:pPr>
      <w:r>
        <w:rPr>
          <w:b/>
          <w:bCs/>
        </w:rPr>
        <w:t xml:space="preserve">12. </w:t>
      </w:r>
      <w:r>
        <w:t xml:space="preserve">GS1 Healthcare Case Studies — кейс Cleveland Clinic Abu Dhabi (сеть M42, ОАЭ), материалы конференции GS1 UAE, июнь–июль 2026 (точная дата документа не подтверждена).</w:t>
      </w:r>
    </w:p>
    <w:p>
      <w:pPr>
        <w:spacing w:after="100"/>
        <w:ind w:left="360"/>
      </w:pPr>
      <w:r>
        <w:rPr>
          <w:b/>
          <w:bCs/>
        </w:rPr>
        <w:t xml:space="preserve">13. </w:t>
      </w:r>
      <w:r>
        <w:t xml:space="preserve">Axios — интервью о модели управления ИИ-инициативами в Mayo Clinic, 16.08.2026. </w:t>
      </w:r>
      <w:r>
        <w:rPr>
          <w:color w:val="1155CC"/>
          <w:u w:val="single"/>
        </w:rPr>
        <w:t xml:space="preserve">https://www.axios.com/2026/08/16/ai-mayo-clinic-health-care-fix-jim-vandehei</w:t>
      </w:r>
    </w:p>
    <w:p>
      <w:pPr>
        <w:spacing w:after="100"/>
        <w:ind w:left="360"/>
      </w:pPr>
      <w:r>
        <w:rPr>
          <w:b/>
          <w:bCs/>
        </w:rPr>
        <w:t xml:space="preserve">14. </w:t>
      </w:r>
      <w:r>
        <w:t xml:space="preserve">Becker's Hospital Review — "5 lessons from Mayo Clinic's more than 500 AI models" (точная дата не подтверждена). </w:t>
      </w:r>
      <w:r>
        <w:rPr>
          <w:color w:val="1155CC"/>
          <w:u w:val="single"/>
        </w:rPr>
        <w:t xml:space="preserve">https://www.beckershospitalreview.com/healthcare-information-technology/ai/5-lessons-from-mayo-clinics-more-than-500-ai-models/</w:t>
      </w:r>
    </w:p>
    <w:p>
      <w:pPr>
        <w:spacing w:after="100"/>
        <w:ind w:left="360"/>
      </w:pPr>
      <w:r>
        <w:rPr>
          <w:b/>
          <w:bCs/>
        </w:rPr>
        <w:t xml:space="preserve">15. </w:t>
      </w:r>
      <w:r>
        <w:t xml:space="preserve">Kaiser Permanente — финансовые результаты за 2 кв. 2026 г., 14.08.2026. </w:t>
      </w:r>
      <w:r>
        <w:rPr>
          <w:color w:val="1155CC"/>
          <w:u w:val="single"/>
        </w:rPr>
        <w:t xml:space="preserve">https://about.kaiserpermanente.org/news/kaiser-permanente-and-risant-health-q2-2026-financial-update</w:t>
      </w:r>
    </w:p>
    <w:p>
      <w:pPr>
        <w:spacing w:after="100"/>
        <w:ind w:left="360"/>
      </w:pPr>
      <w:r>
        <w:rPr>
          <w:b/>
          <w:bCs/>
        </w:rPr>
        <w:t xml:space="preserve">16. </w:t>
      </w:r>
      <w:r>
        <w:t xml:space="preserve">Gulf News — о выходе сети Longevium (Дубай) на Бали, 17.09.2026 (источник не проверен напрямую, требуется независимая проверка). </w:t>
      </w:r>
      <w:r>
        <w:rPr>
          <w:color w:val="1155CC"/>
          <w:u w:val="single"/>
        </w:rPr>
        <w:t xml:space="preserve">https://gulfnews.com/uae/health/dubais-longevity-medicine-model-prepares-for-global-expansion-1.500678391</w:t>
      </w:r>
    </w:p>
    <w:p>
      <w:pPr>
        <w:pBdr>
          <w:bottom w:val="single" w:color="AAAAAA" w:sz="6" w:space="1"/>
        </w:pBdr>
        <w:spacing w:after="200"/>
      </w:pPr>
    </w:p>
    <w:p>
      <w:pPr>
        <w:spacing w:after="120"/>
      </w:pPr>
      <w:r>
        <w:rPr>
          <w:i/>
          <w:iCs/>
          <w:color w:val="555555"/>
        </w:rPr>
        <w:t xml:space="preserve">Отчёт подготовлен ИИ-агентом мониторинга международных практик управления здравоохранением. Ряд материалов включён с явной пометкой о неподтверждённой точной дате публикации или недоступности первоисточника для прямой проверки — использовать такие пункты с дополнительной осторожностью до самостоятельной верификации.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2026-09-18T04:13:13.956Z</dcterms:created>
  <dcterms:modified xsi:type="dcterms:W3CDTF">2026-09-18T04:13:13.956Z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