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eec2c98888058b06fbc7428e3cd86c1694bcd1"/>
    <w:p>
      <w:pPr>
        <w:pStyle w:val="Heading1"/>
      </w:pPr>
      <w:r>
        <w:t xml:space="preserve">Мониторинг международных практик управления здравоохранением</w:t>
      </w:r>
    </w:p>
    <w:p>
      <w:pPr>
        <w:pStyle w:val="FirstParagraph"/>
      </w:pPr>
      <w:r>
        <w:rPr>
          <w:bCs/>
          <w:b/>
        </w:rPr>
        <w:t xml:space="preserve">Период охвата:</w:t>
      </w:r>
      <w:r>
        <w:t xml:space="preserve"> </w:t>
      </w:r>
      <w:r>
        <w:t xml:space="preserve">25 сентября – 9 октября 2026 г. (строгое двухнедельное окно); дополнительно включено 6 материалов за более ранний период (15–26 сентября 2026 г.) — каждый отмечен фактической датой публикации и включён точечно, поскольку компенсирует выявленную задержку индексации самых свежих публикаций в поисковых системах (см. методологическое примечание)</w:t>
      </w:r>
      <w:r>
        <w:t xml:space="preserve"> </w:t>
      </w:r>
      <w:r>
        <w:rPr>
          <w:bCs/>
          <w:b/>
        </w:rPr>
        <w:t xml:space="preserve">Дата составления:</w:t>
      </w:r>
      <w:r>
        <w:t xml:space="preserve"> </w:t>
      </w:r>
      <w:r>
        <w:t xml:space="preserve">9 октября 2026 г.</w:t>
      </w:r>
      <w:r>
        <w:t xml:space="preserve"> </w:t>
      </w:r>
      <w:r>
        <w:rPr>
          <w:bCs/>
          <w:b/>
        </w:rPr>
        <w:t xml:space="preserve">Подготовлено для:</w:t>
      </w:r>
      <w:r>
        <w:t xml:space="preserve"> </w:t>
      </w:r>
      <w:r>
        <w:t xml:space="preserve">собственника и генерального директора управляющей компании частных медицинских клиник (хирургическая клиника, клиника женского здоровья/лактации, проект премиального сна и нейро-лонгевити)</w:t>
      </w:r>
    </w:p>
    <w:p>
      <w:r>
        <w:pict>
          <v:rect style="width:0;height:1.5pt" o:hralign="center" o:hrstd="t" o:hr="t"/>
        </w:pict>
      </w:r>
    </w:p>
    <w:bookmarkStart w:id="20" w:name="методологическое-примечание"/>
    <w:p>
      <w:pPr>
        <w:pStyle w:val="Heading2"/>
      </w:pPr>
      <w:r>
        <w:t xml:space="preserve">Методологическое примечание</w:t>
      </w:r>
    </w:p>
    <w:p>
      <w:pPr>
        <w:pStyle w:val="FirstParagraph"/>
      </w:pPr>
      <w:r>
        <w:t xml:space="preserve">Строгое окно 25.09–09.10.2026 оказалось заметно бедным на профильную управленческую аналитику — это независимо подтвердили все четыре параллельных цикла поиска, проведённые для этого выпуска: три из четырёх прямо отметили, что лучшие по качеству находки датированы 15–24.09.2026, то есть на 1–9 дней раньше формального начала окна, и предположили задержку индексации самых свежих публикаций поисковыми системами, а не реальное отсутствие активности в отрасли. Такие материалы включены точечно с явной отметкой фактической даты.</w:t>
      </w:r>
    </w:p>
    <w:p>
      <w:pPr>
        <w:pStyle w:val="BodyText"/>
      </w:pPr>
      <w:r>
        <w:t xml:space="preserve">Отдельное ограничение этого цикла: инструмент прямой проверки первоисточников (WebFetch/аналоги) был недоступен для внешних доменов на уровне сетевой политики среды выполнения (подтверждено на уровне инфраструктуры, не связано с конкретными сайтами) — все данные опираются на материал, извлечённый инструментом веб-поиска непосредственно со страниц источников, без дополнительной независимой повторной проверки той же страницы. Это снижает степень верификации по сравнению с предыдущими выпусками; там, где между источниками обнаружены расхождения в цифрах, это указано отдельно.</w:t>
      </w:r>
    </w:p>
    <w:p>
      <w:pPr>
        <w:pStyle w:val="BodyText"/>
      </w:pPr>
      <w:r>
        <w:t xml:space="preserve">По двум направлениям — «Качество и аккредитация» и «Глобальные бенчмарки» — содержательных новых материалов, прошедших фильтр по дате и достоверности, в этом цикле не найдено; это отмечено как явный пробел в соответствующих разделах, а не заполнено натянутыми примерами.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Разрыв между тем, что думают работодатели, и тем, что происходит на самом деле, — главный HR-риск отрасли</w:t>
      </w:r>
      <w:r>
        <w:t xml:space="preserve">: по данным опроса Harris Poll (1514 медработников + 304 руководителя, США), 59% персонала готовы искать новую работу в течение года, тогда как работодатели оценивают этот риск лишь в 39%; при этом сотрудники называют главной причиной уходов выгорание (51%, +15 п.п. год к году), а работодатели — нехватку карьерного роста (47%) — то есть диагноз и терапия расходятся.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Роль HR-руководителя в здравоохранении резко усиливается</w:t>
      </w:r>
      <w:r>
        <w:t xml:space="preserve">: по данным Becker’s Hospital Review, число новых назначений CHRO/директоров по персоналу в больницах и системах здравоохранения США с начала 2026 г. более чем удвоилось относительно всего 2025 г.; мандат должности расширяется, а ключевой метрикой успеха становится не факт найма, а удержание нанятого HR-директора через год.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ИИ продолжает смещаться в сторону управленческого, а не диагностического контура</w:t>
      </w:r>
      <w:r>
        <w:t xml:space="preserve">: GE HealthCare запустила ИИ-сервис прогнозирования дефицита коечной и кадровой мощности на горизонте 72 часов (первые пилоты — Duke Health и Queen’s Health Systems), а тайваньское исследование показало, что именно прозрачность объяснений ИИ-расписания коррелирует с удовлетворённостью персонала (r=0,456; p&lt;0,001) — ИИ в управлении работает лучше, когда его решения объяснимы, а не только автоматизированы.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Лояльность пациента определяется лёгкостью доступа, а не только клиническим качеством</w:t>
      </w:r>
      <w:r>
        <w:t xml:space="preserve">: по данным опроса Accenture (10 000 потребителей, США), готовность «точно остаться» у текущего поставщика медицинской помощи падает примерно на 53 процентных пункта при переходе от «очень лёгкого» к «удовлетворительному» уровню взаимодействия — подтверждение тренда, зафиксированного и в предыдущем отчёте.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Подписочные/абонементные модели в здравоохранении несут риск сжатия маржи при расширении линейки</w:t>
      </w:r>
      <w:r>
        <w:t xml:space="preserve">: разбор отчётности Hims &amp; Hers за 2 кв. 2026 г. показывает рост выручки на 38% и числа подписчиков до 2,89 млн, но падение валовой маржи с 76% до 64% из-за смещения продуктового микса в сторону более дорогих премиальных позиций — прямое предостережение для подписочных моделей в премиальном сегменте.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Решение «полная интеграция или сохранение локального бренда» нужно принимать осознанно и заранее</w:t>
      </w:r>
      <w:r>
        <w:t xml:space="preserve">: слияние HealthPartners и Essentia Health (США, объявлено 29.09.2026) выбрало модель полной интеграции под единым советом директоров при временном сохранении локальных брендов — явный пример управленческого решения, напрямую применимого к структуре «УК + несколько разнопрофильных клиник».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Пробел по стандартизации бэк-офиса между разнопрофильными клиниками одной УК сохраняется уже четвёртый выпуск подряд</w:t>
      </w:r>
      <w:r>
        <w:t xml:space="preserve">: несмотря на целевой поиск на нескольких языках, датированного кейса с измеримыми результатами по этой теме не найдено — рекомендуется сменить метод поиска (см. раздел 7 и рекомендации).</w:t>
      </w:r>
    </w:p>
    <w:p>
      <w:r>
        <w:pict>
          <v:rect style="width:0;height:1.5pt" o:hralign="center" o:hrstd="t" o:hr="t"/>
        </w:pict>
      </w:r>
    </w:p>
    <w:bookmarkEnd w:id="21"/>
    <w:bookmarkStart w:id="22" w:name="операционное-управление-клиникой"/>
    <w:p>
      <w:pPr>
        <w:pStyle w:val="Heading2"/>
      </w:pPr>
      <w:r>
        <w:t xml:space="preserve">1. Операционное управление клиникой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в строгом окне предметных материалов не найдено; единственная содержательная находка — академическое исследование с редкими для темы количественными данными, опубликованное до начала окна, но напрямую применимое к управлению расписанием и штатом.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Тайвань — объяснимый, учитывающий справедливость распределения нагрузки ИИ для составления расписания медсестёр</w:t>
      </w:r>
      <w:r>
        <w:t xml:space="preserve">: сравнительное исследование «до/после» в больнице на 671 койку (8 отделений, 156 медсестёр: 42 начинающих, 78 среднего уровня, 36 опытных) сопоставило 6 месяцев ручного составления расписания с 6 месяцами работы ИИ-системы, учитывающей ограничения справедливости (порог «disparate impact» 0,80–1,25). Результаты: показатель справедливости распределения нагрузки удержался в заданном коридоре во всех проверенных конфигурациях системы (p=0,12); более глубокое ознакомление персонала с объяснениями решений системы статистически связано с более высокой удовлетворённостью (r=0,456; p&lt;0,001); при анализе чувствительности по 7 конфигурациям весов наилучший композитный показатель качества расписания (82,1 ± 3,2) показала конфигурация с весами, согласованными коллективно, а не заданными по умолчанию. Источник: JMIR Nursing 2026;9:e94450 (принята к публикации 05.05.2026; точная дата публикации номера не подтверждена независимо — находка предшествует формальному окну, включена из-за редкости подобных количественных управленческих данных по теме). https://nursing.jmir.org/2026/1/e94450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Явный пробел:</w:t>
      </w:r>
      <w:r>
        <w:t xml:space="preserve"> </w:t>
      </w:r>
      <w:r>
        <w:t xml:space="preserve">материалов по Lean/Six Sigma в здравоохранении, оптимизации потока пациентов или управлению запасами, опубликованных и датированных именно в окне 25.09–09.10.2026, не найдено ни на английском, ни на русском языке.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ключевой практический вывод — не сам факт автоматизации расписания, а его объяснимость для персонала определяет принятие системы; при любом внедрении ИИ-инструментов планирования смен (особенно в хирургической клинике и клинике лактации, где нагрузка неравномерна) стоит заранее предусмотреть интерфейс объяснения «почему смена распределена так» и механизм обратной связи, а не только оптимизационный алгоритм как таковой.</w:t>
      </w:r>
    </w:p>
    <w:p>
      <w:r>
        <w:pict>
          <v:rect style="width:0;height:1.5pt" o:hralign="center" o:hrstd="t" o:hr="t"/>
        </w:pict>
      </w:r>
    </w:p>
    <w:bookmarkEnd w:id="22"/>
    <w:bookmarkStart w:id="23" w:name="цифровизация-и-ии-в-управлении"/>
    <w:p>
      <w:pPr>
        <w:pStyle w:val="Heading2"/>
      </w:pPr>
      <w:r>
        <w:t xml:space="preserve">2. Цифровизация и ИИ в управлении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два материала — один про ИИ-инструмент для операционного управления ресурсами, другой про восприятие технологической сложности руководителями практик; оба имеют проверяемые цифры.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 HealthCare — ИИ-прогнозирование дефицита мощности на горизонте 72 часов</w:t>
      </w:r>
      <w:r>
        <w:t xml:space="preserve">: сервис CareIntellect for Operations (SaaS на базе AWS) прогнозирует ограничения коечной, кадровой и ресурсной мощности на уровне отделения, подразделения и организации, используя данные о занятости коек, задержках пациентов, кадровой обеспеченности, времени ожидания и доступности вспомогательных служб, и предлагает корректирующие действия. Первые пилотные площадки — Duke Health (США) и The Queen’s Health Systems (Гавайи); по собственным данным GE HealthCare, предшествующая платформа Command Center (основа нового сервиса) используется почти в 500 больницах и медицинских организациях по всему миру и обеспечивает клиентам экономию до $20 млн в первый год (оценка компании, не проверена независимо). Сам новый сервис находится на стадии клинической оценки, собственных результатов пока не опубликовано. Дата анонса: 15.09.2026 (на 10 дней раньше формального окна, включено ввиду высокой релевантности теме операционного управления ресурсами). Источники: GE HealthCare (пресс-релиз), Fierce Healthcare, Healthcare Finance News. https://www.gehealthcare.com/en-us/about/newsroom/press-releases/ge-healthcare-announces-careintellect-for-operations-helping-health-systems-optimize-resources-and-expand-access-to-care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MGMA: технологии — в топ-4 факторов роста сложности управления практикой до 2036 года</w:t>
      </w:r>
      <w:r>
        <w:t xml:space="preserve">: по данным еженедельного опроса MGMA (228 применимых ответов руководителей медицинских групп США), факторами, которые добавят наибольшую сложность управлению практикой в следующее десятилетие, названы: оплата труда/тарифы — 35%, кадры — 25%, технологии — 21%, регулирование — 17%, прочее — 3%. Это опрос ожиданий, а не кейс внедрения конкретной практики, но он указывает на управленческую настороженность в отношении технологических инициатив. Дата: 29.09.2026 (в окне). Источник: MGMA, «MGMA Stat at 10: A Decade of Change». https://www.mgma.com/mgma-stat/mgma-stat-at-10-decade-of-change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технологии воспринимаются руководителями практик как один из главных источников управленческой сложности — это аргумент в пользу того, чтобы при любом цифровом внедрении (CRM, расписание, чат-боты) в клиниках УК закладывать отдельный бюджет и время не только на закупку системы, но и на управление изменениями и обучение персонала. Инструменты класса CareIntellect показывают направление развития (прогноз дефицита мощности на несколько дней вперёд), но в масштабе УК разумнее начинать с пилота на существующих данных записи/загрузки, а не с покупки крупной платформы.</w:t>
      </w:r>
    </w:p>
    <w:p>
      <w:r>
        <w:pict>
          <v:rect style="width:0;height:1.5pt" o:hralign="center" o:hrstd="t" o:hr="t"/>
        </w:pict>
      </w:r>
    </w:p>
    <w:bookmarkEnd w:id="23"/>
    <w:bookmarkStart w:id="24" w:name="качество-и-аккредитация"/>
    <w:p>
      <w:pPr>
        <w:pStyle w:val="Heading2"/>
      </w:pPr>
      <w:r>
        <w:t xml:space="preserve">3. Качество и аккредитация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практически пустое; значимых материалов по системам управления качеством, аккредитации или KPI клиники, прошедших фильтр по дате и достоверности, не найдено.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Контекст (не находка с результатами)</w:t>
      </w:r>
      <w:r>
        <w:t xml:space="preserve">: 42-я международная конференция ISQua прошла в Дублине 27–30.09.2026 как запланировано (подтверждено участие ирландского министра здравоохранения Дженнифер Кэррол Макнил и д-ра Майка Райана), однако пост-конференционные материалы — итоги секций, победители наград, содержательные выводы — не были обнаружены в поисковой выдаче на момент подготовки отчёта; индексируются только анонсные/программные страницы мероприятия. Это уже второй выпуск подряд, где конференция ISQua отмечена как «ожидается», но содержательных итогов пока нет. Источник: isqua.org, theccd.ie. https://isqua.org/conference/dublin-2026/</w:t>
      </w:r>
    </w:p>
    <w:p>
      <w:pPr>
        <w:pStyle w:val="FirstParagraph"/>
      </w:pPr>
      <w:r>
        <w:rPr>
          <w:bCs/>
          <w:b/>
        </w:rPr>
        <w:t xml:space="preserve">Явный пробел:</w:t>
      </w:r>
      <w:r>
        <w:t xml:space="preserve"> </w:t>
      </w:r>
      <w:r>
        <w:t xml:space="preserve">целевой поиск по KPI клиники, системам управления качеством, альтернативным аккредитациям (JCI, DNV/NIAHO) и управлению клиническими рисками с управленческой точки зрения не дал материалов, датированных окном 25.09–09.10.2026, ни на английском, ни на русском языке. Рекомендуется проверить итоги ISQua Dublin отдельно в следующем выпуске — пост-конференционные материалы обычно индексируются с задержкой в несколько недель.</w:t>
      </w:r>
    </w:p>
    <w:p>
      <w:pPr>
        <w:pStyle w:val="BodyText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в отсутствие новых внешних данных актуальные выводы по теме аккредитации остаются без изменений с предыдущих выпусков — отраслевого эмпирического бенчмарка эффективности JCI именно для амбулаторной хирургии по-прежнему не существует (отчёт от 25.09.2026), а специализированная сетевая аккредитация (Magrabi Health, Surgical Review Corporation) остаётся потенциально более достижимой альтернативой, которую стоит держать в поле зрения.</w:t>
      </w:r>
    </w:p>
    <w:p>
      <w:r>
        <w:pict>
          <v:rect style="width:0;height:1.5pt" o:hralign="center" o:hrstd="t" o:hr="t"/>
        </w:pict>
      </w:r>
    </w:p>
    <w:bookmarkEnd w:id="24"/>
    <w:bookmarkStart w:id="25" w:name="финансовая-модель-и-бизнес-модели"/>
    <w:p>
      <w:pPr>
        <w:pStyle w:val="Heading2"/>
      </w:pPr>
      <w:r>
        <w:t xml:space="preserve">4. Финансовая модель и бизнес-модели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нового кейса по value-based care или пакетным тарифам не найдено; единственная содержательная находка — предостерегающий пример экономики подписочной модели при расширении продуктовой линейки.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Hims &amp; Hers (США) — рост подписочной базы за счёт более дорогого продуктового микса сжимает маржу</w:t>
      </w:r>
      <w:r>
        <w:t xml:space="preserve">: по данным разбора отчётности за 2 квартал 2026 г., выручка выросла на 38% год к году до ≈$753 млн, число подписчиков — до 2,891 млн (с 2,584 млн в 1 квартале), выручка на подписчика в месяц — $92 (+21% год к году), в основном за счёт роста доли премиальных позиций (включая препараты для снижения веса). Одновременно валовая маржа упала с 76% до 64% год к году (себестоимость выросла на ≈112%, до $272,4 млн), скорректированная EBITDA-маржа снизилась с 15% до 8%, зафиксирован чистый убыток по GAAP $86,3 млн (против прибыли $42,5 млн годом ранее); расходы на маркетинг составили ≈35% выручки и больше половины валовой прибыли. Прогноз выручки на весь 2026 г. повышен до $3,1–3,3 млрд, но повышение частично объясняется приобретением компании Eucalyptus в июне 2026 г., то есть не является сопоставимым ростом «как есть». Первичные результаты объявлены 10.08.2026; разбор, использованный как источник цифр, опубликован 26.09.2026 (в окне). Источники: Hims &amp; Hers Health, Inc. (отчётность, investors.hims.com); beancount.io (разбор от 26.09.2026). https://beancount.io/blog/2026/09/26/hims-hers-q2-2026-earnings-analysis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Явный пробел:</w:t>
      </w:r>
      <w:r>
        <w:t xml:space="preserve"> </w:t>
      </w:r>
      <w:r>
        <w:t xml:space="preserve">новых кейсов по value-based care, пакетным тарифам, revenue cycle management или франшизному масштабированию, датированных окном и подтверждённых цифрами, не найдено. Данные по рынку частной медицины в России (рост выручки на 22% в 2024 г., прогноз +15% на 2025 г. по оценке Synopsis на данных Росстата) носят общерыночный, а не управленчески-практический характер и не включены как отдельная находка.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пример Hims &amp; Hers — прямое предостережение для премиального проекта сна/нейро-лонгевити УК: при расширении линейки подписочных продуктов в сторону более дорогих и сложных позиций нужно заранее моделировать влияние на валовую маржу и долю маркетинговых расходов в валовой прибыли, а не только отслеживать рост выручки и числа подписчиков — рост базы при одновременном сжатии маржи может оказаться管ляемо неустойчивым в среднесрочной перспективе.</w:t>
      </w:r>
    </w:p>
    <w:p>
      <w:r>
        <w:pict>
          <v:rect style="width:0;height:1.5pt" o:hralign="center" o:hrstd="t" o:hr="t"/>
        </w:pict>
      </w:r>
    </w:p>
    <w:bookmarkEnd w:id="25"/>
    <w:bookmarkStart w:id="26" w:name="hr-и-управление-персоналом"/>
    <w:p>
      <w:pPr>
        <w:pStyle w:val="Heading2"/>
      </w:pPr>
      <w:r>
        <w:t xml:space="preserve">5. HR и управление персоналом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насыщенное окно — три содержательные находки, две из них непосредственно в окне или на его границе.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Harris Poll — работодатели систематически недооценивают готовность персонала уйти</w:t>
      </w:r>
      <w:r>
        <w:t xml:space="preserve">: опрос 1514 работников здравоохранения прямого контакта с пациентами и 304 руководителей-работодателей в США (поле — 12.06–01.07.2026, заказчик — Strategic Education/Workforce Edge, что важно учитывать при оценке выводов о пользе образовательных льгот) показал: 59% работников заявили о готовности искать/рассматривать новую работу в течение года против оценки работодателей в 39%; специально про внешний поиск — 42% работников против 32% по оценке работодателей. Главной причиной уходов работники называют выгорание и эмоциональное истощение (51%, +15 п.п. год к году), тогда как работодатели — нехватку карьерного роста и развития (47%) — расхождение в диагнозе проблемы. Среди работодателей 97% называют удержание персонала приоритетом высокого/среднего уровня, но лишь 48% имеют комплексную стратегию обучения персонала. Разрыв выражен сильнее у поколения Z (70% готовы искать новую работу) против 31% у поколения бумеров. Дата публикации материала: 16.09.2026 (на 9 дней раньше окна, включено как самая содержательная HR-находка цикла). Источники: Chief Healthcare Executive, Medical Economics. https://www.chiefhealthcareexecutive.com/view/health-systems-are-underestimating-how-many-workers-plan-to-leave-harris-poll-finds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Becker’s Hospital Review — роль CHRO резко усиливается</w:t>
      </w:r>
      <w:r>
        <w:t xml:space="preserve">: по собственному отслеживанию Becker’s, с начала 2026 г. зафиксировано не менее 25 назначений CHRO/директоров по персоналу в больницах и системах здравоохранения США — более чем вдвое больше, чем 11 за весь 2025 год; к июлю зафиксировано 23 кадровых изменения на этой позиции (13 назначений, 10 уходов), в августе-сентябре добавилось ещё около 12. Новые назначенцы чаще приходят из других систем здравоохранения, а не из других отраслей; мандат должности расширяется, а ключевой метрикой успеха руководители называют не сам факт найма, а то, остаётся ли новый HR-директор в должности через год. Дата материалов — ориентировочно конец сентября 2026 г. (точная дата страницы не подтверждена независимо из-за ограничений доступа к первоисточнику в этом цикле; материал фигурирует в выпуске рассылки Becker’s от 30.09.2026). Источник: Becker’s Hospital Review, «CHRO hires have doubled in 2026, and the job is getting bigger». https://www.beckershospitalreview.com/workforce/chro-hires-have-doubled-in-2026-and-the-job-is-getting-bigger/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Becker’s Hospital Review — четыре HR-директора называют «неприкасаемые» инвестиции 2026 года</w:t>
      </w:r>
      <w:r>
        <w:t xml:space="preserve">: Saint Francis Health System (Талса) — развитие управленческих навыков линейных руководителей как приоритет №1; Baystate Health (Спрингфилд, Массачусетс) — реинвестирование $8,9 млн в льготы персонала, чтобы оградить сотрудников от роста стоимости медицинских услуг; Freeman Health System (Джоплин, Миссури) — найм по навыкам, гибкие модели занятости, технологии и развитие лидерства. Дата — ориентировочно конец сентября 2026 г. (та же оговорка по точности даты, что и выше; упоминается в рассылке Becker’s от 25.09.2026). Источник: Becker’s Hospital Review, «CHROs’ nonnegotiable workforce investments for 2026». https://www.beckershospitalreview.com/workforce/chros-nonnegotiable-workforce-investments-for-2026/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разрыв между восприятием руководства и реальной готовностью персонала уйти — прямой сигнал для УК провести собственный честный замер (не только общую вовлечённость, а конкретно намерение искать другую работу) отдельно от предположений руководства клиник, и явно назвать выгорание, а не только карьерный рост, ключевым фактором удержания. Рост значимости HR-функции в отрасли — аргумент в пользу того, чтобы в структуре УК HR-направление имело реальный мандат на развитие линейных руководителей и гибкую модель занятости, а не было вспомогательной административной функцией.</w:t>
      </w:r>
    </w:p>
    <w:p>
      <w:r>
        <w:pict>
          <v:rect style="width:0;height:1.5pt" o:hralign="center" o:hrstd="t" o:hr="t"/>
        </w:pict>
      </w:r>
    </w:p>
    <w:bookmarkEnd w:id="26"/>
    <w:bookmarkStart w:id="27" w:name="пациентский-опыт-и-маркетинг"/>
    <w:p>
      <w:pPr>
        <w:pStyle w:val="Heading2"/>
      </w:pPr>
      <w:r>
        <w:t xml:space="preserve">6. Пациентский опыт и маркетинг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одна содержательная находка, подтверждающая и количественно уточняющая тренд предыдущего отчёта о решающей роли лёгкости доступа.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Accenture — концепция «неопределённой середины» пациентской лояльности</w:t>
      </w:r>
      <w:r>
        <w:t xml:space="preserve">: опрос 10 000 потребителей медицинских услуг в США показал, что лишь 65% пациентов точно останутся с текущим поставщиком медицинской помощи; при этом готовность остаться падает примерно на 53 процентных пункта при переходе от «очень лёгкого» к «удовлетворительному» уровню вовлечённости, а при «очень лёгком» опыте взаимодействия готовность точно остаться достигает примерно 90%. По данным самой Accenture, доля пациентов, способных получить помощь тогда, когда это нужно, снизилась до 41% (с 48% в 2021 г.); по данным интервью с автором исследования в Medical Economics, эти цифры указаны иначе — 40% могут найти нужную помощь, когда это необходимо, и 56% могут записаться через предпочитаемый канал (расхождение между источниками не устранено, обе цифры приведены для полноты). Доклад Accenture опубликован 22.07.2026, ссылка в Medical Economics — 17.09.2026 (на 8 дней раньше окна, включено как уточнение продолжающегося тренда). Источники: Accenture, Medical Economics. https://www.medicaleconomics.com/view/loyalty-really-does-fall-off-a-cliff-why-making-things-easy-for-patients-may-not-be-enough-to-keep-them</w:t>
      </w:r>
    </w:p>
    <w:p>
      <w:pPr>
        <w:pStyle w:val="FirstParagraph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концепция «неопределённой середины» — пациентов, которые формально удовлетворены, но не привязаны к клинике, — полезна как самостоятельная сегментация для всех трёх профилей клиник УК: вместо общего NPS стоит отдельно отслеживать долю пациентов, которые «точно останутся» против «вероятно останутся», и проактивно работать именно со второй группой (повторные напоминания, упрощение записи), не дожидаясь явного оттока.</w:t>
      </w:r>
    </w:p>
    <w:p>
      <w:r>
        <w:pict>
          <v:rect style="width:0;height:1.5pt" o:hralign="center" o:hrstd="t" o:hr="t"/>
        </w:pict>
      </w:r>
    </w:p>
    <w:bookmarkEnd w:id="27"/>
    <w:bookmarkStart w:id="28" w:name="управление-сетьюгруппой-клиник"/>
    <w:p>
      <w:pPr>
        <w:pStyle w:val="Heading2"/>
      </w:pPr>
      <w:r>
        <w:t xml:space="preserve">7. Управление сетью/группой клиник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насыщенное окно — крупная сделка с чёткой моделью корпоративного управления объявлена непосредственно в период отчёта.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HealthPartners и Essentia Health (США) — модель полной интеграции вместо выборочных shared-services</w:t>
      </w:r>
      <w:r>
        <w:t xml:space="preserve">: вместо частичной модели совместных сервисов/афилиации две некоммерческие системы здравоохранения выбрали полное объединение под единым названием и единым советом директоров с представительством от местных сообществ, при этом объекты присоединяемой системы временно сохраняют локальный бренд на период перехода. Объединённая структура управления: Андреа Уолш (HealthPartners) возглавляет объединённую организацию, Дэвид Херман (Essentia) становится президентом объединённого операционного блока клинической помощи. Масштаб объединения: 22 больницы, более 135 клиник, около 45 000 сотрудников (HealthPartners — около 28 000, включая более 2000 клиницистов; Essentia — 14 больниц, 80 клиник, 16 500 сотрудников). Деньги между сторонами не переходят, финансовые/синергетические цели не раскрыты. Целевая дата вступления в силу — 01.01.2027, при условии прохождения государственной проверки общественного интереса. Дата объявления: 29.09.2026 (в окне); дальнейшее освещение — до 01.10.2026. Источники: Chief Healthcare Executive, MPR News, Becker’s Hospital Review, Fierce Healthcare. https://www.chiefhealthcareexecutive.com/view/healthpartners-essentia-plan-merger-to-form-22-hospital-system-questions-and-answers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Проверка «общественного интереса» на уровне штата как механизм управления слиянием некоммерческих медицинских организаций</w:t>
      </w:r>
      <w:r>
        <w:t xml:space="preserve">: генеральный прокурор штата Миннесота открыл формальную проверку сделки HealthPartners–Essentia в общественных интересах — со сбором публичных комментариев и консультациями с департаментом здравоохранения штата до одобрения сделки, а не после. Проверка носит процессный характер и остаётся открытой по состоянию на начало октября 2026 г., количественных итогов пока нет. Дата: 29.09.2026 (в окне). Источник: пресс-релиз генерального прокурора штата Миннесота. https://ag.state.mn.us/Office/Communications/2026/09/29_HealthPartners-Essentia.asp</w:t>
      </w:r>
    </w:p>
    <w:p>
      <w:pPr>
        <w:pStyle w:val="FirstParagraph"/>
      </w:pPr>
      <w:r>
        <w:rPr>
          <w:bCs/>
          <w:b/>
        </w:rPr>
        <w:t xml:space="preserve">Явный пробел (сохраняется четвёртый выпуск подряд):</w:t>
      </w:r>
      <w:r>
        <w:t xml:space="preserve"> </w:t>
      </w:r>
      <w:r>
        <w:t xml:space="preserve">датированного кейса именно о стандартизации или консолидации бэк-офиса между разнопрофильными клиниками внутри одной управляющей компании по-прежнему не найдено, несмотря на целевой поиск на английском и русском языках в каждом из четырёх параллельных циклов исследования этого выпуска. Единственный близкий по смыслу материал (кейс BRG о слиянии многоштатной системы здравоохранения США с экономией около $100 млн, включая $8 млн на сокращении корпоративных накладных расходов за 36 месяцев) датирован апрелем 2026 г. — слишком давно для включения как новой находки. Рекомендация по методу поиска — см. раздел «Рекомендации к применению», пункт 10.</w:t>
      </w:r>
    </w:p>
    <w:p>
      <w:pPr>
        <w:pStyle w:val="BodyText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решение «полная интеграция под единым брендом/советом директоров» против «сохранение локальной идентичности каждой клиники» — это именно тот управленческий выбор, перед которым объективно стоит УК при любом сценарии присоединения новой клиники или направления; кейс HealthPartners–Essentia показывает рабочий промежуточный вариант — объединённое корпоративное управление при временном сохранении локальных брендов на переходный период. Механизм проверки общественного интереса менее прямо применим к частной медицине в РФ, но напоминает о важности заблаговременной, а не постфактум, коммуникации с ключевыми стейкхолдерами (регулятор, пациенты, персонал) при структурных изменениях в сети.</w:t>
      </w:r>
    </w:p>
    <w:p>
      <w:r>
        <w:pict>
          <v:rect style="width:0;height:1.5pt" o:hralign="center" o:hrstd="t" o:hr="t"/>
        </w:pict>
      </w:r>
    </w:p>
    <w:bookmarkEnd w:id="28"/>
    <w:bookmarkStart w:id="29" w:name="глобальные-бенчмарки-и-кейсы"/>
    <w:p>
      <w:pPr>
        <w:pStyle w:val="Heading2"/>
      </w:pPr>
      <w:r>
        <w:t xml:space="preserve">8. Глобальные бенчмарки и кейсы</w:t>
      </w:r>
    </w:p>
    <w:p>
      <w:pPr>
        <w:pStyle w:val="FirstParagraph"/>
      </w:pPr>
      <w:r>
        <w:rPr>
          <w:bCs/>
          <w:b/>
        </w:rPr>
        <w:t xml:space="preserve">Тренд периода:</w:t>
      </w:r>
      <w:r>
        <w:t xml:space="preserve"> </w:t>
      </w:r>
      <w:r>
        <w:t xml:space="preserve">окно пустое; значимых материалов о практиках Mayo Clinic, Cleveland Clinic, Kaiser Permanente, азиатских медицинских хабов или крупных частных сетей Ближнего Востока/Европы, применимых к небольшим и средним частным клиникам и датированных окном, не найдено.</w:t>
      </w:r>
    </w:p>
    <w:p>
      <w:pPr>
        <w:pStyle w:val="BodyText"/>
      </w:pPr>
      <w:r>
        <w:rPr>
          <w:bCs/>
          <w:b/>
        </w:rPr>
        <w:t xml:space="preserve">Явный пробел:</w:t>
      </w:r>
      <w:r>
        <w:t xml:space="preserve"> </w:t>
      </w:r>
      <w:r>
        <w:t xml:space="preserve">целевой поиск (включая повторный поиск по азиатским операторам медицинского туризма и сетям Ближнего Востока) не дал материалов, прошедших фильтр по дате и достоверности. Ближайший найденный материал — программа Kaiser Permanente «Inside the Kaiser Permanente Model» для внешних руководителей систем здравоохранения (4–7.10.2026, Залив Сан-Франциско) — по времени проведения частично попадает в окно, но её повестка опубликована в июне 2026 г., а итоговых материалов по результатам программы пока нет; не включена как самостоятельная находка.</w:t>
      </w:r>
    </w:p>
    <w:p>
      <w:pPr>
        <w:pStyle w:val="BodyText"/>
      </w:pPr>
      <w:r>
        <w:rPr>
          <w:bCs/>
          <w:b/>
        </w:rPr>
        <w:t xml:space="preserve">Что это значит для нас:</w:t>
      </w:r>
      <w:r>
        <w:t xml:space="preserve"> </w:t>
      </w:r>
      <w:r>
        <w:t xml:space="preserve">в отсутствие новых данных актуальными остаются выводы предыдущих отчётов — модель специализированной сетевой аккредитации Magrabi Health и показатели интеграции сети PureHealth/Hellenic Healthcare Group (оба — отчёт от 25.09.2026) по-прежнему являются наиболее применимыми ориентирами из найденных на сегодня. Рекомендуется проверить итоги программы Kaiser Permanente в одном из следующих циклов, когда появятся материалы по факту её проведения.</w:t>
      </w:r>
    </w:p>
    <w:p>
      <w:r>
        <w:pict>
          <v:rect style="width:0;height:1.5pt" o:hralign="center" o:hrstd="t" o:hr="t"/>
        </w:pict>
      </w:r>
    </w:p>
    <w:bookmarkEnd w:id="29"/>
    <w:bookmarkStart w:id="30" w:name="рекомендации-к-применению"/>
    <w:p>
      <w:pPr>
        <w:pStyle w:val="Heading2"/>
      </w:pPr>
      <w:r>
        <w:t xml:space="preserve">Рекомендации к применению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Провести собственный замер готовности персонала искать другую работу</w:t>
      </w:r>
      <w:r>
        <w:t xml:space="preserve"> </w:t>
      </w:r>
      <w:r>
        <w:t xml:space="preserve">(не только общую вовлечённость) во всех трёх клиниках и сопоставить с предположениями руководства — по данным Harris Poll, такой разрыв в среднем по отрасли достигает 20 п.п. (раздел 5).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Явно признать выгорание, а не только карьерный рост, ключевым фактором удержания персонала</w:t>
      </w:r>
      <w:r>
        <w:t xml:space="preserve"> </w:t>
      </w:r>
      <w:r>
        <w:t xml:space="preserve">при планировании HR-программ и нагрузки — сотрудники и руководители расходятся именно в этом пункте (раздел 5).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Усилить мандат HR-функции в УК</w:t>
      </w:r>
      <w:r>
        <w:t xml:space="preserve"> </w:t>
      </w:r>
      <w:r>
        <w:t xml:space="preserve">на развитие линейных руководителей и гибкие модели занятости, по примеру инвестиций, которые ведущие американские системы здравоохранения называют «неприкасаемыми» (раздел 5).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 внедрении любого ИИ-инструмента планирования смен или расписания предусмотреть интерфейс объяснения решений для персонала</w:t>
      </w:r>
      <w:r>
        <w:t xml:space="preserve">, а не только оптимизационный алгоритм — именно прозрачность объяснений, а не автоматизация как таковая, статистически связана с удовлетворённостью (раздел 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Закладывать отдельный бюджет и время на управление изменениями при любом цифровом внедрении</w:t>
      </w:r>
      <w:r>
        <w:t xml:space="preserve"> </w:t>
      </w:r>
      <w:r>
        <w:t xml:space="preserve">(CRM, запись, чат-боты), а не только на закупку системы — руководители практик называют технологии одним из главных факторов управленческой сложности (раздел 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Для премиального проекта сна/нейро-лонгевити заранее моделировать влияние расширения продуктовой линейки на валовую маржу и долю маркетинговых расходов в валовой прибыли</w:t>
      </w:r>
      <w:r>
        <w:t xml:space="preserve">, прежде чем расширять подписочные тарифы в сторону более дорогих позиций — кейс Hims &amp; Hers показывает, что рост выручки и базы подписчиков может сопровождаться быстрым сжатием маржи (раздел 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Ввести отдельную сегментацию пациентов по вероятности остаться</w:t>
      </w:r>
      <w:r>
        <w:t xml:space="preserve"> </w:t>
      </w:r>
      <w:r>
        <w:t xml:space="preserve">(«точно останутся» / «вероятно останутся» / группа риска) вместо единого показателя удовлетворённости, и проактивно работать с «неопределённой серединой» до появления явных признаков оттока (раздел 6).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 любом сценарии присоединения новой клиники или направления заранее определить модель корпоративного управления</w:t>
      </w:r>
      <w:r>
        <w:t xml:space="preserve"> </w:t>
      </w:r>
      <w:r>
        <w:t xml:space="preserve">— полная интеграция под единым брендом/советом или сохранение локальной идентичности с общим бэк-офисом — и коммуницировать её стейкхолдерам до завершения сделки, а не после (раздел 7).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Отслеживать итоги конференции ISQua Dublin 2026 и программы Kaiser Permanente «Inside the Model» в следующем цикле</w:t>
      </w:r>
      <w:r>
        <w:t xml:space="preserve"> </w:t>
      </w:r>
      <w:r>
        <w:t xml:space="preserve">— содержательные материалы по обоим событиям на момент подготовки этого отчёта ещё не индексированы (разделы 3, 8).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Сменить метод поиска по теме стандартизации бэк-офиса между разнопрофильными клиниками одной УК</w:t>
      </w:r>
      <w:r>
        <w:t xml:space="preserve"> </w:t>
      </w:r>
      <w:r>
        <w:t xml:space="preserve">— после четырёх выпусков без результата целесообразно перейти от поиска готовых публикаций к точечным запросам по конкретным российским и международным мультипрофильным операторам (например, «Мать и дитя», «Медси», «СМ-Клиника», Bumrungrad, Raffles Medical Group) или к прямым интервью с их менеджментом, а не только к поисковым запросам по теме (раздел 7).</w:t>
      </w:r>
    </w:p>
    <w:p>
      <w:r>
        <w:pict>
          <v:rect style="width:0;height:1.5pt" o:hralign="center" o:hrstd="t" o:hr="t"/>
        </w:pict>
      </w:r>
    </w:p>
    <w:bookmarkEnd w:id="30"/>
    <w:bookmarkStart w:id="31" w:name="список-источников"/>
    <w:p>
      <w:pPr>
        <w:pStyle w:val="Heading2"/>
      </w:pPr>
      <w:r>
        <w:t xml:space="preserve">Список источников</w:t>
      </w:r>
    </w:p>
    <w:p>
      <w:pPr>
        <w:numPr>
          <w:ilvl w:val="0"/>
          <w:numId w:val="1010"/>
        </w:numPr>
        <w:pStyle w:val="Compact"/>
      </w:pPr>
      <w:r>
        <w:t xml:space="preserve">JMIR Nursing — «Explainable AI for Equitable Nurse Scheduling: Pragmatic Pre-Post Implementation Study», 2026;9:e94450 (принята к публикации 05.05.2026). https://nursing.jmir.org/2026/1/e94450</w:t>
      </w:r>
    </w:p>
    <w:p>
      <w:pPr>
        <w:numPr>
          <w:ilvl w:val="0"/>
          <w:numId w:val="1010"/>
        </w:numPr>
        <w:pStyle w:val="Compact"/>
      </w:pPr>
      <w:r>
        <w:t xml:space="preserve">GE HealthCare (пресс-релиз) — «GE HealthCare Announces CareIntellect for Operations», 15.09.2026; доп. освещение Fierce Healthcare, Healthcare Finance News. https://www.gehealthcare.com/en-us/about/newsroom/press-releases/ge-healthcare-announces-careintellect-for-operations-helping-health-systems-optimize-resources-and-expand-access-to-care</w:t>
      </w:r>
    </w:p>
    <w:p>
      <w:pPr>
        <w:numPr>
          <w:ilvl w:val="0"/>
          <w:numId w:val="1010"/>
        </w:numPr>
        <w:pStyle w:val="Compact"/>
      </w:pPr>
      <w:r>
        <w:t xml:space="preserve">MGMA — «MGMA Stat at 10: A Decade of Change», 29.09.2026. https://www.mgma.com/mgma-stat/mgma-stat-at-10-decade-of-change</w:t>
      </w:r>
    </w:p>
    <w:p>
      <w:pPr>
        <w:numPr>
          <w:ilvl w:val="0"/>
          <w:numId w:val="1010"/>
        </w:numPr>
        <w:pStyle w:val="Compact"/>
      </w:pPr>
      <w:r>
        <w:t xml:space="preserve">ISQua — страница 42-й международной конференции, Дублин, 27–30.09.2026 (пост-конференционные итоги не найдены на дату подготовки отчёта). https://isqua.org/conference/dublin-2026/</w:t>
      </w:r>
    </w:p>
    <w:p>
      <w:pPr>
        <w:numPr>
          <w:ilvl w:val="0"/>
          <w:numId w:val="1010"/>
        </w:numPr>
        <w:pStyle w:val="Compact"/>
      </w:pPr>
      <w:r>
        <w:t xml:space="preserve">Hims &amp; Hers Health, Inc. — финансовые результаты за 2 квартал 2026 г., 10.08.2026 (investors.hims.com); разбор — beancount.io, 26.09.2026. https://beancount.io/blog/2026/09/26/hims-hers-q2-2026-earnings-analysis</w:t>
      </w:r>
    </w:p>
    <w:p>
      <w:pPr>
        <w:numPr>
          <w:ilvl w:val="0"/>
          <w:numId w:val="1010"/>
        </w:numPr>
        <w:pStyle w:val="Compact"/>
      </w:pPr>
      <w:r>
        <w:t xml:space="preserve">Chief Healthcare Executive / Medical Economics — опрос Harris Poll «2026 Healthcare Workforce Barometer», 16.09.2026. https://www.chiefhealthcareexecutive.com/view/health-systems-are-underestimating-how-many-workers-plan-to-leave-harris-poll-finds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«CHRO hires have doubled in 2026, and the job is getting bigger», ориентировочно конец сентября 2026 г. (точная дата не подтверждена независимо). https://www.beckershospitalreview.com/workforce/chro-hires-have-doubled-in-2026-and-the-job-is-getting-bigger/</w:t>
      </w:r>
    </w:p>
    <w:p>
      <w:pPr>
        <w:numPr>
          <w:ilvl w:val="0"/>
          <w:numId w:val="1010"/>
        </w:numPr>
        <w:pStyle w:val="Compact"/>
      </w:pPr>
      <w:r>
        <w:t xml:space="preserve">Becker’s Hospital Review — «CHROs’ nonnegotiable workforce investments for 2026», ориентировочно конец сентября 2026 г. (точная дата не подтверждена независимо). https://www.beckershospitalreview.com/workforce/chros-nonnegotiable-workforce-investments-for-2026/</w:t>
      </w:r>
    </w:p>
    <w:p>
      <w:pPr>
        <w:numPr>
          <w:ilvl w:val="0"/>
          <w:numId w:val="1010"/>
        </w:numPr>
        <w:pStyle w:val="Compact"/>
      </w:pPr>
      <w:r>
        <w:t xml:space="preserve">Accenture / Medical Economics — опрос по пациентской лояльности («Turning patient uncertainty into loyalty»), отчёт Accenture 22.07.2026, освещение Medical Economics 17.09.2026. https://www.medicaleconomics.com/view/loyalty-really-does-fall-off-a-cliff-why-making-things-easy-for-patients-may-not-be-enough-to-keep-them</w:t>
      </w:r>
    </w:p>
    <w:p>
      <w:pPr>
        <w:numPr>
          <w:ilvl w:val="0"/>
          <w:numId w:val="1010"/>
        </w:numPr>
        <w:pStyle w:val="Compact"/>
      </w:pPr>
      <w:r>
        <w:t xml:space="preserve">Chief Healthcare Executive / MPR News / Becker’s Hospital Review / Fierce Healthcare — слияние HealthPartners и Essentia Health, 29.09–01.10.2026. https://www.chiefhealthcareexecutive.com/view/healthpartners-essentia-plan-merger-to-form-22-hospital-system-questions-and-answers</w:t>
      </w:r>
    </w:p>
    <w:p>
      <w:pPr>
        <w:numPr>
          <w:ilvl w:val="0"/>
          <w:numId w:val="1010"/>
        </w:numPr>
        <w:pStyle w:val="Compact"/>
      </w:pPr>
      <w:r>
        <w:t xml:space="preserve">Офис генерального прокурора штата Миннесота — пресс-релиз о проверке сделки HealthPartners–Essentia в общественных интересах, 29.09.2026. https://ag.state.mn.us/Office/Communications/2026/09/29_HealthPartners-Essentia.asp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Отчёт подготовлен ИИ-агентом мониторинга международных практик управления здравоохранением. В этом цикле инструмент прямой проверки первоисточников был недоступен на уровне сетевой политики среды выполнения — все данные опираются на материал, извлечённый инструментом веб-поиска непосредственно со страниц источников. Пункты с неподтверждённой независимо точной датой публикации отмечены явно — использовать такие пункты с дополнительной осторожностью при необходимости. Пробел по стандартизации бэк-офиса между разнопрофильными клиниками внутри одной УК сохраняется четвёртый выпуск подряд (см. рекомендацию №10). Направления «Качество и аккредитация» и «Глобальные бенчмарки» не дали содержательных новых материалов в этом цикле — актуальны выводы предыдущих выпусков.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2026-10-09T04:24:01Z</dcterms:created>
  <dcterms:modified xsi:type="dcterms:W3CDTF">2026-10-09T04:24:01Z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