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INV-1028</w:t>
      </w:r>
    </w:p>
    <w:p>
      <w:r>
        <w:t>invoice_date: June 24, 2025</w:t>
      </w:r>
    </w:p>
    <w:p>
      <w:r>
        <w:t>due_date: July 24, 2025</w:t>
      </w:r>
    </w:p>
    <w:p>
      <w:r>
        <w:t>currency: EUR</w:t>
      </w:r>
    </w:p>
    <w:p>
      <w:r>
        <w:t>tax: 75.59</w:t>
      </w:r>
    </w:p>
    <w:p>
      <w:r>
        <w:t>line_items: [{'description': 'Gadget', 'quantity': 9, 'unit_price': 12.44, 'amount': 111.96}, {'description': 'Gadget', 'quantity': 1, 'unit_price': 76.92, 'amount': 76.92}, {'description': 'Service', 'quantity': 3, 'unit_price': 199.05, 'amount': 597.15}, {'description': 'Service', 'quantity': 3, 'unit_price': 52.94, 'amount': 158.82}]</w:t>
      </w:r>
    </w:p>
    <w:p>
      <w:r>
        <w:t>po_reference: None</w:t>
      </w:r>
    </w:p>
    <w:p/>
    <w:p>
      <w:r>
        <w:t>TOTAL: 1020.44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