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</w:t>
      </w:r>
    </w:p>
    <w:p>
      <w:r>
        <w:t xml:space="preserve">  Arrowstack Corp</w:t>
      </w:r>
    </w:p>
    <w:p>
      <w:r>
        <w:t xml:space="preserve">  Globex Inc</w:t>
      </w:r>
    </w:p>
    <w:p>
      <w:r>
        <w:t>effective_date: 2025-06-28</w:t>
      </w:r>
    </w:p>
    <w:p>
      <w:r>
        <w:t>term_months: 12</w:t>
      </w:r>
    </w:p>
    <w:p>
      <w:r>
        <w:t>value: 77799.37</w:t>
      </w:r>
    </w:p>
    <w:p>
      <w:r>
        <w:t>currency: EUR</w:t>
      </w:r>
    </w:p>
    <w:p>
      <w:r>
        <w:t>termination_clause: None</w:t>
      </w:r>
    </w:p>
    <w:p>
      <w:r>
        <w:t>governing_law: Delaware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