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</w:t>
      </w:r>
    </w:p>
    <w:p>
      <w:r>
        <w:t xml:space="preserve">  Arrowstack Corp</w:t>
      </w:r>
    </w:p>
    <w:p>
      <w:r>
        <w:t xml:space="preserve">  Initech Partners</w:t>
      </w:r>
    </w:p>
    <w:p>
      <w:r>
        <w:t>effective_date: 04/03/2024</w:t>
      </w:r>
    </w:p>
    <w:p>
      <w:r>
        <w:t>term_months: 12</w:t>
      </w:r>
    </w:p>
    <w:p>
      <w:r>
        <w:t>value: 16561.85</w:t>
      </w:r>
    </w:p>
    <w:p>
      <w:r>
        <w:t>currency: USD</w:t>
      </w:r>
    </w:p>
    <w:p>
      <w:r>
        <w:t>termination_clause: None</w:t>
      </w:r>
    </w:p>
    <w:p>
      <w:r>
        <w:t>governing_law: Delaware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