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parties:</w:t>
      </w:r>
    </w:p>
    <w:p>
      <w:r>
        <w:t xml:space="preserve">  Arrowstack Corp</w:t>
      </w:r>
    </w:p>
    <w:p>
      <w:r>
        <w:t xml:space="preserve">  Globex Inc</w:t>
      </w:r>
    </w:p>
    <w:p>
      <w:r>
        <w:t>effective_date: 2025-05-23</w:t>
      </w:r>
    </w:p>
    <w:p>
      <w:r>
        <w:t>term_months: 6</w:t>
      </w:r>
    </w:p>
    <w:p>
      <w:r>
        <w:t>value: 87856.66</w:t>
      </w:r>
    </w:p>
    <w:p>
      <w:r>
        <w:t>currency: USD</w:t>
      </w:r>
    </w:p>
    <w:p>
      <w:r>
        <w:t>termination_clause: None</w:t>
      </w:r>
    </w:p>
    <w:p>
      <w:r>
        <w:t>governing_law: Delaware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