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880"/>
          </w:tcPr>
          <w:p>
            <w:pPr>
              <w:jc w:val="left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822960" cy="205126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0" cy="2051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type="dxa" w:w="4176"/>
          </w:tcPr>
          <w:p>
            <w:pPr>
              <w:jc w:val="center"/>
            </w:pPr>
            <w:r>
              <w:rPr>
                <w:rFonts w:ascii="Arial" w:hAnsi="Arial"/>
                <w:b/>
                <w:color w:val="1E293B"/>
                <w:sz w:val="22"/>
              </w:rPr>
              <w:t>Proposal (Technical)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rFonts w:ascii="Arial" w:hAnsi="Arial"/>
                <w:b/>
                <w:color w:val="1E293B"/>
                <w:sz w:val="19"/>
              </w:rPr>
              <w:t xml:space="preserve">ARK-08-04-657</w:t>
              <w:br/>
              <w:t xml:space="preserve">Version: 1.0</w:t>
            </w:r>
          </w:p>
        </w:tc>
      </w:tr>
    </w:tbl>
    <w:p>
      <w:pPr>
        <w:spacing w:after="480" w:before="80"/>
        <w:pBdr>
          <w:bottom w:val="single" w:sz="12" w:space="4" w:color="1F6FBF"/>
        </w:pBdr>
      </w:pPr>
    </w:p>
    <w:p>
      <w:pPr>
        <w:spacing w:before="240" w:after="360"/>
        <w:jc w:val="center"/>
      </w:pPr>
      <w:r>
        <w:rPr>
          <w:rFonts w:ascii="Arial" w:hAnsi="Arial"/>
          <w:b/>
          <w:color w:val="1F6FBF"/>
          <w:sz w:val="52"/>
        </w:rPr>
        <w:t xml:space="preserve">Lumova AI Test</w:t>
      </w:r>
    </w:p>
    <w:p>
      <w:pPr>
        <w:spacing w:before="240" w:after="480"/>
        <w:jc w:val="center"/>
      </w:pPr>
      <w:r>
        <w:t xml:space="preserve"/>
      </w:r>
      <w:r>
        <w:drawing>
          <wp:inline xmlns:a="http://schemas.openxmlformats.org/drawingml/2006/main" xmlns:pic="http://schemas.openxmlformats.org/drawingml/2006/picture">
            <wp:extent cx="2743200" cy="683753"/>
            <wp:docPr id="2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683753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>
      <w:pPr>
        <w:spacing w:before="240" w:after="480"/>
        <w:jc w:val="center"/>
      </w:pPr>
      <w:r>
        <w:rPr>
          <w:rFonts w:ascii="Arial" w:hAnsi="Arial"/>
          <w:b/>
          <w:color w:val="1F6FBF"/>
          <w:sz w:val="30"/>
        </w:rPr>
        <w:t xml:space="preserve">Proposal for Building Production Platform</w:t>
      </w:r>
    </w:p>
    <w:p>
      <w:pPr>
        <w:spacing w:before="240" w:after="960"/>
        <w:jc w:val="center"/>
      </w:pPr>
      <w:r>
        <w:rPr>
          <w:rFonts w:ascii="Arial" w:hAnsi="Arial"/>
          <w:b/>
          <w:color w:val="1F6FBF"/>
          <w:sz w:val="26"/>
        </w:rPr>
        <w:t>From AB Ark</w:t>
        <w:br/>
        <w:t>to</w:t>
        <w:br/>
        <w:t xml:space="preserve">Yancy</w:t>
      </w:r>
    </w:p>
    <w:p>
      <w:pPr>
        <w:spacing w:before="480" w:after="80"/>
      </w:pPr>
      <w:r>
        <w:rPr>
          <w:b/>
          <w:color w:val="1F6FBF"/>
          <w:sz w:val="19"/>
        </w:rPr>
        <w:t xml:space="preserve">Proposal ID: </w:t>
      </w:r>
      <w:r>
        <w:rPr>
          <w:b/>
          <w:color w:val="1F6FBF"/>
          <w:sz w:val="19"/>
        </w:rPr>
        <w:t xml:space="preserve">ARK-08-04-657</w:t>
        <w:br/>
      </w:r>
      <w:r>
        <w:rPr>
          <w:b/>
          <w:color w:val="1F6FBF"/>
          <w:sz w:val="19"/>
        </w:rPr>
        <w:t xml:space="preserve">Dated: </w:t>
      </w:r>
      <w:r>
        <w:rPr>
          <w:b/>
          <w:color w:val="1F6FBF"/>
          <w:sz w:val="19"/>
        </w:rPr>
        <w:t xml:space="preserve">8/4/2026</w:t>
      </w:r>
    </w:p>
    <w:p>
      <w:pPr>
        <w:spacing w:before="80" w:after="240"/>
      </w:pPr>
      <w:r>
        <w:rPr>
          <w:rFonts w:ascii="Arial" w:hAnsi="Arial"/>
          <w:i/>
          <w:color w:val="1F6FBF"/>
          <w:sz w:val="17"/>
        </w:rPr>
        <w:t>This proposal contains confidential and proprietary information belonging to AB {Ark}. It is provided solely for evaluation purposes by the intended client.</w:t>
      </w:r>
    </w:p>
    <w:p>
      <w:pPr>
        <w:pStyle w:val="Heading1"/>
        <w:pBdr>
          <w:bottom w:val="single" w:sz="12" w:space="4" w:color="1F6FBF"/>
        </w:pBdr>
      </w:pPr>
      <w:r>
        <w:t>1. Executive Summary</w:t>
      </w:r>
    </w:p>
    <w:p>
      <w:r>
        <w:t>This proposal outlines the production roadmap for Lumova AI.</w:t>
      </w:r>
    </w:p>
    <w:p>
      <w:pPr>
        <w:pStyle w:val="Heading2"/>
      </w:pPr>
      <w:r>
        <w:t>1.1 Objectives</w:t>
      </w:r>
    </w:p>
    <w:p>
      <w:pPr>
        <w:pStyle w:val="ListBullet"/>
      </w:pPr>
      <w:r>
        <w:t>High performance backend</w:t>
      </w:r>
    </w:p>
    <w:p>
      <w:pPr>
        <w:pStyle w:val="ListBullet"/>
      </w:pPr>
      <w:r>
        <w:t>Multi-tenant isolation</w:t>
      </w:r>
    </w:p>
    <w:p>
      <w:pPr>
        <w:pStyle w:val="Heading1"/>
        <w:pBdr>
          <w:bottom w:val="single" w:sz="12" w:space="4" w:color="1F6FBF"/>
        </w:pBdr>
      </w:pPr>
      <w:r>
        <w:t>3. Phase 1 — MVP Production Build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5616"/>
            <w:shd w:val="clear" w:color="auto"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E65100"/>
                <w:sz w:val="18"/>
              </w:rPr>
              <w:t>PHASE 1</w:t>
              <w:br/>
            </w:r>
            <w:r>
              <w:rPr>
                <w:rFonts w:ascii="Arial" w:hAnsi="Arial"/>
                <w:b/>
                <w:color w:val="FFFFFF"/>
                <w:sz w:val="28"/>
              </w:rPr>
              <w:t>MVP Production Build</w:t>
            </w:r>
          </w:p>
        </w:tc>
        <w:tc>
          <w:tcPr>
            <w:tcW w:type="dxa" w:w="2160"/>
            <w:shd w:val="clear" w:color="auto" w:fill="0F172A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left w:val="single" w:sz="8" w:space="0" w:color="475569"/>
            </w:tcBorders>
          </w:tcPr>
          <w:p>
            <w:pPr>
              <w:spacing w:before="0" w:after="40"/>
              <w:jc w:val="center"/>
            </w:pPr>
            <w:r>
              <w:rPr>
                <w:rFonts w:ascii="Arial" w:hAnsi="Arial"/>
                <w:color w:val="94A3B8"/>
                <w:sz w:val="17"/>
              </w:rPr>
              <w:t>Timeline</w:t>
              <w:br/>
            </w:r>
            <w:r>
              <w:rPr>
                <w:rFonts w:ascii="Arial" w:hAnsi="Arial"/>
                <w:b/>
                <w:color w:val="FFFFFF"/>
                <w:sz w:val="24"/>
              </w:rPr>
              <w:t>Weeks 1 – 6</w:t>
            </w:r>
          </w:p>
        </w:tc>
        <w:tc>
          <w:tcPr>
            <w:tcW w:type="dxa" w:w="2160"/>
            <w:shd w:val="clear" w:color="auto" w:fill="0F172A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left w:val="single" w:sz="8" w:space="0" w:color="475569"/>
            </w:tcBorders>
          </w:tcPr>
          <w:p>
            <w:pPr>
              <w:spacing w:before="0" w:after="40"/>
              <w:jc w:val="center"/>
            </w:pPr>
            <w:r>
              <w:rPr>
                <w:rFonts w:ascii="Arial" w:hAnsi="Arial"/>
                <w:color w:val="94A3B8"/>
                <w:sz w:val="17"/>
              </w:rPr>
              <w:t>Investment</w:t>
              <w:br/>
            </w:r>
            <w:r>
              <w:rPr>
                <w:rFonts w:ascii="Arial" w:hAnsi="Arial"/>
                <w:b/>
                <w:color w:val="E65100"/>
                <w:sz w:val="26"/>
              </w:rPr>
              <w:t>$8,000</w:t>
            </w:r>
          </w:p>
        </w:tc>
      </w:tr>
    </w:tbl>
    <w:p>
      <w:pPr>
        <w:spacing w:before="0" w:after="12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3312"/>
        <w:gridCol w:w="3312"/>
        <w:gridCol w:w="3312"/>
      </w:tblGrid>
      <w:tr>
        <w:tc>
          <w:tcPr>
            <w:tcW w:type="dxa" w:w="3312"/>
            <w:shd w:val="clear" w:color="auto" w:fill="0F172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21"/>
              </w:rPr>
              <w:t>Milestone</w:t>
            </w:r>
          </w:p>
        </w:tc>
        <w:tc>
          <w:tcPr>
            <w:tcW w:type="dxa" w:w="3312"/>
            <w:shd w:val="clear" w:color="auto" w:fill="0F172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21"/>
              </w:rPr>
              <w:t>Deliverable</w:t>
            </w:r>
          </w:p>
        </w:tc>
        <w:tc>
          <w:tcPr>
            <w:tcW w:type="dxa" w:w="3312"/>
            <w:shd w:val="clear" w:color="auto" w:fill="0F172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21"/>
              </w:rPr>
              <w:t>Amount</w:t>
            </w:r>
          </w:p>
        </w:tc>
      </w:tr>
      <w:tr>
        <w:tc>
          <w:tcPr>
            <w:tcW w:type="dxa" w:w="3312"/>
            <w:shd w:val="clear" w:color="auto"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21"/>
              </w:rPr>
              <w:t>M1</w:t>
            </w:r>
          </w:p>
        </w:tc>
        <w:tc>
          <w:tcPr>
            <w:tcW w:type="dxa" w:w="3312"/>
            <w:shd w:val="clear" w:color="auto"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21"/>
              </w:rPr>
              <w:t>AWS Setup</w:t>
            </w:r>
          </w:p>
        </w:tc>
        <w:tc>
          <w:tcPr>
            <w:tcW w:type="dxa" w:w="3312"/>
            <w:shd w:val="clear" w:color="auto"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21"/>
              </w:rPr>
              <w:t>$1,500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21"/>
              </w:rPr>
              <w:t>M2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21"/>
              </w:rPr>
              <w:t>FastAPI Backend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21"/>
              </w:rPr>
              <w:t>$2,200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