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2880"/>
          </w:tcPr>
          <w:p>
            <w:pPr>
              <w:jc w:val="left"/>
            </w:pPr>
            <w:r>
              <w:t xml:space="preserve"/>
            </w:r>
            <w:r>
              <w:drawing>
                <wp:inline xmlns:a="http://schemas.openxmlformats.org/drawingml/2006/main" xmlns:pic="http://schemas.openxmlformats.org/drawingml/2006/picture">
                  <wp:extent cx="822960" cy="205126"/>
                  <wp:docPr id="1" name="Picture 1"/>
                  <wp:cNvGraphicFramePr>
                    <a:graphicFrameLocks noChangeAspect="1"/>
                  </wp:cNvGraphicFramePr>
                  <a:graphic>
                    <a:graphicData uri="http://schemas.openxmlformats.org/drawingml/2006/picture">
                      <pic:pic>
                        <pic:nvPicPr>
                          <pic:cNvPr id="1" name="image.png"/>
                          <pic:cNvPicPr/>
                        </pic:nvPicPr>
                        <pic:blipFill>
                          <a:blip r:embed="rId11"/>
                          <a:stretch>
                            <a:fillRect/>
                          </a:stretch>
                        </pic:blipFill>
                        <pic:spPr>
                          <a:xfrm>
                            <a:off x="0" y="0"/>
                            <a:ext cx="822960" cy="205126"/>
                          </a:xfrm>
                          <a:prstGeom prst="rect"/>
                        </pic:spPr>
                      </pic:pic>
                    </a:graphicData>
                  </a:graphic>
                </wp:inline>
              </w:drawing>
            </w:r>
            <w:r>
              <w:t xml:space="preserve"/>
            </w:r>
          </w:p>
        </w:tc>
        <w:tc>
          <w:tcPr>
            <w:tcW w:type="dxa" w:w="4176"/>
          </w:tcPr>
          <w:p>
            <w:pPr>
              <w:jc w:val="center"/>
            </w:pPr>
            <w:r>
              <w:rPr>
                <w:rFonts w:ascii="Arial" w:hAnsi="Arial"/>
                <w:b/>
                <w:color w:val="1E293B"/>
                <w:sz w:val="22"/>
              </w:rPr>
              <w:t>Proposal (Technical)</w:t>
            </w:r>
          </w:p>
        </w:tc>
        <w:tc>
          <w:tcPr>
            <w:tcW w:type="dxa" w:w="2880"/>
          </w:tcPr>
          <w:p>
            <w:pPr>
              <w:jc w:val="right"/>
            </w:pPr>
            <w:r>
              <w:rPr>
                <w:rFonts w:ascii="Arial" w:hAnsi="Arial"/>
                <w:b/>
                <w:color w:val="1E293B"/>
                <w:sz w:val="19"/>
              </w:rPr>
              <w:t xml:space="preserve">ARK-08-04-681</w:t>
              <w:br/>
              <w:t xml:space="preserve">Version: 1.0</w:t>
            </w:r>
          </w:p>
        </w:tc>
      </w:tr>
    </w:tbl>
    <w:p>
      <w:pPr>
        <w:spacing w:after="480" w:before="80"/>
        <w:pBdr>
          <w:bottom w:val="single" w:sz="12" w:space="4" w:color="1F6FBF"/>
        </w:pBdr>
      </w:pPr>
    </w:p>
    <w:p>
      <w:pPr>
        <w:spacing w:before="240" w:after="360"/>
        <w:jc w:val="center"/>
      </w:pPr>
      <w:r>
        <w:rPr>
          <w:rFonts w:ascii="Arial" w:hAnsi="Arial"/>
          <w:b/>
          <w:color w:val="1F6FBF"/>
          <w:sz w:val="52"/>
        </w:rPr>
        <w:t xml:space="preserve">Lumova AI</w:t>
      </w:r>
    </w:p>
    <w:p>
      <w:pPr>
        <w:spacing w:before="240" w:after="480"/>
        <w:jc w:val="center"/>
      </w:pPr>
      <w:r>
        <w:t xml:space="preserve"/>
      </w:r>
      <w:r>
        <w:drawing>
          <wp:inline xmlns:a="http://schemas.openxmlformats.org/drawingml/2006/main" xmlns:pic="http://schemas.openxmlformats.org/drawingml/2006/picture">
            <wp:extent cx="2743200" cy="683753"/>
            <wp:docPr id="2" name="Picture 1"/>
            <wp:cNvGraphicFramePr>
              <a:graphicFrameLocks noChangeAspect="1"/>
            </wp:cNvGraphicFramePr>
            <a:graphic>
              <a:graphicData uri="http://schemas.openxmlformats.org/drawingml/2006/picture">
                <pic:pic>
                  <pic:nvPicPr>
                    <pic:cNvPr id="2" name="image.png"/>
                    <pic:cNvPicPr/>
                  </pic:nvPicPr>
                  <pic:blipFill>
                    <a:blip r:embed="rId11"/>
                    <a:stretch>
                      <a:fillRect/>
                    </a:stretch>
                  </pic:blipFill>
                  <pic:spPr>
                    <a:xfrm>
                      <a:off x="0" y="0"/>
                      <a:ext cx="2743200" cy="683753"/>
                    </a:xfrm>
                    <a:prstGeom prst="rect"/>
                  </pic:spPr>
                </pic:pic>
              </a:graphicData>
            </a:graphic>
          </wp:inline>
        </w:drawing>
      </w:r>
      <w:r>
        <w:t xml:space="preserve"/>
      </w:r>
    </w:p>
    <w:p>
      <w:pPr>
        <w:spacing w:before="240" w:after="480"/>
        <w:jc w:val="center"/>
      </w:pPr>
      <w:r>
        <w:rPr>
          <w:rFonts w:ascii="Arial" w:hAnsi="Arial"/>
          <w:b/>
          <w:color w:val="1F6FBF"/>
          <w:sz w:val="30"/>
        </w:rPr>
        <w:t xml:space="preserve">Proposal for Building Production Platform</w:t>
      </w:r>
    </w:p>
    <w:p>
      <w:pPr>
        <w:spacing w:before="240" w:after="960"/>
        <w:jc w:val="center"/>
      </w:pPr>
      <w:r>
        <w:rPr>
          <w:rFonts w:ascii="Arial" w:hAnsi="Arial"/>
          <w:b/>
          <w:color w:val="1F6FBF"/>
          <w:sz w:val="26"/>
        </w:rPr>
        <w:t>From AB Ark</w:t>
        <w:br/>
        <w:t>to</w:t>
        <w:br/>
        <w:t xml:space="preserve">Yancy</w:t>
      </w:r>
    </w:p>
    <w:p>
      <w:pPr>
        <w:spacing w:before="480" w:after="80"/>
      </w:pPr>
      <w:r>
        <w:rPr>
          <w:b/>
          <w:color w:val="1F6FBF"/>
          <w:sz w:val="19"/>
        </w:rPr>
        <w:t xml:space="preserve">Proposal ID: </w:t>
      </w:r>
      <w:r>
        <w:rPr>
          <w:b/>
          <w:color w:val="1F6FBF"/>
          <w:sz w:val="19"/>
        </w:rPr>
        <w:t xml:space="preserve">ARK-08-04-681</w:t>
        <w:br/>
      </w:r>
      <w:r>
        <w:rPr>
          <w:b/>
          <w:color w:val="1F6FBF"/>
          <w:sz w:val="19"/>
        </w:rPr>
        <w:t xml:space="preserve">Dated: </w:t>
      </w:r>
      <w:r>
        <w:rPr>
          <w:b/>
          <w:color w:val="1F6FBF"/>
          <w:sz w:val="19"/>
        </w:rPr>
        <w:t xml:space="preserve">8/4/2026</w:t>
      </w:r>
    </w:p>
    <w:p>
      <w:pPr>
        <w:spacing w:before="80" w:after="240"/>
      </w:pPr>
      <w:r>
        <w:rPr>
          <w:rFonts w:ascii="Arial" w:hAnsi="Arial"/>
          <w:i/>
          <w:color w:val="1F6FBF"/>
          <w:sz w:val="17"/>
        </w:rPr>
        <w:t>This proposal contains confidential and proprietary information belonging to AB {Ark}. It is provided solely for evaluation purposes by the intended client.</w:t>
      </w:r>
    </w:p>
    <w:p>
      <w:pPr>
        <w:pStyle w:val="Heading1"/>
        <w:pBdr>
          <w:bottom w:val="single" w:sz="12" w:space="4" w:color="1F6FBF"/>
        </w:pBdr>
      </w:pPr>
      <w:r>
        <w:t>1. Executive Summary</w:t>
      </w:r>
    </w:p>
    <w:p>
      <w:r>
        <w:t>Ark is pleased to submit this proposal to Yancy for the design and implementation of Lumova AI, an advanced structural health monitoring and predictive maintenance platform. This project aims to bridge the gap between autonomous drone data capture and actionable building intelligence by deploying a scalable, multi-tenant cloud architecture on AWS.</w:t>
      </w:r>
    </w:p>
    <w:p>
      <w:r>
        <w:t>The Lumova AI solution will serve as a high-fidelity digital twin engine, utilizing a custom-tuned YOLOv26 defect detection model to automate infrastructure inspection. By integrating industrial-grade computer vision with a robust Stripe-integrated billing backend, we provide Yancy with a turnkey solution capable of enterprise-level scalability from day one.</w:t>
      </w:r>
    </w:p>
    <w:p>
      <w:pPr>
        <w:pStyle w:val="Heading2"/>
      </w:pPr>
      <w:r>
        <w:t>1.1 Technical Architecture Overview</w:t>
      </w:r>
    </w:p>
    <w:p>
      <w:r>
        <w:t>The solution leverages a modern, event-driven architecture designed for high availability and low latency. Our deployment strategy utilizes AWS SageMaker for model inference, ensuring that YOLOv26 workloads are isolated, performant, and cost-optimized. The imagery ingestion pipeline utilizes an asynchronous serverless approach to minimize operational overhead while maintaining data integrity.</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Component</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Technology / Service</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Strategic Value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**Frontend**</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React 19 (TypeScript)</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High-performance, reactive UI for 3D digital twin rendering.</w:t>
            </w:r>
          </w:p>
        </w:tc>
      </w:tr>
      <w:tr>
        <w:tc>
          <w:tcPr>
            <w:tcW w:type="dxa" w:w="3312"/>
            <w:tcMar>
              <w:top w:w="100" w:type="dxa"/>
              <w:bottom w:w="100" w:type="dxa"/>
              <w:left w:w="150" w:type="dxa"/>
              <w:right w:w="150" w:type="dxa"/>
            </w:tcMar>
          </w:tcPr>
          <w:p>
            <w:pPr>
              <w:spacing w:before="0" w:after="0"/>
            </w:pPr>
            <w:r>
              <w:rPr>
                <w:rFonts w:ascii="Arial" w:hAnsi="Arial"/>
                <w:color w:val="1E293B"/>
                <w:sz w:val="21"/>
              </w:rPr>
              <w:t>**Compute / API**</w:t>
            </w:r>
          </w:p>
        </w:tc>
        <w:tc>
          <w:tcPr>
            <w:tcW w:type="dxa" w:w="3312"/>
            <w:tcMar>
              <w:top w:w="100" w:type="dxa"/>
              <w:bottom w:w="100" w:type="dxa"/>
              <w:left w:w="150" w:type="dxa"/>
              <w:right w:w="150" w:type="dxa"/>
            </w:tcMar>
          </w:tcPr>
          <w:p>
            <w:pPr>
              <w:spacing w:before="0" w:after="0"/>
            </w:pPr>
            <w:r>
              <w:rPr>
                <w:rFonts w:ascii="Arial" w:hAnsi="Arial"/>
                <w:color w:val="1E293B"/>
                <w:sz w:val="21"/>
              </w:rPr>
              <w:t>Python FastAPI</w:t>
            </w:r>
          </w:p>
        </w:tc>
        <w:tc>
          <w:tcPr>
            <w:tcW w:type="dxa" w:w="3312"/>
            <w:tcMar>
              <w:top w:w="100" w:type="dxa"/>
              <w:bottom w:w="100" w:type="dxa"/>
              <w:left w:w="150" w:type="dxa"/>
              <w:right w:w="150" w:type="dxa"/>
            </w:tcMar>
          </w:tcPr>
          <w:p>
            <w:pPr>
              <w:spacing w:before="0" w:after="0"/>
            </w:pPr>
            <w:r>
              <w:rPr>
                <w:rFonts w:ascii="Arial" w:hAnsi="Arial"/>
                <w:color w:val="1E293B"/>
                <w:sz w:val="21"/>
              </w:rPr>
              <w:t>Asynchronous request handling for multi-tenant throughput.</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**Inference Engine**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SageMaker / YOLOv26</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GPU-accelerated defect identification with retraining capabilities.</w:t>
            </w:r>
          </w:p>
        </w:tc>
      </w:tr>
      <w:tr>
        <w:tc>
          <w:tcPr>
            <w:tcW w:type="dxa" w:w="3312"/>
            <w:tcMar>
              <w:top w:w="100" w:type="dxa"/>
              <w:bottom w:w="100" w:type="dxa"/>
              <w:left w:w="150" w:type="dxa"/>
              <w:right w:w="150" w:type="dxa"/>
            </w:tcMar>
          </w:tcPr>
          <w:p>
            <w:pPr>
              <w:spacing w:before="0" w:after="0"/>
            </w:pPr>
            <w:r>
              <w:rPr>
                <w:rFonts w:ascii="Arial" w:hAnsi="Arial"/>
                <w:color w:val="1E293B"/>
                <w:sz w:val="21"/>
              </w:rPr>
              <w:t>**Storage / Data**</w:t>
            </w:r>
          </w:p>
        </w:tc>
        <w:tc>
          <w:tcPr>
            <w:tcW w:type="dxa" w:w="3312"/>
            <w:tcMar>
              <w:top w:w="100" w:type="dxa"/>
              <w:bottom w:w="100" w:type="dxa"/>
              <w:left w:w="150" w:type="dxa"/>
              <w:right w:w="150" w:type="dxa"/>
            </w:tcMar>
          </w:tcPr>
          <w:p>
            <w:pPr>
              <w:spacing w:before="0" w:after="0"/>
            </w:pPr>
            <w:r>
              <w:rPr>
                <w:rFonts w:ascii="Arial" w:hAnsi="Arial"/>
                <w:color w:val="1E293B"/>
                <w:sz w:val="21"/>
              </w:rPr>
              <w:t>AWS S3 / PostgreSQL RDS</w:t>
            </w:r>
          </w:p>
        </w:tc>
        <w:tc>
          <w:tcPr>
            <w:tcW w:type="dxa" w:w="3312"/>
            <w:tcMar>
              <w:top w:w="100" w:type="dxa"/>
              <w:bottom w:w="100" w:type="dxa"/>
              <w:left w:w="150" w:type="dxa"/>
              <w:right w:w="150" w:type="dxa"/>
            </w:tcMar>
          </w:tcPr>
          <w:p>
            <w:pPr>
              <w:spacing w:before="0" w:after="0"/>
            </w:pPr>
            <w:r>
              <w:rPr>
                <w:rFonts w:ascii="Arial" w:hAnsi="Arial"/>
                <w:color w:val="1E293B"/>
                <w:sz w:val="21"/>
              </w:rPr>
              <w:t>Scalable asset storage and ACID-compliant relational metadata.</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**Payment Gateway**</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Stripe API</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Secure, compliant subscription and usage-based billing.</w:t>
            </w:r>
          </w:p>
        </w:tc>
      </w:tr>
    </w:tbl>
    <w:p>
      <w:pPr>
        <w:pStyle w:val="Heading2"/>
      </w:pPr>
      <w:r>
        <w:t>1.2 Strategic Phasing &amp; Timeline</w:t>
      </w:r>
    </w:p>
    <w:p>
      <w:r>
        <w:t>We have structured the delivery of Lumova AI into two distinct phases to ensure rapid value realization followed by deep-system integration.</w:t>
      </w:r>
    </w:p>
    <w:p>
      <w:pPr>
        <w:pStyle w:val="ListBullet"/>
      </w:pPr>
      <w:r>
        <w:t>Phase 1 (Weeks 1-5): Infrastructure foundation, S3-to-Lambda ingestion pipeline, and the implementation of the FastAPI multi-tenant backend with integrated Stripe billing.</w:t>
      </w:r>
    </w:p>
    <w:p>
      <w:pPr>
        <w:pStyle w:val="ListBullet"/>
      </w:pPr>
      <w:r>
        <w:t>Phase 2 (Weeks 6-14): Deployment of the YOLOv26 SageMaker model, 3D Digital Twin visualization integration, and final production hardening.</w:t>
      </w:r>
    </w:p>
    <w:p>
      <w:pPr>
        <w:pStyle w:val="Heading2"/>
      </w:pPr>
      <w:r>
        <w:t>1.3 Investment Summary</w:t>
      </w:r>
    </w:p>
    <w:p>
      <w:r>
        <w:t>The total fixed-fee investment for the Lumova AI project is $28,000. This budget covers end-to-end engineering, cloud environment configuration, model training orchestration, and a final production hand-off.</w:t>
      </w:r>
    </w:p>
    <w:p>
      <w:pPr>
        <w:pStyle w:val="ListBullet"/>
      </w:pPr>
      <w:r>
        <w:t>Phase 1 Cost: $12,000 (Milestone: Operational Data Pipeline &amp; SaaS Billing)</w:t>
      </w:r>
    </w:p>
    <w:p>
      <w:pPr>
        <w:pStyle w:val="ListBullet"/>
      </w:pPr>
      <w:r>
        <w:t>Phase 2 Cost: $16,000 (Milestone: Model Deployment &amp; Digital Twin Visualization)</w:t>
      </w:r>
    </w:p>
    <w:p>
      <w:pPr>
        <w:pStyle w:val="Heading2"/>
      </w:pPr>
      <w:r>
        <w:t>1.4 The Ark Advantage</w:t>
      </w:r>
    </w:p>
    <w:p>
      <w:r>
        <w:t>Ark provides more than code; we provide an enterprise-hardened deployment strategy. By selecting Ark, Yancy gains access to a team that specializes in the intersection of AWS infrastructure and computer vision. Our commitment to using FastAPI ensures that the backend is ready for high-concurrency environments, while our YOLOv26 implementation provides the sub-millimeter defect detection required for building health scoring. We are prepared to mobilize immediately upon project approval to hit the Phase 1 milestones within the five-week window.</w:t>
      </w:r>
    </w:p>
    <w:p>
      <w:pPr>
        <w:pStyle w:val="Heading1"/>
        <w:pBdr>
          <w:bottom w:val="single" w:sz="12" w:space="4" w:color="1F6FBF"/>
        </w:pBdr>
      </w:pPr>
      <w:r>
        <w:t>2. Current State — POC Assessment</w:t>
      </w:r>
    </w:p>
    <w:p>
      <w:r>
        <w:t>Our technical evaluation of the Lumova AI platform identifies a high-potential architecture that currently requires hardening to transition from a prototype to an enterprise-grade SaaS production environment. The current Proof of Concept (POC) setup provides a foundation for 3D imagery ingestion, but exhibits significant bottlenecks in scalability, data integrity, and multi-tenancy isolation.</w:t>
      </w:r>
    </w:p>
    <w:p>
      <w:pPr>
        <w:pStyle w:val="Heading2"/>
      </w:pPr>
      <w:r>
        <w:t>2.1 Architectural Maturity &amp; Infrastructure</w:t>
      </w:r>
    </w:p>
    <w:p>
      <w:r>
        <w:t>The current ingestion pipeline—relying on AWS S3 triggers and basic Lambda execution—lacks the necessary concurrency controls required for high-resolution drone imagery processing. While the selection of AWS SageMaker for the YOLOv26 model is appropriate for model training, the inference deployment strategy must be decoupled from the ingestion pipeline to avoid payload timeouts and resource contention.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Component</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Current Status</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Risk Profile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**Ingestion Pipeline**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S3 -&gt; Lambda</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Low: High latency on large payloads</w:t>
            </w:r>
          </w:p>
        </w:tc>
      </w:tr>
      <w:tr>
        <w:tc>
          <w:tcPr>
            <w:tcW w:type="dxa" w:w="3312"/>
            <w:tcMar>
              <w:top w:w="100" w:type="dxa"/>
              <w:bottom w:w="100" w:type="dxa"/>
              <w:left w:w="150" w:type="dxa"/>
              <w:right w:w="150" w:type="dxa"/>
            </w:tcMar>
          </w:tcPr>
          <w:p>
            <w:pPr>
              <w:spacing w:before="0" w:after="0"/>
            </w:pPr>
            <w:r>
              <w:rPr>
                <w:rFonts w:ascii="Arial" w:hAnsi="Arial"/>
                <w:color w:val="1E293B"/>
                <w:sz w:val="21"/>
              </w:rPr>
              <w:t>**Inference Engine**</w:t>
            </w:r>
          </w:p>
        </w:tc>
        <w:tc>
          <w:tcPr>
            <w:tcW w:type="dxa" w:w="3312"/>
            <w:tcMar>
              <w:top w:w="100" w:type="dxa"/>
              <w:bottom w:w="100" w:type="dxa"/>
              <w:left w:w="150" w:type="dxa"/>
              <w:right w:w="150" w:type="dxa"/>
            </w:tcMar>
          </w:tcPr>
          <w:p>
            <w:pPr>
              <w:spacing w:before="0" w:after="0"/>
            </w:pPr>
            <w:r>
              <w:rPr>
                <w:rFonts w:ascii="Arial" w:hAnsi="Arial"/>
                <w:color w:val="1E293B"/>
                <w:sz w:val="21"/>
              </w:rPr>
              <w:t>SageMaker-based YOLOv26</w:t>
            </w:r>
          </w:p>
        </w:tc>
        <w:tc>
          <w:tcPr>
            <w:tcW w:type="dxa" w:w="3312"/>
            <w:tcMar>
              <w:top w:w="100" w:type="dxa"/>
              <w:bottom w:w="100" w:type="dxa"/>
              <w:left w:w="150" w:type="dxa"/>
              <w:right w:w="150" w:type="dxa"/>
            </w:tcMar>
          </w:tcPr>
          <w:p>
            <w:pPr>
              <w:spacing w:before="0" w:after="0"/>
            </w:pPr>
            <w:r>
              <w:rPr>
                <w:rFonts w:ascii="Arial" w:hAnsi="Arial"/>
                <w:color w:val="1E293B"/>
                <w:sz w:val="21"/>
              </w:rPr>
              <w:t>Medium: Cold-start and auto-scaling gaps</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**Backend API**</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FastAPI (Monolithic)</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High: Lacks multi-tenant logical isolation</w:t>
            </w:r>
          </w:p>
        </w:tc>
      </w:tr>
      <w:tr>
        <w:tc>
          <w:tcPr>
            <w:tcW w:type="dxa" w:w="3312"/>
            <w:tcMar>
              <w:top w:w="100" w:type="dxa"/>
              <w:bottom w:w="100" w:type="dxa"/>
              <w:left w:w="150" w:type="dxa"/>
              <w:right w:w="150" w:type="dxa"/>
            </w:tcMar>
          </w:tcPr>
          <w:p>
            <w:pPr>
              <w:spacing w:before="0" w:after="0"/>
            </w:pPr>
            <w:r>
              <w:rPr>
                <w:rFonts w:ascii="Arial" w:hAnsi="Arial"/>
                <w:color w:val="1E293B"/>
                <w:sz w:val="21"/>
              </w:rPr>
              <w:t>**Data Layer**</w:t>
            </w:r>
          </w:p>
        </w:tc>
        <w:tc>
          <w:tcPr>
            <w:tcW w:type="dxa" w:w="3312"/>
            <w:tcMar>
              <w:top w:w="100" w:type="dxa"/>
              <w:bottom w:w="100" w:type="dxa"/>
              <w:left w:w="150" w:type="dxa"/>
              <w:right w:w="150" w:type="dxa"/>
            </w:tcMar>
          </w:tcPr>
          <w:p>
            <w:pPr>
              <w:spacing w:before="0" w:after="0"/>
            </w:pPr>
            <w:r>
              <w:rPr>
                <w:rFonts w:ascii="Arial" w:hAnsi="Arial"/>
                <w:color w:val="1E293B"/>
                <w:sz w:val="21"/>
              </w:rPr>
              <w:t>PostgreSQL RDS</w:t>
            </w:r>
          </w:p>
        </w:tc>
        <w:tc>
          <w:tcPr>
            <w:tcW w:type="dxa" w:w="3312"/>
            <w:tcMar>
              <w:top w:w="100" w:type="dxa"/>
              <w:bottom w:w="100" w:type="dxa"/>
              <w:left w:w="150" w:type="dxa"/>
              <w:right w:w="150" w:type="dxa"/>
            </w:tcMar>
          </w:tcPr>
          <w:p>
            <w:pPr>
              <w:spacing w:before="0" w:after="0"/>
            </w:pPr>
            <w:r>
              <w:rPr>
                <w:rFonts w:ascii="Arial" w:hAnsi="Arial"/>
                <w:color w:val="1E293B"/>
                <w:sz w:val="21"/>
              </w:rPr>
              <w:t>Medium: Schema evolution risks</w:t>
            </w:r>
          </w:p>
        </w:tc>
      </w:tr>
    </w:tbl>
    <w:p>
      <w:pPr>
        <w:pStyle w:val="Heading2"/>
      </w:pPr>
      <w:r>
        <w:t>2.2 Functional Gap Analysis</w:t>
      </w:r>
    </w:p>
    <w:p>
      <w:r>
        <w:t>The transition to a multi-tenant model is the primary engineering challenge for Phase 1. Our assessment indicates that the existing FastAPI implementation is not currently enforcing Row-Level Security (RLS) within the RDS PostgreSQL instance. To meet the Project Lumova requirements, we must implement:</w:t>
      </w:r>
    </w:p>
    <w:p>
      <w:r>
        <w:t>1. Schema/Data Partitioning: Ensuring absolute data separation between tenants to prevent cross-account leakage.</w:t>
      </w:r>
    </w:p>
    <w:p>
      <w:r>
        <w:t>2. Billing Integration: Seamless binding of Stripe `customer_id` objects to tenant IDs within the database to automate lifecycle management.</w:t>
      </w:r>
    </w:p>
    <w:p>
      <w:r>
        <w:t>3. Computer Vision Performance: The current OpenCV-based pre-processing pipeline is CPU-bound; optimization via AWS Graviton instances or optimized ECR container images is required to hit target latency benchmarks.</w:t>
      </w:r>
    </w:p>
    <w:p>
      <w:pPr>
        <w:pStyle w:val="Heading2"/>
      </w:pPr>
      <w:r>
        <w:t>2.3 Operational Bottlenecks</w:t>
      </w:r>
    </w:p>
    <w:p>
      <w:r>
        <w:t>We have identified three critical areas where current architectural choices will impede the 14-week delivery timeline:</w:t>
      </w:r>
    </w:p>
    <w:p>
      <w:pPr>
        <w:pStyle w:val="ListBullet"/>
      </w:pPr>
      <w:r>
        <w:t>Model Latency (YOLOv26): Inference times for 3D digital twins are currently exceeding thresholds for real-time reporting. This requires migrating from standard batch processing to an asynchronous queue-based architecture using Amazon SQS to manage inferencing jobs.</w:t>
      </w:r>
    </w:p>
    <w:p>
      <w:pPr>
        <w:pStyle w:val="ListBullet"/>
      </w:pPr>
      <w:r>
        <w:t>Front-end State Management: The React 19 implementation lacks a unified caching layer (e.g., React Query or SWR), which will lead to excessive API calls and increased RDS load during multi-user dashboard sessions.</w:t>
      </w:r>
    </w:p>
    <w:p>
      <w:pPr>
        <w:pStyle w:val="ListBullet"/>
      </w:pPr>
      <w:r>
        <w:t>Deployment Lifecycle: The absence of a robust CI/CD pipeline (currently manual or script-based) introduces human error risks into the 5-week Phase 1 cycle.</w:t>
      </w:r>
    </w:p>
    <w:p>
      <w:pPr>
        <w:pStyle w:val="Heading2"/>
      </w:pPr>
      <w:r>
        <w:t>2.4 Technology Stack Alignment</w:t>
      </w:r>
    </w:p>
    <w:p>
      <w:r>
        <w:t>The stack is currently positioned for rapid iteration but requires stabilization to support the enterprise-scale demands of the $28,000 budget scope.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Layer</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Proposed Hardened Tech</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Justification</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**Compute**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ECS Fargate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Serverless container orchestration for consistency</w:t>
            </w:r>
          </w:p>
        </w:tc>
      </w:tr>
      <w:tr>
        <w:tc>
          <w:tcPr>
            <w:tcW w:type="dxa" w:w="3312"/>
            <w:tcMar>
              <w:top w:w="100" w:type="dxa"/>
              <w:bottom w:w="100" w:type="dxa"/>
              <w:left w:w="150" w:type="dxa"/>
              <w:right w:w="150" w:type="dxa"/>
            </w:tcMar>
          </w:tcPr>
          <w:p>
            <w:pPr>
              <w:spacing w:before="0" w:after="0"/>
            </w:pPr>
            <w:r>
              <w:rPr>
                <w:rFonts w:ascii="Arial" w:hAnsi="Arial"/>
                <w:color w:val="1E293B"/>
                <w:sz w:val="21"/>
              </w:rPr>
              <w:t>**Database**</w:t>
            </w:r>
          </w:p>
        </w:tc>
        <w:tc>
          <w:tcPr>
            <w:tcW w:type="dxa" w:w="3312"/>
            <w:tcMar>
              <w:top w:w="100" w:type="dxa"/>
              <w:bottom w:w="100" w:type="dxa"/>
              <w:left w:w="150" w:type="dxa"/>
              <w:right w:w="150" w:type="dxa"/>
            </w:tcMar>
          </w:tcPr>
          <w:p>
            <w:pPr>
              <w:spacing w:before="0" w:after="0"/>
            </w:pPr>
            <w:r>
              <w:rPr>
                <w:rFonts w:ascii="Arial" w:hAnsi="Arial"/>
                <w:color w:val="1E293B"/>
                <w:sz w:val="21"/>
              </w:rPr>
              <w:t>PostgreSQL RDS (Multi-AZ)</w:t>
            </w:r>
          </w:p>
        </w:tc>
        <w:tc>
          <w:tcPr>
            <w:tcW w:type="dxa" w:w="3312"/>
            <w:tcMar>
              <w:top w:w="100" w:type="dxa"/>
              <w:bottom w:w="100" w:type="dxa"/>
              <w:left w:w="150" w:type="dxa"/>
              <w:right w:w="150" w:type="dxa"/>
            </w:tcMar>
          </w:tcPr>
          <w:p>
            <w:pPr>
              <w:spacing w:before="0" w:after="0"/>
            </w:pPr>
            <w:r>
              <w:rPr>
                <w:rFonts w:ascii="Arial" w:hAnsi="Arial"/>
                <w:color w:val="1E293B"/>
                <w:sz w:val="21"/>
              </w:rPr>
              <w:t>High availability and RLS support</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**Inference**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SageMaker Inference Endpoints</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Native scaling for YOLOv26 models</w:t>
            </w:r>
          </w:p>
        </w:tc>
      </w:tr>
      <w:tr>
        <w:tc>
          <w:tcPr>
            <w:tcW w:type="dxa" w:w="3312"/>
            <w:tcMar>
              <w:top w:w="100" w:type="dxa"/>
              <w:bottom w:w="100" w:type="dxa"/>
              <w:left w:w="150" w:type="dxa"/>
              <w:right w:w="150" w:type="dxa"/>
            </w:tcMar>
          </w:tcPr>
          <w:p>
            <w:pPr>
              <w:spacing w:before="0" w:after="0"/>
            </w:pPr>
            <w:r>
              <w:rPr>
                <w:rFonts w:ascii="Arial" w:hAnsi="Arial"/>
                <w:color w:val="1E293B"/>
                <w:sz w:val="21"/>
              </w:rPr>
              <w:t>**Frontend**</w:t>
            </w:r>
          </w:p>
        </w:tc>
        <w:tc>
          <w:tcPr>
            <w:tcW w:type="dxa" w:w="3312"/>
            <w:tcMar>
              <w:top w:w="100" w:type="dxa"/>
              <w:bottom w:w="100" w:type="dxa"/>
              <w:left w:w="150" w:type="dxa"/>
              <w:right w:w="150" w:type="dxa"/>
            </w:tcMar>
          </w:tcPr>
          <w:p>
            <w:pPr>
              <w:spacing w:before="0" w:after="0"/>
            </w:pPr>
            <w:r>
              <w:rPr>
                <w:rFonts w:ascii="Arial" w:hAnsi="Arial"/>
                <w:color w:val="1E293B"/>
                <w:sz w:val="21"/>
              </w:rPr>
              <w:t>React 19 + Tailwind + Vite</w:t>
            </w:r>
          </w:p>
        </w:tc>
        <w:tc>
          <w:tcPr>
            <w:tcW w:type="dxa" w:w="3312"/>
            <w:tcMar>
              <w:top w:w="100" w:type="dxa"/>
              <w:bottom w:w="100" w:type="dxa"/>
              <w:left w:w="150" w:type="dxa"/>
              <w:right w:w="150" w:type="dxa"/>
            </w:tcMar>
          </w:tcPr>
          <w:p>
            <w:pPr>
              <w:spacing w:before="0" w:after="0"/>
            </w:pPr>
            <w:r>
              <w:rPr>
                <w:rFonts w:ascii="Arial" w:hAnsi="Arial"/>
                <w:color w:val="1E293B"/>
                <w:sz w:val="21"/>
              </w:rPr>
              <w:t>Industry standard for modular dashboarding</w:t>
            </w:r>
          </w:p>
        </w:tc>
      </w:tr>
    </w:tbl>
    <w:p>
      <w:r>
        <w:t>The subsequent implementation strategy will focus on stabilizing these components, ensuring that the transition from POC to the full Digital Twin health score engine is achieved without service interruption.</w:t>
      </w:r>
    </w:p>
    <w:p>
      <w:pPr>
        <w:pStyle w:val="Heading1"/>
        <w:pBdr>
          <w:bottom w:val="single" w:sz="12" w:space="4" w:color="1F6FBF"/>
        </w:pBdr>
      </w:pPr>
      <w:r>
        <w:t>3. Phase 1 — MVP Production Build</w:t>
      </w:r>
    </w:p>
    <w:tbl>
      <w:tblPr>
        <w:tblW w:type="auto" w:w="0"/>
        <w:jc w:val="center"/>
        <w:tblLayout w:type="fixed"/>
        <w:tblLook w:firstColumn="1" w:firstRow="1" w:lastColumn="0" w:lastRow="0" w:noHBand="0" w:noVBand="1" w:val="04A0"/>
      </w:tblPr>
      <w:tblGrid>
        <w:gridCol w:w="3312"/>
        <w:gridCol w:w="3312"/>
        <w:gridCol w:w="3312"/>
      </w:tblGrid>
      <w:tr>
        <w:tc>
          <w:tcPr>
            <w:tcW w:type="dxa" w:w="5616"/>
            <w:shd w:val="clear" w:color="auto" w:fill="0F172A"/>
            <w:tcMar>
              <w:top w:w="140" w:type="dxa"/>
              <w:bottom w:w="140" w:type="dxa"/>
              <w:left w:w="180" w:type="dxa"/>
              <w:right w:w="180" w:type="dxa"/>
            </w:tcMar>
          </w:tcPr>
          <w:p>
            <w:pPr>
              <w:spacing w:before="0" w:after="40"/>
            </w:pPr>
            <w:r>
              <w:rPr>
                <w:rFonts w:ascii="Arial" w:hAnsi="Arial"/>
                <w:b/>
                <w:color w:val="E65100"/>
                <w:sz w:val="18"/>
              </w:rPr>
              <w:t>PHASE 1</w:t>
              <w:br/>
            </w:r>
            <w:r>
              <w:rPr>
                <w:rFonts w:ascii="Arial" w:hAnsi="Arial"/>
                <w:b/>
                <w:color w:val="FFFFFF"/>
                <w:sz w:val="28"/>
              </w:rPr>
              <w:t>MVP Production Build</w:t>
            </w:r>
          </w:p>
        </w:tc>
        <w:tc>
          <w:tcPr>
            <w:tcW w:type="dxa" w:w="2160"/>
            <w:shd w:val="clear" w:color="auto" w:fill="0F172A"/>
            <w:tcMar>
              <w:top w:w="140" w:type="dxa"/>
              <w:bottom w:w="140" w:type="dxa"/>
              <w:left w:w="180" w:type="dxa"/>
              <w:right w:w="180" w:type="dxa"/>
            </w:tcMar>
            <w:tcBorders>
              <w:left w:val="single" w:sz="8" w:space="0" w:color="475569"/>
            </w:tcBorders>
          </w:tcPr>
          <w:p>
            <w:pPr>
              <w:spacing w:before="0" w:after="40"/>
              <w:jc w:val="center"/>
            </w:pPr>
            <w:r>
              <w:rPr>
                <w:rFonts w:ascii="Arial" w:hAnsi="Arial"/>
                <w:color w:val="94A3B8"/>
                <w:sz w:val="17"/>
              </w:rPr>
              <w:t>Timeline</w:t>
              <w:br/>
            </w:r>
            <w:r>
              <w:rPr>
                <w:rFonts w:ascii="Arial" w:hAnsi="Arial"/>
                <w:b/>
                <w:color w:val="FFFFFF"/>
                <w:sz w:val="24"/>
              </w:rPr>
              <w:t>Weeks 1 – 6</w:t>
            </w:r>
          </w:p>
        </w:tc>
        <w:tc>
          <w:tcPr>
            <w:tcW w:type="dxa" w:w="2160"/>
            <w:shd w:val="clear" w:color="auto" w:fill="0F172A"/>
            <w:tcMar>
              <w:top w:w="140" w:type="dxa"/>
              <w:bottom w:w="140" w:type="dxa"/>
              <w:left w:w="180" w:type="dxa"/>
              <w:right w:w="180" w:type="dxa"/>
            </w:tcMar>
            <w:tcBorders>
              <w:left w:val="single" w:sz="8" w:space="0" w:color="475569"/>
            </w:tcBorders>
          </w:tcPr>
          <w:p>
            <w:pPr>
              <w:spacing w:before="0" w:after="40"/>
              <w:jc w:val="center"/>
            </w:pPr>
            <w:r>
              <w:rPr>
                <w:rFonts w:ascii="Arial" w:hAnsi="Arial"/>
                <w:color w:val="94A3B8"/>
                <w:sz w:val="17"/>
              </w:rPr>
              <w:t>Investment</w:t>
              <w:br/>
            </w:r>
            <w:r>
              <w:rPr>
                <w:rFonts w:ascii="Arial" w:hAnsi="Arial"/>
                <w:b/>
                <w:color w:val="E65100"/>
                <w:sz w:val="26"/>
              </w:rPr>
              <w:t>$8,000</w:t>
            </w:r>
          </w:p>
        </w:tc>
      </w:tr>
    </w:tbl>
    <w:p>
      <w:pPr>
        <w:spacing w:before="0" w:after="120"/>
      </w:pPr>
    </w:p>
    <w:p>
      <w:r>
        <w:t>This 5-week acceleration phase focuses on establishing the core telemetry and inference pipeline for Lumova AI. Our objective is to move from theoretical architecture to a functional, multi-tenant environment capable of processing drone-captured imagery into actionable building health scores.</w:t>
      </w:r>
    </w:p>
    <w:p>
      <w:pPr>
        <w:pStyle w:val="Heading2"/>
      </w:pPr>
      <w:r>
        <w:t>3.1 Drone Imagery Ingestion &amp; Processing Pipeline</w:t>
      </w:r>
    </w:p>
    <w:p>
      <w:r>
        <w:t>To handle high-resolution visual data, we will deploy a serverless ingestion architecture optimized for cost-efficiency and throughput.</w:t>
      </w:r>
    </w:p>
    <w:p>
      <w:pPr>
        <w:pStyle w:val="ListBullet"/>
      </w:pPr>
      <w:r>
        <w:t>Ingestion: Drone imagery will be uploaded to a dedicated Amazon S3 bucket, triggering an AWS Lambda function via S3 Event Notifications.</w:t>
      </w:r>
    </w:p>
    <w:p>
      <w:pPr>
        <w:pStyle w:val="ListBullet"/>
      </w:pPr>
      <w:r>
        <w:t>Preprocessing: We will leverage OpenCV within a containerized Lambda environment to perform image normalization and metadata extraction, ensuring consistency before inferencing.</w:t>
      </w:r>
    </w:p>
    <w:p>
      <w:pPr>
        <w:pStyle w:val="ListBullet"/>
      </w:pPr>
      <w:r>
        <w:t>Orchestration: Data state will be managed via PostgreSQL (Amazon RDS), tracking imagery lineage from raw ingestion to the final 3D Digital Twin mapping.</w:t>
      </w:r>
    </w:p>
    <w:p>
      <w:pPr>
        <w:pStyle w:val="Heading2"/>
      </w:pPr>
      <w:r>
        <w:t>3.2 YOLOv26 Defect Detection &amp; SageMaker Integration</w:t>
      </w:r>
    </w:p>
    <w:p>
      <w:r>
        <w:t>The core value proposition of Lumova AI relies on accurate defect detection. We will implement the YOLOv26 architecture as a custom inference container within Amazon SageMaker.</w:t>
      </w:r>
    </w:p>
    <w:p>
      <w:pPr>
        <w:pStyle w:val="ListBullet"/>
      </w:pPr>
      <w:r>
        <w:t>Training Pipeline: Utilizing existing labeled datasets, we will optimize model weights for architectural stress fracture and environmental degradation detection.</w:t>
      </w:r>
    </w:p>
    <w:p>
      <w:pPr>
        <w:pStyle w:val="ListBullet"/>
      </w:pPr>
      <w:r>
        <w:t>Deployment: The model will be hosted on SageMaker Endpoints, utilizing asynchronous inference to manage queue-based processing of large drone batches, preventing synchronous request timeouts.</w:t>
      </w:r>
    </w:p>
    <w:p>
      <w:pPr>
        <w:pStyle w:val="ListBullet"/>
      </w:pPr>
      <w:r>
        <w:t>Performance Metrics: We will calibrate the detection threshold (IoU) to minimize false positives, ensuring that the 3D Digital Twin reflects only verified building integrity threats.</w:t>
      </w:r>
    </w:p>
    <w:p>
      <w:pPr>
        <w:pStyle w:val="Heading2"/>
      </w:pPr>
      <w:r>
        <w:t>3.3 Multi-tenant FastAPI Backend &amp; Billing</w:t>
      </w:r>
    </w:p>
    <w:p>
      <w:r>
        <w:t>The application backend will act as the orchestrator for multi-tenant data isolation and subscription management.</w:t>
      </w:r>
    </w:p>
    <w:p>
      <w:pPr>
        <w:pStyle w:val="ListBullet"/>
      </w:pPr>
      <w:r>
        <w:t>FastAPI Implementation: We will develop a high-performance RESTful API using Python 3.12, utilizing Pydantic for strict data validation between the 3D frontend and the AWS analytics layer.</w:t>
      </w:r>
    </w:p>
    <w:p>
      <w:pPr>
        <w:pStyle w:val="ListBullet"/>
      </w:pPr>
      <w:r>
        <w:t>Multi-tenancy: Data access will be enforced at the database level using Row-Level Security (RLS) in PostgreSQL, ensuring that user data from Client A is cryptographically and logically isolated from Client B.</w:t>
      </w:r>
    </w:p>
    <w:p>
      <w:pPr>
        <w:pStyle w:val="ListBullet"/>
      </w:pPr>
      <w:r>
        <w:t>Stripe Integration: We will integrate Stripe’s Billing API to manage subscription tiers, usage-based billing for image processing, and secure checkout sessions.</w:t>
      </w:r>
    </w:p>
    <w:p>
      <w:pPr>
        <w:pStyle w:val="Heading2"/>
      </w:pPr>
      <w:r>
        <w:t>3.4 Phase 1 Execution Roadmap</w:t>
      </w:r>
    </w:p>
    <w:p>
      <w:r>
        <w:t>The following table outlines the critical path for the 5-week sprint.</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Week</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Focus Area</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Key Deliverable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 1**</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Infrastructure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Terraform/IaC setup; RDS &amp; S3 bucket configuration.</w:t>
            </w:r>
          </w:p>
        </w:tc>
      </w:tr>
      <w:tr>
        <w:tc>
          <w:tcPr>
            <w:tcW w:type="dxa" w:w="3312"/>
            <w:tcMar>
              <w:top w:w="100" w:type="dxa"/>
              <w:bottom w:w="100" w:type="dxa"/>
              <w:left w:w="150" w:type="dxa"/>
              <w:right w:w="150" w:type="dxa"/>
            </w:tcMar>
          </w:tcPr>
          <w:p>
            <w:pPr>
              <w:spacing w:before="0" w:after="0"/>
            </w:pPr>
            <w:r>
              <w:rPr>
                <w:rFonts w:ascii="Arial" w:hAnsi="Arial"/>
                <w:color w:val="1E293B"/>
                <w:sz w:val="21"/>
              </w:rPr>
              <w:t>**Week 2**</w:t>
            </w:r>
          </w:p>
        </w:tc>
        <w:tc>
          <w:tcPr>
            <w:tcW w:type="dxa" w:w="3312"/>
            <w:tcMar>
              <w:top w:w="100" w:type="dxa"/>
              <w:bottom w:w="100" w:type="dxa"/>
              <w:left w:w="150" w:type="dxa"/>
              <w:right w:w="150" w:type="dxa"/>
            </w:tcMar>
          </w:tcPr>
          <w:p>
            <w:pPr>
              <w:spacing w:before="0" w:after="0"/>
            </w:pPr>
            <w:r>
              <w:rPr>
                <w:rFonts w:ascii="Arial" w:hAnsi="Arial"/>
                <w:color w:val="1E293B"/>
                <w:sz w:val="21"/>
              </w:rPr>
              <w:t>Backend Foundation</w:t>
            </w:r>
          </w:p>
        </w:tc>
        <w:tc>
          <w:tcPr>
            <w:tcW w:type="dxa" w:w="3312"/>
            <w:tcMar>
              <w:top w:w="100" w:type="dxa"/>
              <w:bottom w:w="100" w:type="dxa"/>
              <w:left w:w="150" w:type="dxa"/>
              <w:right w:w="150" w:type="dxa"/>
            </w:tcMar>
          </w:tcPr>
          <w:p>
            <w:pPr>
              <w:spacing w:before="0" w:after="0"/>
            </w:pPr>
            <w:r>
              <w:rPr>
                <w:rFonts w:ascii="Arial" w:hAnsi="Arial"/>
                <w:color w:val="1E293B"/>
                <w:sz w:val="21"/>
              </w:rPr>
              <w:t>FastAPI scaffolding; Stripe checkout &amp; Auth implementation.</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 3**</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Computer Vision</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YOLOv26 model training &amp; SageMaker inference endpoint deployment.</w:t>
            </w:r>
          </w:p>
        </w:tc>
      </w:tr>
      <w:tr>
        <w:tc>
          <w:tcPr>
            <w:tcW w:type="dxa" w:w="3312"/>
            <w:tcMar>
              <w:top w:w="100" w:type="dxa"/>
              <w:bottom w:w="100" w:type="dxa"/>
              <w:left w:w="150" w:type="dxa"/>
              <w:right w:w="150" w:type="dxa"/>
            </w:tcMar>
          </w:tcPr>
          <w:p>
            <w:pPr>
              <w:spacing w:before="0" w:after="0"/>
            </w:pPr>
            <w:r>
              <w:rPr>
                <w:rFonts w:ascii="Arial" w:hAnsi="Arial"/>
                <w:color w:val="1E293B"/>
                <w:sz w:val="21"/>
              </w:rPr>
              <w:t>**Week 4**</w:t>
            </w:r>
          </w:p>
        </w:tc>
        <w:tc>
          <w:tcPr>
            <w:tcW w:type="dxa" w:w="3312"/>
            <w:tcMar>
              <w:top w:w="100" w:type="dxa"/>
              <w:bottom w:w="100" w:type="dxa"/>
              <w:left w:w="150" w:type="dxa"/>
              <w:right w:w="150" w:type="dxa"/>
            </w:tcMar>
          </w:tcPr>
          <w:p>
            <w:pPr>
              <w:spacing w:before="0" w:after="0"/>
            </w:pPr>
            <w:r>
              <w:rPr>
                <w:rFonts w:ascii="Arial" w:hAnsi="Arial"/>
                <w:color w:val="1E293B"/>
                <w:sz w:val="21"/>
              </w:rPr>
              <w:t>Integration</w:t>
            </w:r>
          </w:p>
        </w:tc>
        <w:tc>
          <w:tcPr>
            <w:tcW w:type="dxa" w:w="3312"/>
            <w:tcMar>
              <w:top w:w="100" w:type="dxa"/>
              <w:bottom w:w="100" w:type="dxa"/>
              <w:left w:w="150" w:type="dxa"/>
              <w:right w:w="150" w:type="dxa"/>
            </w:tcMar>
          </w:tcPr>
          <w:p>
            <w:pPr>
              <w:spacing w:before="0" w:after="0"/>
            </w:pPr>
            <w:r>
              <w:rPr>
                <w:rFonts w:ascii="Arial" w:hAnsi="Arial"/>
                <w:color w:val="1E293B"/>
                <w:sz w:val="21"/>
              </w:rPr>
              <w:t>Connecting S3 ingestion pipeline to SageMaker &amp; PostgreSQL.</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 5**</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QA &amp; Hardening</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Load testing; Multi-tenant RLS verification; Final UAT.</w:t>
            </w:r>
          </w:p>
        </w:tc>
      </w:tr>
    </w:tbl>
    <w:p>
      <w:pPr>
        <w:pStyle w:val="Heading2"/>
      </w:pPr>
      <w:r>
        <w:t>3.5 Operational Cost Projections (Estimate)</w:t>
      </w:r>
    </w:p>
    <w:p>
      <w:r>
        <w:t>Based on a startup-scale usage profile, the following monthly AWS/Infrastructure cost structure is anticipated for the MVP environment:</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Service</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Utilization Component</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Estimated Monthly Cost</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**Amazon RDS**</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db.t4g.small (PostgreSQL)</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~$45.00</w:t>
            </w:r>
          </w:p>
        </w:tc>
      </w:tr>
      <w:tr>
        <w:tc>
          <w:tcPr>
            <w:tcW w:type="dxa" w:w="3312"/>
            <w:tcMar>
              <w:top w:w="100" w:type="dxa"/>
              <w:bottom w:w="100" w:type="dxa"/>
              <w:left w:w="150" w:type="dxa"/>
              <w:right w:w="150" w:type="dxa"/>
            </w:tcMar>
          </w:tcPr>
          <w:p>
            <w:pPr>
              <w:spacing w:before="0" w:after="0"/>
            </w:pPr>
            <w:r>
              <w:rPr>
                <w:rFonts w:ascii="Arial" w:hAnsi="Arial"/>
                <w:color w:val="1E293B"/>
                <w:sz w:val="21"/>
              </w:rPr>
              <w:t>**Amazon SageMaker**</w:t>
            </w:r>
          </w:p>
        </w:tc>
        <w:tc>
          <w:tcPr>
            <w:tcW w:type="dxa" w:w="3312"/>
            <w:tcMar>
              <w:top w:w="100" w:type="dxa"/>
              <w:bottom w:w="100" w:type="dxa"/>
              <w:left w:w="150" w:type="dxa"/>
              <w:right w:w="150" w:type="dxa"/>
            </w:tcMar>
          </w:tcPr>
          <w:p>
            <w:pPr>
              <w:spacing w:before="0" w:after="0"/>
            </w:pPr>
            <w:r>
              <w:rPr>
                <w:rFonts w:ascii="Arial" w:hAnsi="Arial"/>
                <w:color w:val="1E293B"/>
                <w:sz w:val="21"/>
              </w:rPr>
              <w:t>ml.g4dn.xlarge (Inference Endpoint)</w:t>
            </w:r>
          </w:p>
        </w:tc>
        <w:tc>
          <w:tcPr>
            <w:tcW w:type="dxa" w:w="3312"/>
            <w:tcMar>
              <w:top w:w="100" w:type="dxa"/>
              <w:bottom w:w="100" w:type="dxa"/>
              <w:left w:w="150" w:type="dxa"/>
              <w:right w:w="150" w:type="dxa"/>
            </w:tcMar>
          </w:tcPr>
          <w:p>
            <w:pPr>
              <w:spacing w:before="0" w:after="0"/>
            </w:pPr>
            <w:r>
              <w:rPr>
                <w:rFonts w:ascii="Arial" w:hAnsi="Arial"/>
                <w:color w:val="1E293B"/>
                <w:sz w:val="21"/>
              </w:rPr>
              <w:t>~$400.00</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Lambda &amp; S3**</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Data Ingestion &amp; Image Processing</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~$25.00</w:t>
            </w:r>
          </w:p>
        </w:tc>
      </w:tr>
      <w:tr>
        <w:tc>
          <w:tcPr>
            <w:tcW w:type="dxa" w:w="3312"/>
            <w:tcMar>
              <w:top w:w="100" w:type="dxa"/>
              <w:bottom w:w="100" w:type="dxa"/>
              <w:left w:w="150" w:type="dxa"/>
              <w:right w:w="150" w:type="dxa"/>
            </w:tcMar>
          </w:tcPr>
          <w:p>
            <w:pPr>
              <w:spacing w:before="0" w:after="0"/>
            </w:pPr>
            <w:r>
              <w:rPr>
                <w:rFonts w:ascii="Arial" w:hAnsi="Arial"/>
                <w:color w:val="1E293B"/>
                <w:sz w:val="21"/>
              </w:rPr>
              <w:t>**Stripe**</w:t>
            </w:r>
          </w:p>
        </w:tc>
        <w:tc>
          <w:tcPr>
            <w:tcW w:type="dxa" w:w="3312"/>
            <w:tcMar>
              <w:top w:w="100" w:type="dxa"/>
              <w:bottom w:w="100" w:type="dxa"/>
              <w:left w:w="150" w:type="dxa"/>
              <w:right w:w="150" w:type="dxa"/>
            </w:tcMar>
          </w:tcPr>
          <w:p>
            <w:pPr>
              <w:spacing w:before="0" w:after="0"/>
            </w:pPr>
            <w:r>
              <w:rPr>
                <w:rFonts w:ascii="Arial" w:hAnsi="Arial"/>
                <w:color w:val="1E293B"/>
                <w:sz w:val="21"/>
              </w:rPr>
              <w:t>Transaction &amp; Subscription Fees</w:t>
            </w:r>
          </w:p>
        </w:tc>
        <w:tc>
          <w:tcPr>
            <w:tcW w:type="dxa" w:w="3312"/>
            <w:tcMar>
              <w:top w:w="100" w:type="dxa"/>
              <w:bottom w:w="100" w:type="dxa"/>
              <w:left w:w="150" w:type="dxa"/>
              <w:right w:w="150" w:type="dxa"/>
            </w:tcMar>
          </w:tcPr>
          <w:p>
            <w:pPr>
              <w:spacing w:before="0" w:after="0"/>
            </w:pPr>
            <w:r>
              <w:rPr>
                <w:rFonts w:ascii="Arial" w:hAnsi="Arial"/>
                <w:color w:val="1E293B"/>
                <w:sz w:val="21"/>
              </w:rPr>
              <w:t>2.9% + $0.30 per charge</w:t>
            </w:r>
          </w:p>
        </w:tc>
      </w:tr>
    </w:tbl>
    <w:p>
      <w:r>
        <w:t>*Note: SageMaker costs are highly variable based on inference volume. We recommend utilizing SageMaker’s Auto-scaling policies to scale the model down to zero instances during periods of inactivity to strictly control the $28,000 project budget constraints.*</w:t>
      </w:r>
    </w:p>
    <w:p>
      <w:pPr>
        <w:pStyle w:val="Heading1"/>
        <w:pBdr>
          <w:bottom w:val="single" w:sz="12" w:space="4" w:color="1F6FBF"/>
        </w:pBdr>
      </w:pPr>
      <w:r>
        <w:t>4. Phase 2 — V1 Production Platform</w:t>
      </w:r>
    </w:p>
    <w:tbl>
      <w:tblPr>
        <w:tblW w:type="auto" w:w="0"/>
        <w:jc w:val="center"/>
        <w:tblLayout w:type="fixed"/>
        <w:tblLook w:firstColumn="1" w:firstRow="1" w:lastColumn="0" w:lastRow="0" w:noHBand="0" w:noVBand="1" w:val="04A0"/>
      </w:tblPr>
      <w:tblGrid>
        <w:gridCol w:w="3312"/>
        <w:gridCol w:w="3312"/>
        <w:gridCol w:w="3312"/>
      </w:tblGrid>
      <w:tr>
        <w:tc>
          <w:tcPr>
            <w:tcW w:type="dxa" w:w="5616"/>
            <w:shd w:val="clear" w:color="auto" w:fill="0F172A"/>
            <w:tcMar>
              <w:top w:w="140" w:type="dxa"/>
              <w:bottom w:w="140" w:type="dxa"/>
              <w:left w:w="180" w:type="dxa"/>
              <w:right w:w="180" w:type="dxa"/>
            </w:tcMar>
          </w:tcPr>
          <w:p>
            <w:pPr>
              <w:spacing w:before="0" w:after="40"/>
            </w:pPr>
            <w:r>
              <w:rPr>
                <w:rFonts w:ascii="Arial" w:hAnsi="Arial"/>
                <w:b/>
                <w:color w:val="E65100"/>
                <w:sz w:val="18"/>
              </w:rPr>
              <w:t>PHASE 2</w:t>
              <w:br/>
            </w:r>
            <w:r>
              <w:rPr>
                <w:rFonts w:ascii="Arial" w:hAnsi="Arial"/>
                <w:b/>
                <w:color w:val="FFFFFF"/>
                <w:sz w:val="28"/>
              </w:rPr>
              <w:t>V1 Production Platform</w:t>
            </w:r>
          </w:p>
        </w:tc>
        <w:tc>
          <w:tcPr>
            <w:tcW w:type="dxa" w:w="2160"/>
            <w:shd w:val="clear" w:color="auto" w:fill="0F172A"/>
            <w:tcMar>
              <w:top w:w="140" w:type="dxa"/>
              <w:bottom w:w="140" w:type="dxa"/>
              <w:left w:w="180" w:type="dxa"/>
              <w:right w:w="180" w:type="dxa"/>
            </w:tcMar>
            <w:tcBorders>
              <w:left w:val="single" w:sz="8" w:space="0" w:color="475569"/>
            </w:tcBorders>
          </w:tcPr>
          <w:p>
            <w:pPr>
              <w:spacing w:before="0" w:after="40"/>
              <w:jc w:val="center"/>
            </w:pPr>
            <w:r>
              <w:rPr>
                <w:rFonts w:ascii="Arial" w:hAnsi="Arial"/>
                <w:color w:val="94A3B8"/>
                <w:sz w:val="17"/>
              </w:rPr>
              <w:t>Timeline</w:t>
              <w:br/>
            </w:r>
            <w:r>
              <w:rPr>
                <w:rFonts w:ascii="Arial" w:hAnsi="Arial"/>
                <w:b/>
                <w:color w:val="FFFFFF"/>
                <w:sz w:val="24"/>
              </w:rPr>
              <w:t>Weeks 6 – 14</w:t>
            </w:r>
          </w:p>
        </w:tc>
        <w:tc>
          <w:tcPr>
            <w:tcW w:type="dxa" w:w="2160"/>
            <w:shd w:val="clear" w:color="auto" w:fill="0F172A"/>
            <w:tcMar>
              <w:top w:w="140" w:type="dxa"/>
              <w:bottom w:w="140" w:type="dxa"/>
              <w:left w:w="180" w:type="dxa"/>
              <w:right w:w="180" w:type="dxa"/>
            </w:tcMar>
            <w:tcBorders>
              <w:left w:val="single" w:sz="8" w:space="0" w:color="475569"/>
            </w:tcBorders>
          </w:tcPr>
          <w:p>
            <w:pPr>
              <w:spacing w:before="0" w:after="40"/>
              <w:jc w:val="center"/>
            </w:pPr>
            <w:r>
              <w:rPr>
                <w:rFonts w:ascii="Arial" w:hAnsi="Arial"/>
                <w:color w:val="94A3B8"/>
                <w:sz w:val="17"/>
              </w:rPr>
              <w:t>Investment</w:t>
              <w:br/>
            </w:r>
            <w:r>
              <w:rPr>
                <w:rFonts w:ascii="Arial" w:hAnsi="Arial"/>
                <w:b/>
                <w:color w:val="E65100"/>
                <w:sz w:val="26"/>
              </w:rPr>
              <w:t>$20,000</w:t>
            </w:r>
          </w:p>
        </w:tc>
      </w:tr>
    </w:tbl>
    <w:p>
      <w:pPr>
        <w:spacing w:before="0" w:after="120"/>
      </w:pPr>
    </w:p>
    <w:p>
      <w:r>
        <w:t>Following the successful completion of the MVP baseline, Phase 2 transitions the Lumova AI ecosystem into a hardened, production-grade environment. This nine-week sprint focuses on automating the drone-to-insight pipeline, finalizing the 3D health score engine, and implementing a scalable multi-tenant architecture.</w:t>
      </w:r>
    </w:p>
    <w:p>
      <w:pPr>
        <w:pStyle w:val="Heading2"/>
      </w:pPr>
      <w:r>
        <w:t>4.1 Automated Computer Vision Pipeline</w:t>
      </w:r>
    </w:p>
    <w:p>
      <w:r>
        <w:t>The core value proposition for Ark relies on the autonomous processing of high-resolution imagery. We will move from manual prototype scripts to a serverless event-driven architecture.</w:t>
      </w:r>
    </w:p>
    <w:p>
      <w:pPr>
        <w:pStyle w:val="ListBullet"/>
      </w:pPr>
      <w:r>
        <w:t>S3 Ingestion Layer: Implement S3 Event Notifications to trigger AWS Lambda functions immediately upon drone imagery uploads.</w:t>
      </w:r>
    </w:p>
    <w:p>
      <w:pPr>
        <w:pStyle w:val="ListBullet"/>
      </w:pPr>
      <w:r>
        <w:t>SageMaker Model Inference: Deploy the YOLOv26 model on Amazon SageMaker Inference Endpoints using multi-model endpoints (MME) to optimize cost across different building types.</w:t>
      </w:r>
    </w:p>
    <w:p>
      <w:pPr>
        <w:pStyle w:val="ListBullet"/>
      </w:pPr>
      <w:r>
        <w:t>Preprocessing: Utilize OpenCV within a containerized Lambda environment to perform image normalization and tile-slicing prior to SageMaker inference, reducing the latency of the defect detection payload.</w:t>
      </w:r>
    </w:p>
    <w:p>
      <w:pPr>
        <w:pStyle w:val="Heading2"/>
      </w:pPr>
      <w:r>
        <w:t>4.2 3D Digital Twin &amp; Health Score Engine</w:t>
      </w:r>
    </w:p>
    <w:p>
      <w:r>
        <w:t>We will integrate the geometric data from the 3D models with the defect insights generated by the vision pipeline to calculate the proprietary building health score.</w:t>
      </w:r>
    </w:p>
    <w:p>
      <w:pPr>
        <w:pStyle w:val="ListBullet"/>
      </w:pPr>
      <w:r>
        <w:t>Engine Logic: A Python-based microservice will map YOLOv26 bounding-box coordinates to 3D coordinate space using the building’s BIM/CAD metadata.</w:t>
      </w:r>
    </w:p>
    <w:p>
      <w:pPr>
        <w:pStyle w:val="ListBullet"/>
      </w:pPr>
      <w:r>
        <w:t>Scoring Algorithm: The engine will apply weighted decay algorithms to health scores based on defect severity (e.g., structural cracking vs. surface weathering) and building age.</w:t>
      </w:r>
    </w:p>
    <w:p>
      <w:pPr>
        <w:pStyle w:val="ListBullet"/>
      </w:pPr>
      <w:r>
        <w:t>Visualization: Integration with React 19’s fiber-based rendering to ensure the 3D dashboard maintains 60FPS, even when rendering dense meshes with heavy annotation overlays.</w:t>
      </w:r>
    </w:p>
    <w:p>
      <w:pPr>
        <w:pStyle w:val="Heading2"/>
      </w:pPr>
      <w:r>
        <w:t>4.3 Multi-Tenant Backend &amp; Stripe Billing</w:t>
      </w:r>
    </w:p>
    <w:p>
      <w:r>
        <w:t>The production platform requires strict logical isolation between Ark’s clients. We will implement a "shared-database, isolated-schema" approach using PostgreSQL RDS.</w:t>
      </w:r>
    </w:p>
    <w:p>
      <w:pPr>
        <w:pStyle w:val="ListBullet"/>
      </w:pPr>
      <w:r>
        <w:t>FastAPI Architecture: The backend will enforce tenant context through JWT claims, ensuring that every database query includes a `tenant_id` filter at the ORM level.</w:t>
      </w:r>
    </w:p>
    <w:p>
      <w:pPr>
        <w:pStyle w:val="ListBullet"/>
      </w:pPr>
      <w:r>
        <w:t>Stripe Integration: Implementation of Stripe Billing (via `stripe-python`) to handle recurring subscriptions and usage-based billing tied to the number of square footage or images processed per tenant.</w:t>
      </w:r>
    </w:p>
    <w:p>
      <w:pPr>
        <w:pStyle w:val="ListBullet"/>
      </w:pPr>
      <w:r>
        <w:t>Authentication: Deployment of Auth0 or AWS Cognito integrated with FastAPI to manage role-based access control (RBAC), distinguishing between "Inspector" and "Facility Manager" personas.</w:t>
      </w:r>
    </w:p>
    <w:p>
      <w:pPr>
        <w:pStyle w:val="Heading2"/>
      </w:pPr>
      <w:r>
        <w:t>4.4 Phase 2 Execution Milestones</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Milestone</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Deliverable</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Timeline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**M4.1**</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Production-grade YOLOv26 SageMaker pipeline deployment</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Weeks 1-2</w:t>
            </w:r>
          </w:p>
        </w:tc>
      </w:tr>
      <w:tr>
        <w:tc>
          <w:tcPr>
            <w:tcW w:type="dxa" w:w="3312"/>
            <w:tcMar>
              <w:top w:w="100" w:type="dxa"/>
              <w:bottom w:w="100" w:type="dxa"/>
              <w:left w:w="150" w:type="dxa"/>
              <w:right w:w="150" w:type="dxa"/>
            </w:tcMar>
          </w:tcPr>
          <w:p>
            <w:pPr>
              <w:spacing w:before="0" w:after="0"/>
            </w:pPr>
            <w:r>
              <w:rPr>
                <w:rFonts w:ascii="Arial" w:hAnsi="Arial"/>
                <w:color w:val="1E293B"/>
                <w:sz w:val="21"/>
              </w:rPr>
              <w:t>**M4.2**</w:t>
            </w:r>
          </w:p>
        </w:tc>
        <w:tc>
          <w:tcPr>
            <w:tcW w:type="dxa" w:w="3312"/>
            <w:tcMar>
              <w:top w:w="100" w:type="dxa"/>
              <w:bottom w:w="100" w:type="dxa"/>
              <w:left w:w="150" w:type="dxa"/>
              <w:right w:w="150" w:type="dxa"/>
            </w:tcMar>
          </w:tcPr>
          <w:p>
            <w:pPr>
              <w:spacing w:before="0" w:after="0"/>
            </w:pPr>
            <w:r>
              <w:rPr>
                <w:rFonts w:ascii="Arial" w:hAnsi="Arial"/>
                <w:color w:val="1E293B"/>
                <w:sz w:val="21"/>
              </w:rPr>
              <w:t>3D Digital Twin Health Score Engine logic implementation</w:t>
            </w:r>
          </w:p>
        </w:tc>
        <w:tc>
          <w:tcPr>
            <w:tcW w:type="dxa" w:w="3312"/>
            <w:tcMar>
              <w:top w:w="100" w:type="dxa"/>
              <w:bottom w:w="100" w:type="dxa"/>
              <w:left w:w="150" w:type="dxa"/>
              <w:right w:w="150" w:type="dxa"/>
            </w:tcMar>
          </w:tcPr>
          <w:p>
            <w:pPr>
              <w:spacing w:before="0" w:after="0"/>
            </w:pPr>
            <w:r>
              <w:rPr>
                <w:rFonts w:ascii="Arial" w:hAnsi="Arial"/>
                <w:color w:val="1E293B"/>
                <w:sz w:val="21"/>
              </w:rPr>
              <w:t>Weeks 3-4</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**M4.3**</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Multi-tenant FastAPI &amp; Postgres RDS schema migration</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Weeks 5-6</w:t>
            </w:r>
          </w:p>
        </w:tc>
      </w:tr>
      <w:tr>
        <w:tc>
          <w:tcPr>
            <w:tcW w:type="dxa" w:w="3312"/>
            <w:tcMar>
              <w:top w:w="100" w:type="dxa"/>
              <w:bottom w:w="100" w:type="dxa"/>
              <w:left w:w="150" w:type="dxa"/>
              <w:right w:w="150" w:type="dxa"/>
            </w:tcMar>
          </w:tcPr>
          <w:p>
            <w:pPr>
              <w:spacing w:before="0" w:after="0"/>
            </w:pPr>
            <w:r>
              <w:rPr>
                <w:rFonts w:ascii="Arial" w:hAnsi="Arial"/>
                <w:color w:val="1E293B"/>
                <w:sz w:val="21"/>
              </w:rPr>
              <w:t>**M4.4**</w:t>
            </w:r>
          </w:p>
        </w:tc>
        <w:tc>
          <w:tcPr>
            <w:tcW w:type="dxa" w:w="3312"/>
            <w:tcMar>
              <w:top w:w="100" w:type="dxa"/>
              <w:bottom w:w="100" w:type="dxa"/>
              <w:left w:w="150" w:type="dxa"/>
              <w:right w:w="150" w:type="dxa"/>
            </w:tcMar>
          </w:tcPr>
          <w:p>
            <w:pPr>
              <w:spacing w:before="0" w:after="0"/>
            </w:pPr>
            <w:r>
              <w:rPr>
                <w:rFonts w:ascii="Arial" w:hAnsi="Arial"/>
                <w:color w:val="1E293B"/>
                <w:sz w:val="21"/>
              </w:rPr>
              <w:t>Stripe Billing API integration &amp; Sandbox testing</w:t>
            </w:r>
          </w:p>
        </w:tc>
        <w:tc>
          <w:tcPr>
            <w:tcW w:type="dxa" w:w="3312"/>
            <w:tcMar>
              <w:top w:w="100" w:type="dxa"/>
              <w:bottom w:w="100" w:type="dxa"/>
              <w:left w:w="150" w:type="dxa"/>
              <w:right w:w="150" w:type="dxa"/>
            </w:tcMar>
          </w:tcPr>
          <w:p>
            <w:pPr>
              <w:spacing w:before="0" w:after="0"/>
            </w:pPr>
            <w:r>
              <w:rPr>
                <w:rFonts w:ascii="Arial" w:hAnsi="Arial"/>
                <w:color w:val="1E293B"/>
                <w:sz w:val="21"/>
              </w:rPr>
              <w:t>Week 7</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**M4.5**</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End-to-end UAT and performance benchmarking</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Weeks 8-9</w:t>
            </w:r>
          </w:p>
        </w:tc>
      </w:tr>
    </w:tbl>
    <w:p>
      <w:pPr>
        <w:pStyle w:val="Heading2"/>
      </w:pPr>
      <w:r>
        <w:t>4.5 Operational Cost Management</w:t>
      </w:r>
    </w:p>
    <w:p>
      <w:r>
        <w:t>To maintain the $28,000 budget while ensuring scalability, Phase 2 emphasizes AWS cost optimization:</w:t>
      </w:r>
    </w:p>
    <w:p>
      <w:pPr>
        <w:pStyle w:val="ListBullet"/>
      </w:pPr>
      <w:r>
        <w:t>AWS Fargate: Running our FastAPI containers on Fargate (instead of EC2) eliminates the operational overhead of cluster management and allows for granular auto-scaling.</w:t>
      </w:r>
    </w:p>
    <w:p>
      <w:pPr>
        <w:pStyle w:val="ListBullet"/>
      </w:pPr>
      <w:r>
        <w:t>S3 Lifecycle Policies: Automating the transition of raw drone imagery to S3 Intelligent-Tiering to minimize storage costs after initial processing.</w:t>
      </w:r>
    </w:p>
    <w:p>
      <w:pPr>
        <w:pStyle w:val="ListBullet"/>
      </w:pPr>
      <w:r>
        <w:t>SageMaker Multi-Model Endpoints: Consolidating inference models to reduce the idle EC2 footprint, projected to save approximately 30-40% in monthly inference costs compared to individual model deployments.</w:t>
      </w:r>
    </w:p>
    <w:p>
      <w:pPr>
        <w:pStyle w:val="Heading1"/>
        <w:pBdr>
          <w:bottom w:val="single" w:sz="12" w:space="4" w:color="1F6FBF"/>
        </w:pBdr>
      </w:pPr>
      <w:r>
        <w:t>5. Future Envisioned Platform Features</w:t>
      </w:r>
    </w:p>
    <w:p>
      <w:r>
        <w:t>To ensure Lumova AI remains a market-leading asset management tool beyond the initial delivery, we have architected a scalable roadmap. These features leverage advanced AWS cloud-native services to transition from reactive defect detection to proactive, predictive building lifecycle management.</w:t>
      </w:r>
    </w:p>
    <w:p>
      <w:pPr>
        <w:pStyle w:val="Heading2"/>
      </w:pPr>
      <w:r>
        <w:t>5.1 Predictive Maintenance &amp; Time-Series Analytics</w:t>
      </w:r>
    </w:p>
    <w:p>
      <w:r>
        <w:t>While the current scope utilizes YOLOv26 for static defect identification, the platform’s future state will integrate Amazon Timestream. By correlating historical health scores with external environmental factors (weather data via AWS Data Exchange), Lumova AI will provide "Time-to-Failure" projections. This allows building managers to transition from scheduled maintenance to condition-based interventions, potentially reducing OpEx by 15–20%.</w:t>
      </w:r>
    </w:p>
    <w:p>
      <w:pPr>
        <w:pStyle w:val="Heading2"/>
      </w:pPr>
      <w:r>
        <w:t>5.2 Edge Computing &amp; Autonomous Ingestion</w:t>
      </w:r>
    </w:p>
    <w:p>
      <w:r>
        <w:t>As the fleet of drones grows, bandwidth constraints during high-resolution imagery uploads will become a bottleneck. We plan to implement AWS IoT Greengrass on edge gateway devices at client sites. This allows for:</w:t>
      </w:r>
    </w:p>
    <w:p>
      <w:pPr>
        <w:pStyle w:val="ListBullet"/>
      </w:pPr>
      <w:r>
        <w:t>Pre-processing: Trimming and standardizing drone footage at the edge.</w:t>
      </w:r>
    </w:p>
    <w:p>
      <w:pPr>
        <w:pStyle w:val="ListBullet"/>
      </w:pPr>
      <w:r>
        <w:t>Partial Inference: Running lightweight models locally to flag high-criticality defects before cloud transit.</w:t>
      </w:r>
    </w:p>
    <w:p>
      <w:pPr>
        <w:pStyle w:val="ListBullet"/>
      </w:pPr>
      <w:r>
        <w:t>Connectivity Resilience: Storing and forwarding data packets during intermittent satellite or LTE outages.</w:t>
      </w:r>
    </w:p>
    <w:p>
      <w:pPr>
        <w:pStyle w:val="Heading2"/>
      </w:pPr>
      <w:r>
        <w:t>5.3 Automated Compliance &amp; Reporting Engine</w:t>
      </w:r>
    </w:p>
    <w:p>
      <w:r>
        <w:t>We envision an automated Regulatory Reporting module that maps internal health scores against local building code requirements (e.g., NFPA, OSHA). This will integrate Amazon Bedrock (utilizing Claude 3.5 Sonnet) to generate human-readable technical reports from raw numerical defect data, effectively turning the backend PostgreSQL RDS audit logs into ready-to-file compliance documentation.</w:t>
      </w:r>
    </w:p>
    <w:p>
      <w:pPr>
        <w:pStyle w:val="Heading2"/>
      </w:pPr>
      <w:r>
        <w:t>5.4 Strategic Roadmap &amp; Evolution</w:t>
      </w:r>
    </w:p>
    <w:p>
      <w:r>
        <w:t>The following table outlines the priority evolution of the Lumova AI ecosystem, designed to scale with Yancy’s expanding client base: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484"/>
        <w:gridCol w:w="2484"/>
        <w:gridCol w:w="2484"/>
        <w:gridCol w:w="2484"/>
      </w:tblGrid>
      <w:tr>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Feature Phase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Focus Area</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Technology Integration</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Business Value</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**Phase 3 (Optimization)**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Real-time Edge Ingestion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AWS IoT Greengrass</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60% reduction in data transit costs</w:t>
            </w:r>
          </w:p>
        </w:tc>
      </w:tr>
      <w:tr>
        <w:tc>
          <w:tcPr>
            <w:tcW w:type="dxa" w:w="2484"/>
            <w:tcMar>
              <w:top w:w="100" w:type="dxa"/>
              <w:bottom w:w="100" w:type="dxa"/>
              <w:left w:w="150" w:type="dxa"/>
              <w:right w:w="150" w:type="dxa"/>
            </w:tcMar>
          </w:tcPr>
          <w:p>
            <w:pPr>
              <w:spacing w:before="0" w:after="0"/>
            </w:pPr>
            <w:r>
              <w:rPr>
                <w:rFonts w:ascii="Arial" w:hAnsi="Arial"/>
                <w:color w:val="1E293B"/>
                <w:sz w:val="21"/>
              </w:rPr>
              <w:t>**Phase 4 (Intelligence)**</w:t>
            </w:r>
          </w:p>
        </w:tc>
        <w:tc>
          <w:tcPr>
            <w:tcW w:type="dxa" w:w="2484"/>
            <w:tcMar>
              <w:top w:w="100" w:type="dxa"/>
              <w:bottom w:w="100" w:type="dxa"/>
              <w:left w:w="150" w:type="dxa"/>
              <w:right w:w="150" w:type="dxa"/>
            </w:tcMar>
          </w:tcPr>
          <w:p>
            <w:pPr>
              <w:spacing w:before="0" w:after="0"/>
            </w:pPr>
            <w:r>
              <w:rPr>
                <w:rFonts w:ascii="Arial" w:hAnsi="Arial"/>
                <w:color w:val="1E293B"/>
                <w:sz w:val="21"/>
              </w:rPr>
              <w:t>Predictive Maintenance</w:t>
            </w:r>
          </w:p>
        </w:tc>
        <w:tc>
          <w:tcPr>
            <w:tcW w:type="dxa" w:w="2484"/>
            <w:tcMar>
              <w:top w:w="100" w:type="dxa"/>
              <w:bottom w:w="100" w:type="dxa"/>
              <w:left w:w="150" w:type="dxa"/>
              <w:right w:w="150" w:type="dxa"/>
            </w:tcMar>
          </w:tcPr>
          <w:p>
            <w:pPr>
              <w:spacing w:before="0" w:after="0"/>
            </w:pPr>
            <w:r>
              <w:rPr>
                <w:rFonts w:ascii="Arial" w:hAnsi="Arial"/>
                <w:color w:val="1E293B"/>
                <w:sz w:val="21"/>
              </w:rPr>
              <w:t>Amazon Timestream</w:t>
            </w:r>
          </w:p>
        </w:tc>
        <w:tc>
          <w:tcPr>
            <w:tcW w:type="dxa" w:w="2484"/>
            <w:tcMar>
              <w:top w:w="100" w:type="dxa"/>
              <w:bottom w:w="100" w:type="dxa"/>
              <w:left w:w="150" w:type="dxa"/>
              <w:right w:w="150" w:type="dxa"/>
            </w:tcMar>
          </w:tcPr>
          <w:p>
            <w:pPr>
              <w:spacing w:before="0" w:after="0"/>
            </w:pPr>
            <w:r>
              <w:rPr>
                <w:rFonts w:ascii="Arial" w:hAnsi="Arial"/>
                <w:color w:val="1E293B"/>
                <w:sz w:val="21"/>
              </w:rPr>
              <w:t>Proactive asset lifecycle management</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**Phase 5 (Automation)**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AI-Driven Reporting</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Amazon Bedrock (GenAI)</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Instant compliance/audit documentation</w:t>
            </w:r>
          </w:p>
        </w:tc>
      </w:tr>
      <w:tr>
        <w:tc>
          <w:tcPr>
            <w:tcW w:type="dxa" w:w="2484"/>
            <w:tcMar>
              <w:top w:w="100" w:type="dxa"/>
              <w:bottom w:w="100" w:type="dxa"/>
              <w:left w:w="150" w:type="dxa"/>
              <w:right w:w="150" w:type="dxa"/>
            </w:tcMar>
          </w:tcPr>
          <w:p>
            <w:pPr>
              <w:spacing w:before="0" w:after="0"/>
            </w:pPr>
            <w:r>
              <w:rPr>
                <w:rFonts w:ascii="Arial" w:hAnsi="Arial"/>
                <w:color w:val="1E293B"/>
                <w:sz w:val="21"/>
              </w:rPr>
              <w:t>**Phase 6 (Scale)**</w:t>
            </w:r>
          </w:p>
        </w:tc>
        <w:tc>
          <w:tcPr>
            <w:tcW w:type="dxa" w:w="2484"/>
            <w:tcMar>
              <w:top w:w="100" w:type="dxa"/>
              <w:bottom w:w="100" w:type="dxa"/>
              <w:left w:w="150" w:type="dxa"/>
              <w:right w:w="150" w:type="dxa"/>
            </w:tcMar>
          </w:tcPr>
          <w:p>
            <w:pPr>
              <w:spacing w:before="0" w:after="0"/>
            </w:pPr>
            <w:r>
              <w:rPr>
                <w:rFonts w:ascii="Arial" w:hAnsi="Arial"/>
                <w:color w:val="1E293B"/>
                <w:sz w:val="21"/>
              </w:rPr>
              <w:t>Multi-region High Availability</w:t>
            </w:r>
          </w:p>
        </w:tc>
        <w:tc>
          <w:tcPr>
            <w:tcW w:type="dxa" w:w="2484"/>
            <w:tcMar>
              <w:top w:w="100" w:type="dxa"/>
              <w:bottom w:w="100" w:type="dxa"/>
              <w:left w:w="150" w:type="dxa"/>
              <w:right w:w="150" w:type="dxa"/>
            </w:tcMar>
          </w:tcPr>
          <w:p>
            <w:pPr>
              <w:spacing w:before="0" w:after="0"/>
            </w:pPr>
            <w:r>
              <w:rPr>
                <w:rFonts w:ascii="Arial" w:hAnsi="Arial"/>
                <w:color w:val="1E293B"/>
                <w:sz w:val="21"/>
              </w:rPr>
              <w:t>AWS Aurora Global DB</w:t>
            </w:r>
          </w:p>
        </w:tc>
        <w:tc>
          <w:tcPr>
            <w:tcW w:type="dxa" w:w="2484"/>
            <w:tcMar>
              <w:top w:w="100" w:type="dxa"/>
              <w:bottom w:w="100" w:type="dxa"/>
              <w:left w:w="150" w:type="dxa"/>
              <w:right w:w="150" w:type="dxa"/>
            </w:tcMar>
          </w:tcPr>
          <w:p>
            <w:pPr>
              <w:spacing w:before="0" w:after="0"/>
            </w:pPr>
            <w:r>
              <w:rPr>
                <w:rFonts w:ascii="Arial" w:hAnsi="Arial"/>
                <w:color w:val="1E293B"/>
                <w:sz w:val="21"/>
              </w:rPr>
              <w:t>Zero-downtime for global enterprise clients</w:t>
            </w:r>
          </w:p>
        </w:tc>
      </w:tr>
    </w:tbl>
    <w:p>
      <w:pPr>
        <w:pStyle w:val="Heading2"/>
      </w:pPr>
      <w:r>
        <w:t>5.5 Enhanced Security &amp; Governance</w:t>
      </w:r>
    </w:p>
    <w:p>
      <w:r>
        <w:t>As Lumova AI handles sensitive building structural data, future iterations will introduce:</w:t>
      </w:r>
    </w:p>
    <w:p>
      <w:pPr>
        <w:pStyle w:val="ListBullet"/>
      </w:pPr>
      <w:r>
        <w:t>AWS KMS (Key Management Service): Implementing customer-managed keys (CMK) for field-level encryption within the PostgreSQL RDS instance to ensure absolute data sovereignty.</w:t>
      </w:r>
    </w:p>
    <w:p>
      <w:pPr>
        <w:pStyle w:val="ListBullet"/>
      </w:pPr>
      <w:r>
        <w:t>AWS PrivateLink: Moving all inter-service communication (FastAPI to SageMaker) off the public internet, ensuring that image processing traffic remains entirely within the AWS global network.</w:t>
      </w:r>
    </w:p>
    <w:p>
      <w:pPr>
        <w:pStyle w:val="ListBullet"/>
      </w:pPr>
      <w:r>
        <w:t>IAM Identity Center: Replacing standard multi-tenancy auth with OIDC-compliant federated identity management, allowing enterprise clients to use their own SAML 2.0 / Active Directory providers for secure, single-sign-on access to the Lumova dashboard.</w:t>
      </w:r>
    </w:p>
    <w:p>
      <w:pPr>
        <w:pStyle w:val="Heading2"/>
      </w:pPr>
      <w:r>
        <w:t>5.6 Sustainability Reporting</w:t>
      </w:r>
    </w:p>
    <w:p>
      <w:r>
        <w:t>Leveraging the existing 3D Digital Twin engine, we will introduce a Carbon Impact Module. By analyzing building health scores alongside HVAC and energy usage metadata, the platform will identify "energy leaks" within the 3D model, providing a quantitative metric for ESG (Environmental, Social, and Governance) reporting that is increasingly required by institutional investors.</w:t>
      </w:r>
    </w:p>
    <w:p>
      <w:pPr>
        <w:pStyle w:val="Heading1"/>
        <w:pBdr>
          <w:bottom w:val="single" w:sz="12" w:space="4" w:color="1F6FBF"/>
        </w:pBdr>
      </w:pPr>
      <w:r>
        <w:t>6. Full Technology Stack</w:t>
      </w:r>
    </w:p>
    <w:p>
      <w:r>
        <w:t>To deliver the Lumova AI platform with the required performance, scalability, and sub-millimeter precision for 3D digital twin health scoring, we have architected a modern, event-driven stack leveraging AWS-native services. This architecture ensures a robust multi-tenant environment, optimized for high-throughput drone imagery processing and real-time defect detection.</w:t>
      </w:r>
    </w:p>
    <w:p>
      <w:pPr>
        <w:pStyle w:val="Heading2"/>
      </w:pPr>
      <w:r>
        <w:t>6.1 Core Architectural Overview</w:t>
      </w:r>
    </w:p>
    <w:p>
      <w:r>
        <w:t>Our stack is built on a containerized, serverless-first approach to minimize operational overhead while maximizing compute efficiency.</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Layer</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Technology</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Purpose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**Frontend**</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React 19, Tailwind CSS</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High-performance, reactive UI for digital twin visualization.</w:t>
            </w:r>
          </w:p>
        </w:tc>
      </w:tr>
      <w:tr>
        <w:tc>
          <w:tcPr>
            <w:tcW w:type="dxa" w:w="3312"/>
            <w:tcMar>
              <w:top w:w="100" w:type="dxa"/>
              <w:bottom w:w="100" w:type="dxa"/>
              <w:left w:w="150" w:type="dxa"/>
              <w:right w:w="150" w:type="dxa"/>
            </w:tcMar>
          </w:tcPr>
          <w:p>
            <w:pPr>
              <w:spacing w:before="0" w:after="0"/>
            </w:pPr>
            <w:r>
              <w:rPr>
                <w:rFonts w:ascii="Arial" w:hAnsi="Arial"/>
                <w:color w:val="1E293B"/>
                <w:sz w:val="21"/>
              </w:rPr>
              <w:t>**Backend API**</w:t>
            </w:r>
          </w:p>
        </w:tc>
        <w:tc>
          <w:tcPr>
            <w:tcW w:type="dxa" w:w="3312"/>
            <w:tcMar>
              <w:top w:w="100" w:type="dxa"/>
              <w:bottom w:w="100" w:type="dxa"/>
              <w:left w:w="150" w:type="dxa"/>
              <w:right w:w="150" w:type="dxa"/>
            </w:tcMar>
          </w:tcPr>
          <w:p>
            <w:pPr>
              <w:spacing w:before="0" w:after="0"/>
            </w:pPr>
            <w:r>
              <w:rPr>
                <w:rFonts w:ascii="Arial" w:hAnsi="Arial"/>
                <w:color w:val="1E293B"/>
                <w:sz w:val="21"/>
              </w:rPr>
              <w:t>FastAPI (Python 3.12)</w:t>
            </w:r>
          </w:p>
        </w:tc>
        <w:tc>
          <w:tcPr>
            <w:tcW w:type="dxa" w:w="3312"/>
            <w:tcMar>
              <w:top w:w="100" w:type="dxa"/>
              <w:bottom w:w="100" w:type="dxa"/>
              <w:left w:w="150" w:type="dxa"/>
              <w:right w:w="150" w:type="dxa"/>
            </w:tcMar>
          </w:tcPr>
          <w:p>
            <w:pPr>
              <w:spacing w:before="0" w:after="0"/>
            </w:pPr>
            <w:r>
              <w:rPr>
                <w:rFonts w:ascii="Arial" w:hAnsi="Arial"/>
                <w:color w:val="1E293B"/>
                <w:sz w:val="21"/>
              </w:rPr>
              <w:t>Asynchronous, high-concurrency multi-tenant request handling.</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**AI/ML Engine**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SageMaker, YOLOv26</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Distributed training and inference for defect detection.</w:t>
            </w:r>
          </w:p>
        </w:tc>
      </w:tr>
      <w:tr>
        <w:tc>
          <w:tcPr>
            <w:tcW w:type="dxa" w:w="3312"/>
            <w:tcMar>
              <w:top w:w="100" w:type="dxa"/>
              <w:bottom w:w="100" w:type="dxa"/>
              <w:left w:w="150" w:type="dxa"/>
              <w:right w:w="150" w:type="dxa"/>
            </w:tcMar>
          </w:tcPr>
          <w:p>
            <w:pPr>
              <w:spacing w:before="0" w:after="0"/>
            </w:pPr>
            <w:r>
              <w:rPr>
                <w:rFonts w:ascii="Arial" w:hAnsi="Arial"/>
                <w:color w:val="1E293B"/>
                <w:sz w:val="21"/>
              </w:rPr>
              <w:t>**Data Persistence**</w:t>
            </w:r>
          </w:p>
        </w:tc>
        <w:tc>
          <w:tcPr>
            <w:tcW w:type="dxa" w:w="3312"/>
            <w:tcMar>
              <w:top w:w="100" w:type="dxa"/>
              <w:bottom w:w="100" w:type="dxa"/>
              <w:left w:w="150" w:type="dxa"/>
              <w:right w:w="150" w:type="dxa"/>
            </w:tcMar>
          </w:tcPr>
          <w:p>
            <w:pPr>
              <w:spacing w:before="0" w:after="0"/>
            </w:pPr>
            <w:r>
              <w:rPr>
                <w:rFonts w:ascii="Arial" w:hAnsi="Arial"/>
                <w:color w:val="1E293B"/>
                <w:sz w:val="21"/>
              </w:rPr>
              <w:t>PostgreSQL (Amazon RDS)</w:t>
            </w:r>
          </w:p>
        </w:tc>
        <w:tc>
          <w:tcPr>
            <w:tcW w:type="dxa" w:w="3312"/>
            <w:tcMar>
              <w:top w:w="100" w:type="dxa"/>
              <w:bottom w:w="100" w:type="dxa"/>
              <w:left w:w="150" w:type="dxa"/>
              <w:right w:w="150" w:type="dxa"/>
            </w:tcMar>
          </w:tcPr>
          <w:p>
            <w:pPr>
              <w:spacing w:before="0" w:after="0"/>
            </w:pPr>
            <w:r>
              <w:rPr>
                <w:rFonts w:ascii="Arial" w:hAnsi="Arial"/>
                <w:color w:val="1E293B"/>
                <w:sz w:val="21"/>
              </w:rPr>
              <w:t>Structured multi-tenant tenant data and metadata storage.</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**Image Pipeline**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AWS S3, AWS Lambda, OpenCV</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Automated ingestion, pre-processing, and artifact management.</w:t>
            </w:r>
          </w:p>
        </w:tc>
      </w:tr>
      <w:tr>
        <w:tc>
          <w:tcPr>
            <w:tcW w:type="dxa" w:w="3312"/>
            <w:tcMar>
              <w:top w:w="100" w:type="dxa"/>
              <w:bottom w:w="100" w:type="dxa"/>
              <w:left w:w="150" w:type="dxa"/>
              <w:right w:w="150" w:type="dxa"/>
            </w:tcMar>
          </w:tcPr>
          <w:p>
            <w:pPr>
              <w:spacing w:before="0" w:after="0"/>
            </w:pPr>
            <w:r>
              <w:rPr>
                <w:rFonts w:ascii="Arial" w:hAnsi="Arial"/>
                <w:color w:val="1E293B"/>
                <w:sz w:val="21"/>
              </w:rPr>
              <w:t>**Payments**</w:t>
            </w:r>
          </w:p>
        </w:tc>
        <w:tc>
          <w:tcPr>
            <w:tcW w:type="dxa" w:w="3312"/>
            <w:tcMar>
              <w:top w:w="100" w:type="dxa"/>
              <w:bottom w:w="100" w:type="dxa"/>
              <w:left w:w="150" w:type="dxa"/>
              <w:right w:w="150" w:type="dxa"/>
            </w:tcMar>
          </w:tcPr>
          <w:p>
            <w:pPr>
              <w:spacing w:before="0" w:after="0"/>
            </w:pPr>
            <w:r>
              <w:rPr>
                <w:rFonts w:ascii="Arial" w:hAnsi="Arial"/>
                <w:color w:val="1E293B"/>
                <w:sz w:val="21"/>
              </w:rPr>
              <w:t>Stripe API</w:t>
            </w:r>
          </w:p>
        </w:tc>
        <w:tc>
          <w:tcPr>
            <w:tcW w:type="dxa" w:w="3312"/>
            <w:tcMar>
              <w:top w:w="100" w:type="dxa"/>
              <w:bottom w:w="100" w:type="dxa"/>
              <w:left w:w="150" w:type="dxa"/>
              <w:right w:w="150" w:type="dxa"/>
            </w:tcMar>
          </w:tcPr>
          <w:p>
            <w:pPr>
              <w:spacing w:before="0" w:after="0"/>
            </w:pPr>
            <w:r>
              <w:rPr>
                <w:rFonts w:ascii="Arial" w:hAnsi="Arial"/>
                <w:color w:val="1E293B"/>
                <w:sz w:val="21"/>
              </w:rPr>
              <w:t>Secure subscription management and multi-tenant billing.</w:t>
            </w:r>
          </w:p>
        </w:tc>
      </w:tr>
    </w:tbl>
    <w:p>
      <w:pPr>
        <w:pStyle w:val="Heading2"/>
      </w:pPr>
      <w:r>
        <w:t>6.2 Frontend &amp; Visualization Layer</w:t>
      </w:r>
    </w:p>
    <w:p>
      <w:r>
        <w:t>The frontend leverages React 19, utilizing the latest Concurrent Rendering features to ensure smooth 3D digital twin interaction. State management is offloaded to TanStack Query for efficient caching of sensor data, and we utilize optimized WebGL-based libraries for rendering the building health status directly in the browser.</w:t>
      </w:r>
    </w:p>
    <w:p>
      <w:pPr>
        <w:pStyle w:val="Heading2"/>
      </w:pPr>
      <w:r>
        <w:t>6.3 Backend &amp; Infrastructure</w:t>
      </w:r>
    </w:p>
    <w:p>
      <w:r>
        <w:t>The backend is built on FastAPI, chosen for its native asynchronous capabilities, essential for managing long-running processes like drone imagery ingestion and inference job triggering.</w:t>
      </w:r>
    </w:p>
    <w:p>
      <w:pPr>
        <w:pStyle w:val="ListBullet"/>
      </w:pPr>
      <w:r>
        <w:t>Multi-tenancy: Implemented via a `tenant_id` decorator pattern across all PostgreSQL queries to enforce strict data isolation.</w:t>
      </w:r>
    </w:p>
    <w:p>
      <w:pPr>
        <w:pStyle w:val="ListBullet"/>
      </w:pPr>
      <w:r>
        <w:t>Deployment: Containerized via Docker and deployed on AWS ECS Fargate, allowing for elastic auto-scaling based on CPU/Memory thresholds during peak image processing cycles.</w:t>
      </w:r>
    </w:p>
    <w:p>
      <w:pPr>
        <w:pStyle w:val="ListBullet"/>
      </w:pPr>
      <w:r>
        <w:t>Authentication: Managed via AWS Cognito with JWT-based sessions, providing OIDC compatibility for enterprise user identity providers.</w:t>
      </w:r>
    </w:p>
    <w:p>
      <w:pPr>
        <w:pStyle w:val="Heading2"/>
      </w:pPr>
      <w:r>
        <w:t>6.4 AI/ML &amp; Computer Vision Pipeline</w:t>
      </w:r>
    </w:p>
    <w:p>
      <w:r>
        <w:t>The heart of Lumova AI relies on a sophisticated pipeline for defect detection:</w:t>
      </w:r>
    </w:p>
    <w:p>
      <w:r>
        <w:t>1.  Ingestion: Drone images are uploaded to S3; an S3 Event Notification triggers an AWS Lambda function to initiate pre-processing.</w:t>
      </w:r>
    </w:p>
    <w:p>
      <w:r>
        <w:t>2.  Pre-processing: Utilizing OpenCV, images are normalized, noise-reduced, and tiled into optimal segments for inference.</w:t>
      </w:r>
    </w:p>
    <w:p>
      <w:r>
        <w:t>3.  Inference: The YOLOv26 model is hosted on an AWS SageMaker Endpoint (utilizing `ml.g4dn.xlarge` instances for cost-effective GPU acceleration).</w:t>
      </w:r>
    </w:p>
    <w:p>
      <w:r>
        <w:t>4.  Health Scoring: Model outputs (bounding boxes and confidence scores) are aggregated into the Health Score Engine, which computes building integrity metrics based on historical trend analysis stored in PostgreSQL.</w:t>
      </w:r>
    </w:p>
    <w:p>
      <w:pPr>
        <w:pStyle w:val="Heading2"/>
      </w:pPr>
      <w:r>
        <w:t>6.5 Database &amp; Data Management</w:t>
      </w:r>
    </w:p>
    <w:p>
      <w:r>
        <w:t>We utilize Amazon RDS (PostgreSQL 16) to handle the relational structure of building assets, tenant information, and defect logs.</w:t>
      </w:r>
    </w:p>
    <w:p>
      <w:pPr>
        <w:pStyle w:val="ListBullet"/>
      </w:pPr>
      <w:r>
        <w:t>PostGIS Extension: Enabled to manage the spatial metadata of the digital twin, allowing for high-precision queries regarding building topology and spatial health distribution.</w:t>
      </w:r>
    </w:p>
    <w:p>
      <w:pPr>
        <w:pStyle w:val="ListBullet"/>
      </w:pPr>
      <w:r>
        <w:t>Backup &amp; Recovery: Point-in-time recovery (PITR) is enabled with a 35-day retention policy to ensure business continuity.</w:t>
      </w:r>
    </w:p>
    <w:p>
      <w:pPr>
        <w:pStyle w:val="Heading2"/>
      </w:pPr>
      <w:r>
        <w:t>6.6 Billing &amp; Integration</w:t>
      </w:r>
    </w:p>
    <w:p>
      <w:r>
        <w:t>The Stripe API integration is tightly coupled with our FastAPI middleware. Every tenant on the platform is mapped to a Stripe Customer ID. Billing is usage-based (i.e., per-image processing units), tracked via a Redis-backed counter that syncs with Stripe’s Metered Billing API to ensure accurate monthly reconciliation without manual administrative overhead.</w:t>
      </w:r>
    </w:p>
    <w:p>
      <w:pPr>
        <w:pStyle w:val="Heading1"/>
        <w:pBdr>
          <w:bottom w:val="single" w:sz="12" w:space="4" w:color="1F6FBF"/>
        </w:pBdr>
      </w:pPr>
      <w:r>
        <w:t>7. Operational Cost</w:t>
      </w:r>
    </w:p>
    <w:p>
      <w:r>
        <w:t>To ensure the Lumova AI platform remains commercially viable and scalable, we have designed the infrastructure architecture with a "serverless-first" philosophy. This strategy minimizes baseline expenditure during low-utilization periods while ensuring high-performance scaling during heavy drone imagery ingestion cycles.</w:t>
      </w:r>
    </w:p>
    <w:p>
      <w:pPr>
        <w:pStyle w:val="Heading2"/>
      </w:pPr>
      <w:r>
        <w:t>7.1 Estimated Monthly AWS Run-Rate</w:t>
      </w:r>
    </w:p>
    <w:p>
      <w:r>
        <w:t>The following table estimates the recurring monthly operational costs based on a standard processing load (e.g., 50 buildings/month, intermittent drone data ingestion).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484"/>
        <w:gridCol w:w="2484"/>
        <w:gridCol w:w="2484"/>
        <w:gridCol w:w="2484"/>
      </w:tblGrid>
      <w:tr>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Component</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Service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Monthly Cost (Est.)</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Optimization Strategy</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**Compute &amp; API**</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AWS Fargate (ECS)</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$85 - $120</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Auto-scaling based on CPU/RAM</w:t>
            </w:r>
          </w:p>
        </w:tc>
      </w:tr>
      <w:tr>
        <w:tc>
          <w:tcPr>
            <w:tcW w:type="dxa" w:w="2484"/>
            <w:tcMar>
              <w:top w:w="100" w:type="dxa"/>
              <w:bottom w:w="100" w:type="dxa"/>
              <w:left w:w="150" w:type="dxa"/>
              <w:right w:w="150" w:type="dxa"/>
            </w:tcMar>
          </w:tcPr>
          <w:p>
            <w:pPr>
              <w:spacing w:before="0" w:after="0"/>
            </w:pPr>
            <w:r>
              <w:rPr>
                <w:rFonts w:ascii="Arial" w:hAnsi="Arial"/>
                <w:color w:val="1E293B"/>
                <w:sz w:val="21"/>
              </w:rPr>
              <w:t>**Database**</w:t>
            </w:r>
          </w:p>
        </w:tc>
        <w:tc>
          <w:tcPr>
            <w:tcW w:type="dxa" w:w="2484"/>
            <w:tcMar>
              <w:top w:w="100" w:type="dxa"/>
              <w:bottom w:w="100" w:type="dxa"/>
              <w:left w:w="150" w:type="dxa"/>
              <w:right w:w="150" w:type="dxa"/>
            </w:tcMar>
          </w:tcPr>
          <w:p>
            <w:pPr>
              <w:spacing w:before="0" w:after="0"/>
            </w:pPr>
            <w:r>
              <w:rPr>
                <w:rFonts w:ascii="Arial" w:hAnsi="Arial"/>
                <w:color w:val="1E293B"/>
                <w:sz w:val="21"/>
              </w:rPr>
              <w:t>RDS PostgreSQL (t4g.small)</w:t>
            </w:r>
          </w:p>
        </w:tc>
        <w:tc>
          <w:tcPr>
            <w:tcW w:type="dxa" w:w="2484"/>
            <w:tcMar>
              <w:top w:w="100" w:type="dxa"/>
              <w:bottom w:w="100" w:type="dxa"/>
              <w:left w:w="150" w:type="dxa"/>
              <w:right w:w="150" w:type="dxa"/>
            </w:tcMar>
          </w:tcPr>
          <w:p>
            <w:pPr>
              <w:spacing w:before="0" w:after="0"/>
            </w:pPr>
            <w:r>
              <w:rPr>
                <w:rFonts w:ascii="Arial" w:hAnsi="Arial"/>
                <w:color w:val="1E293B"/>
                <w:sz w:val="21"/>
              </w:rPr>
              <w:t>$60 - $80</w:t>
            </w:r>
          </w:p>
        </w:tc>
        <w:tc>
          <w:tcPr>
            <w:tcW w:type="dxa" w:w="2484"/>
            <w:tcMar>
              <w:top w:w="100" w:type="dxa"/>
              <w:bottom w:w="100" w:type="dxa"/>
              <w:left w:w="150" w:type="dxa"/>
              <w:right w:w="150" w:type="dxa"/>
            </w:tcMar>
          </w:tcPr>
          <w:p>
            <w:pPr>
              <w:spacing w:before="0" w:after="0"/>
            </w:pPr>
            <w:r>
              <w:rPr>
                <w:rFonts w:ascii="Arial" w:hAnsi="Arial"/>
                <w:color w:val="1E293B"/>
                <w:sz w:val="21"/>
              </w:rPr>
              <w:t>Multi-AZ for high availability</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**Storage**</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S3 (Standard + Lifecycle)</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$20 - $50</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Lifecycle policies for archival</w:t>
            </w:r>
          </w:p>
        </w:tc>
      </w:tr>
      <w:tr>
        <w:tc>
          <w:tcPr>
            <w:tcW w:type="dxa" w:w="2484"/>
            <w:tcMar>
              <w:top w:w="100" w:type="dxa"/>
              <w:bottom w:w="100" w:type="dxa"/>
              <w:left w:w="150" w:type="dxa"/>
              <w:right w:w="150" w:type="dxa"/>
            </w:tcMar>
          </w:tcPr>
          <w:p>
            <w:pPr>
              <w:spacing w:before="0" w:after="0"/>
            </w:pPr>
            <w:r>
              <w:rPr>
                <w:rFonts w:ascii="Arial" w:hAnsi="Arial"/>
                <w:color w:val="1E293B"/>
                <w:sz w:val="21"/>
              </w:rPr>
              <w:t>**ML Inference**</w:t>
            </w:r>
          </w:p>
        </w:tc>
        <w:tc>
          <w:tcPr>
            <w:tcW w:type="dxa" w:w="2484"/>
            <w:tcMar>
              <w:top w:w="100" w:type="dxa"/>
              <w:bottom w:w="100" w:type="dxa"/>
              <w:left w:w="150" w:type="dxa"/>
              <w:right w:w="150" w:type="dxa"/>
            </w:tcMar>
          </w:tcPr>
          <w:p>
            <w:pPr>
              <w:spacing w:before="0" w:after="0"/>
            </w:pPr>
            <w:r>
              <w:rPr>
                <w:rFonts w:ascii="Arial" w:hAnsi="Arial"/>
                <w:color w:val="1E293B"/>
                <w:sz w:val="21"/>
              </w:rPr>
              <w:t>SageMaker (ML.g4dn.xlarge)</w:t>
            </w:r>
          </w:p>
        </w:tc>
        <w:tc>
          <w:tcPr>
            <w:tcW w:type="dxa" w:w="2484"/>
            <w:tcMar>
              <w:top w:w="100" w:type="dxa"/>
              <w:bottom w:w="100" w:type="dxa"/>
              <w:left w:w="150" w:type="dxa"/>
              <w:right w:w="150" w:type="dxa"/>
            </w:tcMar>
          </w:tcPr>
          <w:p>
            <w:pPr>
              <w:spacing w:before="0" w:after="0"/>
            </w:pPr>
            <w:r>
              <w:rPr>
                <w:rFonts w:ascii="Arial" w:hAnsi="Arial"/>
                <w:color w:val="1E293B"/>
                <w:sz w:val="21"/>
              </w:rPr>
              <w:t>$150 - $450</w:t>
            </w:r>
          </w:p>
        </w:tc>
        <w:tc>
          <w:tcPr>
            <w:tcW w:type="dxa" w:w="2484"/>
            <w:tcMar>
              <w:top w:w="100" w:type="dxa"/>
              <w:bottom w:w="100" w:type="dxa"/>
              <w:left w:w="150" w:type="dxa"/>
              <w:right w:w="150" w:type="dxa"/>
            </w:tcMar>
          </w:tcPr>
          <w:p>
            <w:pPr>
              <w:spacing w:before="0" w:after="0"/>
            </w:pPr>
            <w:r>
              <w:rPr>
                <w:rFonts w:ascii="Arial" w:hAnsi="Arial"/>
                <w:color w:val="1E293B"/>
                <w:sz w:val="21"/>
              </w:rPr>
              <w:t>Ephemeral endpoints; shut-down on idle</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**Data Transfer**</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AWS Data Transfer Out</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$30 - $75</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Use of CloudFront for static assets</w:t>
            </w:r>
          </w:p>
        </w:tc>
      </w:tr>
      <w:tr>
        <w:tc>
          <w:tcPr>
            <w:tcW w:type="dxa" w:w="2484"/>
            <w:tcMar>
              <w:top w:w="100" w:type="dxa"/>
              <w:bottom w:w="100" w:type="dxa"/>
              <w:left w:w="150" w:type="dxa"/>
              <w:right w:w="150" w:type="dxa"/>
            </w:tcMar>
          </w:tcPr>
          <w:p>
            <w:pPr>
              <w:spacing w:before="0" w:after="0"/>
            </w:pPr>
            <w:r>
              <w:rPr>
                <w:rFonts w:ascii="Arial" w:hAnsi="Arial"/>
                <w:color w:val="1E293B"/>
                <w:sz w:val="21"/>
              </w:rPr>
              <w:t>**Total**</w:t>
            </w:r>
          </w:p>
        </w:tc>
        <w:tc>
          <w:tcPr>
            <w:tcW w:type="dxa" w:w="2484"/>
            <w:tcMar>
              <w:top w:w="100" w:type="dxa"/>
              <w:bottom w:w="100" w:type="dxa"/>
              <w:left w:w="150" w:type="dxa"/>
              <w:right w:w="150" w:type="dxa"/>
            </w:tcMar>
          </w:tcPr>
          <w:p>
            <w:pPr>
              <w:spacing w:before="0" w:after="0"/>
            </w:pPr>
            <w:r>
              <w:rPr>
                <w:rFonts w:ascii="Arial" w:hAnsi="Arial"/>
                <w:color w:val="1E293B"/>
                <w:sz w:val="21"/>
              </w:rPr>
            </w:r>
          </w:p>
        </w:tc>
        <w:tc>
          <w:tcPr>
            <w:tcW w:type="dxa" w:w="2484"/>
            <w:tcMar>
              <w:top w:w="100" w:type="dxa"/>
              <w:bottom w:w="100" w:type="dxa"/>
              <w:left w:w="150" w:type="dxa"/>
              <w:right w:w="150" w:type="dxa"/>
            </w:tcMar>
          </w:tcPr>
          <w:p>
            <w:pPr>
              <w:spacing w:before="0" w:after="0"/>
            </w:pPr>
            <w:r>
              <w:rPr>
                <w:rFonts w:ascii="Arial" w:hAnsi="Arial"/>
                <w:color w:val="1E293B"/>
                <w:sz w:val="21"/>
              </w:rPr>
              <w:t>**$345 - $775**</w:t>
            </w:r>
          </w:p>
        </w:tc>
        <w:tc>
          <w:tcPr>
            <w:tcW w:type="dxa" w:w="2484"/>
            <w:tcMar>
              <w:top w:w="100" w:type="dxa"/>
              <w:bottom w:w="100" w:type="dxa"/>
              <w:left w:w="150" w:type="dxa"/>
              <w:right w:w="150" w:type="dxa"/>
            </w:tcMar>
          </w:tcPr>
          <w:p>
            <w:pPr>
              <w:spacing w:before="0" w:after="0"/>
            </w:pPr>
            <w:r>
              <w:rPr>
                <w:rFonts w:ascii="Arial" w:hAnsi="Arial"/>
                <w:color w:val="1E293B"/>
                <w:sz w:val="21"/>
              </w:rPr>
            </w:r>
          </w:p>
        </w:tc>
      </w:tr>
    </w:tbl>
    <w:p>
      <w:r>
        <w:t>*Note: SageMaker costs represent the largest variable. We will implement programmatic "Auto-Stop" logic to tear down inference endpoints when no pending tasks exist in the ingestion pipeline.*</w:t>
      </w:r>
    </w:p>
    <w:p>
      <w:pPr>
        <w:pStyle w:val="Heading2"/>
      </w:pPr>
      <w:r>
        <w:t>7.2 Scaling Costs for Phase 2 Growth</w:t>
      </w:r>
    </w:p>
    <w:p>
      <w:r>
        <w:t>As Yancy expands the Lumova AI footprint, operational costs will scale linearly with the number of processed 3D Digital Twin models.</w:t>
      </w:r>
    </w:p>
    <w:p>
      <w:pPr>
        <w:pStyle w:val="ListBullet"/>
      </w:pPr>
      <w:r>
        <w:t>Ingestion Pipeline: By utilizing AWS Lambda for image pre-processing, we avoid paying for idle compute time. Costs are strictly incurred per millisecond of execution.</w:t>
      </w:r>
    </w:p>
    <w:p>
      <w:pPr>
        <w:pStyle w:val="ListBullet"/>
      </w:pPr>
      <w:r>
        <w:t>Database Scaling: As the PostgreSQL footprint grows, we will transition to Aurora Serverless v2, which provides cost-effective scaling by shifting capacity based on actual throughput rather than pre-provisioned IOPS.</w:t>
      </w:r>
    </w:p>
    <w:p>
      <w:pPr>
        <w:pStyle w:val="ListBullet"/>
      </w:pPr>
      <w:r>
        <w:t>Inference Optimization: During Phase 2, we will evaluate deploying the YOLOv26 model via AWS Inferentia (Inf1/Inf2 instances), which offers up to 40% better cost-per-inference compared to standard GPU instances.</w:t>
      </w:r>
    </w:p>
    <w:p>
      <w:pPr>
        <w:pStyle w:val="Heading2"/>
      </w:pPr>
      <w:r>
        <w:t>7.3 Financial Governance &amp; Monitoring</w:t>
      </w:r>
    </w:p>
    <w:p>
      <w:r>
        <w:t>To maintain strict adherence to your budget, we will implement the following governance measures within the AWS environment:</w:t>
      </w:r>
    </w:p>
    <w:p>
      <w:r>
        <w:t>1.  AWS Budgets &amp; Alerts: We will configure granular budget alerts at 50%, 80%, and 100% of the projected monthly spend to prevent cost overruns.</w:t>
      </w:r>
    </w:p>
    <w:p>
      <w:r>
        <w:t>2.  Resource Tagging: Every AWS resource deployed for Lumova AI will carry `Project: Lumova` and `Environment: Production` tags to ensure transparent cost attribution.</w:t>
      </w:r>
    </w:p>
    <w:p>
      <w:r>
        <w:t>3.  Infrastructure as Code (IaC): The entire stack will be deployed via Terraform. This allows us to define "Environment Cleanup" scripts that purge development-tier SageMaker endpoints or idle RDS snapshots, ensuring you are not paying for orphaned infrastructure.</w:t>
      </w:r>
    </w:p>
    <w:p>
      <w:r>
        <w:t>4.  Stripe/AWS Reconciliation: Your Stripe billing data will be reconciled against AWS CloudWatch metrics on a monthly basis to determine the precise cost-per-building-health-score generated, allowing you to adjust your pricing model for end-clients based on actual margins.</w:t>
      </w:r>
    </w:p>
    <w:p>
      <w:pPr>
        <w:pStyle w:val="Heading1"/>
        <w:pBdr>
          <w:bottom w:val="single" w:sz="12" w:space="4" w:color="1F6FBF"/>
        </w:pBdr>
      </w:pPr>
      <w:r>
        <w:t>8. Engagement Model</w:t>
      </w:r>
    </w:p>
    <w:p>
      <w:r>
        <w:t>To deliver the Lumova AI platform within the 14-week accelerated timeline, we utilize a structured Agile-Scrum methodology adapted for high-velocity R&amp;D. This model ensures that high-risk components—specifically the YOLOv26 computer vision pipeline—are derisked during Phase 1, allowing for rapid iteration in Phase 2.</w:t>
      </w:r>
    </w:p>
    <w:p>
      <w:pPr>
        <w:pStyle w:val="Heading2"/>
      </w:pPr>
      <w:r>
        <w:t>8.1 Agile Delivery &amp; Sprint Cadence</w:t>
      </w:r>
    </w:p>
    <w:p>
      <w:r>
        <w:t>We operate on a bi-weekly sprint cadence, with all technical artifacts managed via Jira/GitHub Projects. Transparency is maintained through asynchronous status reporting and bi-weekly demonstration sessions.</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484"/>
        <w:gridCol w:w="2484"/>
        <w:gridCol w:w="2484"/>
        <w:gridCol w:w="2484"/>
      </w:tblGrid>
      <w:tr>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Phase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Duration</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Primary Focus</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Key Deliverable</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**Phase 1: Foundation**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Weeks 1-5</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AWS Infrastructure &amp; Data Pipeline</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S3 Ingestion Engine &amp; YOLOv26 MVP</w:t>
            </w:r>
          </w:p>
        </w:tc>
      </w:tr>
      <w:tr>
        <w:tc>
          <w:tcPr>
            <w:tcW w:type="dxa" w:w="2484"/>
            <w:tcMar>
              <w:top w:w="100" w:type="dxa"/>
              <w:bottom w:w="100" w:type="dxa"/>
              <w:left w:w="150" w:type="dxa"/>
              <w:right w:w="150" w:type="dxa"/>
            </w:tcMar>
          </w:tcPr>
          <w:p>
            <w:pPr>
              <w:spacing w:before="0" w:after="0"/>
            </w:pPr>
            <w:r>
              <w:rPr>
                <w:rFonts w:ascii="Arial" w:hAnsi="Arial"/>
                <w:color w:val="1E293B"/>
                <w:sz w:val="21"/>
              </w:rPr>
              <w:t>**Phase 2: Integration**</w:t>
            </w:r>
          </w:p>
        </w:tc>
        <w:tc>
          <w:tcPr>
            <w:tcW w:type="dxa" w:w="2484"/>
            <w:tcMar>
              <w:top w:w="100" w:type="dxa"/>
              <w:bottom w:w="100" w:type="dxa"/>
              <w:left w:w="150" w:type="dxa"/>
              <w:right w:w="150" w:type="dxa"/>
            </w:tcMar>
          </w:tcPr>
          <w:p>
            <w:pPr>
              <w:spacing w:before="0" w:after="0"/>
            </w:pPr>
            <w:r>
              <w:rPr>
                <w:rFonts w:ascii="Arial" w:hAnsi="Arial"/>
                <w:color w:val="1E293B"/>
                <w:sz w:val="21"/>
              </w:rPr>
              <w:t>Weeks 6-14</w:t>
            </w:r>
          </w:p>
        </w:tc>
        <w:tc>
          <w:tcPr>
            <w:tcW w:type="dxa" w:w="2484"/>
            <w:tcMar>
              <w:top w:w="100" w:type="dxa"/>
              <w:bottom w:w="100" w:type="dxa"/>
              <w:left w:w="150" w:type="dxa"/>
              <w:right w:w="150" w:type="dxa"/>
            </w:tcMar>
          </w:tcPr>
          <w:p>
            <w:pPr>
              <w:spacing w:before="0" w:after="0"/>
            </w:pPr>
            <w:r>
              <w:rPr>
                <w:rFonts w:ascii="Arial" w:hAnsi="Arial"/>
                <w:color w:val="1E293B"/>
                <w:sz w:val="21"/>
              </w:rPr>
              <w:t>Backend, 3D Twin &amp; Billing</w:t>
            </w:r>
          </w:p>
        </w:tc>
        <w:tc>
          <w:tcPr>
            <w:tcW w:type="dxa" w:w="2484"/>
            <w:tcMar>
              <w:top w:w="100" w:type="dxa"/>
              <w:bottom w:w="100" w:type="dxa"/>
              <w:left w:w="150" w:type="dxa"/>
              <w:right w:w="150" w:type="dxa"/>
            </w:tcMar>
          </w:tcPr>
          <w:p>
            <w:pPr>
              <w:spacing w:before="0" w:after="0"/>
            </w:pPr>
            <w:r>
              <w:rPr>
                <w:rFonts w:ascii="Arial" w:hAnsi="Arial"/>
                <w:color w:val="1E293B"/>
                <w:sz w:val="21"/>
              </w:rPr>
              <w:t>Full-Stack Platform &amp; Stripe Integration</w:t>
            </w:r>
          </w:p>
        </w:tc>
      </w:tr>
    </w:tbl>
    <w:p>
      <w:pPr>
        <w:pStyle w:val="Heading2"/>
      </w:pPr>
      <w:r>
        <w:t>8.2 Operational Communication Protocols</w:t>
      </w:r>
    </w:p>
    <w:p>
      <w:r>
        <w:t>To ensure alignment between Yancy’s stakeholders and the engineering team, we maintain the following communication standards:</w:t>
      </w:r>
    </w:p>
    <w:p>
      <w:pPr>
        <w:pStyle w:val="ListBullet"/>
      </w:pPr>
      <w:r>
        <w:t>Daily Syncs (15 min): Focused on blockers regarding AWS SageMaker model convergence or FastAPI latency issues.</w:t>
      </w:r>
    </w:p>
    <w:p>
      <w:pPr>
        <w:pStyle w:val="ListBullet"/>
      </w:pPr>
      <w:r>
        <w:t>Bi-Weekly Retrospectives: Evaluation of YOLOv26 performance metrics (Precision/Recall) and pipeline throughput efficiency.</w:t>
      </w:r>
    </w:p>
    <w:p>
      <w:pPr>
        <w:pStyle w:val="ListBullet"/>
      </w:pPr>
      <w:r>
        <w:t>Infrastructure-as-Code (IaC) Reviews: Every change to the AWS footprint is handled via Terraform/AWS CDK, requiring a peer review before deployment to the staging environment.</w:t>
      </w:r>
    </w:p>
    <w:p>
      <w:pPr>
        <w:pStyle w:val="Heading2"/>
      </w:pPr>
      <w:r>
        <w:t>8.3 Governance &amp; Technical Oversight</w:t>
      </w:r>
    </w:p>
    <w:p>
      <w:r>
        <w:t>We employ a "Consultant-as-Partner" model, where our Principal Consultants provide both development velocity and technical architecture oversight.</w:t>
      </w:r>
    </w:p>
    <w:p>
      <w:pPr>
        <w:pStyle w:val="ListBullet"/>
      </w:pPr>
      <w:r>
        <w:t>Continuous Integration/Deployment (CI/CD): Automated pipelines utilizing GitHub Actions will deploy containerized FastAPI services directly to AWS ECS Fargate, ensuring immutable deployments.</w:t>
      </w:r>
    </w:p>
    <w:p>
      <w:pPr>
        <w:pStyle w:val="ListBullet"/>
      </w:pPr>
      <w:r>
        <w:t>AWS Well-Architected Reviews: Regular audits of our RDS PostgreSQL and S3 configurations to ensure cost-optimization and high availability, keeping within the constraints of the $28,000 budget.</w:t>
      </w:r>
    </w:p>
    <w:p>
      <w:pPr>
        <w:pStyle w:val="ListBullet"/>
      </w:pPr>
      <w:r>
        <w:t>Multi-Tenancy Security: Isolation of tenant data at the database schema level using PostgreSQL Row Level Security (RLS) and encrypted S3 bucket policies for drone imagery.</w:t>
      </w:r>
    </w:p>
    <w:p>
      <w:pPr>
        <w:pStyle w:val="Heading2"/>
      </w:pPr>
      <w:r>
        <w:t>8.4 Resource Allocation &amp; Responsibilities</w:t>
      </w:r>
    </w:p>
    <w:p>
      <w:r>
        <w:t>Success relies on a shared responsibility model, clearly delineating our engineering requirements and Yancy’s input.</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968"/>
        <w:gridCol w:w="4968"/>
      </w:tblGrid>
      <w:tr>
        <w:tc>
          <w:tcPr>
            <w:tcW w:type="dxa" w:w="4968"/>
            <w:shd w:val="clear" w:color="auto" w:fill="0F172A"/>
            <w:tcMar>
              <w:top w:w="120" w:type="dxa"/>
              <w:bottom w:w="120" w:type="dxa"/>
              <w:left w:w="150" w:type="dxa"/>
              <w:right w:w="150" w:type="dxa"/>
            </w:tcMar>
          </w:tcPr>
          <w:p>
            <w:pPr>
              <w:spacing w:before="0" w:after="0"/>
            </w:pPr>
            <w:r>
              <w:rPr>
                <w:rFonts w:ascii="Arial" w:hAnsi="Arial"/>
                <w:b/>
                <w:color w:val="FFFFFF"/>
                <w:sz w:val="21"/>
              </w:rPr>
              <w:t>Resource</w:t>
            </w:r>
          </w:p>
        </w:tc>
        <w:tc>
          <w:tcPr>
            <w:tcW w:type="dxa" w:w="4968"/>
            <w:shd w:val="clear" w:color="auto" w:fill="0F172A"/>
            <w:tcMar>
              <w:top w:w="120" w:type="dxa"/>
              <w:bottom w:w="120" w:type="dxa"/>
              <w:left w:w="150" w:type="dxa"/>
              <w:right w:w="150" w:type="dxa"/>
            </w:tcMar>
          </w:tcPr>
          <w:p>
            <w:pPr>
              <w:spacing w:before="0" w:after="0"/>
            </w:pPr>
            <w:r>
              <w:rPr>
                <w:rFonts w:ascii="Arial" w:hAnsi="Arial"/>
                <w:b/>
                <w:color w:val="FFFFFF"/>
                <w:sz w:val="21"/>
              </w:rPr>
              <w:t>Responsibility</w:t>
            </w:r>
          </w:p>
        </w:tc>
      </w:tr>
      <w:tr>
        <w:tc>
          <w:tcPr>
            <w:tcW w:type="dxa" w:w="4968"/>
            <w:shd w:val="clear" w:color="auto" w:fill="F8FAFC"/>
            <w:tcMar>
              <w:top w:w="100" w:type="dxa"/>
              <w:bottom w:w="100" w:type="dxa"/>
              <w:left w:w="150" w:type="dxa"/>
              <w:right w:w="150" w:type="dxa"/>
            </w:tcMar>
          </w:tcPr>
          <w:p>
            <w:pPr>
              <w:spacing w:before="0" w:after="0"/>
            </w:pPr>
            <w:r>
              <w:rPr>
                <w:rFonts w:ascii="Arial" w:hAnsi="Arial"/>
                <w:color w:val="1E293B"/>
                <w:sz w:val="21"/>
              </w:rPr>
              <w:t>**Ark Engineering**</w:t>
            </w:r>
          </w:p>
        </w:tc>
        <w:tc>
          <w:tcPr>
            <w:tcW w:type="dxa" w:w="4968"/>
            <w:shd w:val="clear" w:color="auto" w:fill="F8FAFC"/>
            <w:tcMar>
              <w:top w:w="100" w:type="dxa"/>
              <w:bottom w:w="100" w:type="dxa"/>
              <w:left w:w="150" w:type="dxa"/>
              <w:right w:w="150" w:type="dxa"/>
            </w:tcMar>
          </w:tcPr>
          <w:p>
            <w:pPr>
              <w:spacing w:before="0" w:after="0"/>
            </w:pPr>
            <w:r>
              <w:rPr>
                <w:rFonts w:ascii="Arial" w:hAnsi="Arial"/>
                <w:color w:val="1E293B"/>
                <w:sz w:val="21"/>
              </w:rPr>
              <w:t>Model training on SageMaker, FastAPI backend, React 19 UI, and AWS Cloud architecture.</w:t>
            </w:r>
          </w:p>
        </w:tc>
      </w:tr>
      <w:tr>
        <w:tc>
          <w:tcPr>
            <w:tcW w:type="dxa" w:w="4968"/>
            <w:tcMar>
              <w:top w:w="100" w:type="dxa"/>
              <w:bottom w:w="100" w:type="dxa"/>
              <w:left w:w="150" w:type="dxa"/>
              <w:right w:w="150" w:type="dxa"/>
            </w:tcMar>
          </w:tcPr>
          <w:p>
            <w:pPr>
              <w:spacing w:before="0" w:after="0"/>
            </w:pPr>
            <w:r>
              <w:rPr>
                <w:rFonts w:ascii="Arial" w:hAnsi="Arial"/>
                <w:color w:val="1E293B"/>
                <w:sz w:val="21"/>
              </w:rPr>
              <w:t>**Client (Yancy)**</w:t>
            </w:r>
          </w:p>
        </w:tc>
        <w:tc>
          <w:tcPr>
            <w:tcW w:type="dxa" w:w="4968"/>
            <w:tcMar>
              <w:top w:w="100" w:type="dxa"/>
              <w:bottom w:w="100" w:type="dxa"/>
              <w:left w:w="150" w:type="dxa"/>
              <w:right w:w="150" w:type="dxa"/>
            </w:tcMar>
          </w:tcPr>
          <w:p>
            <w:pPr>
              <w:spacing w:before="0" w:after="0"/>
            </w:pPr>
            <w:r>
              <w:rPr>
                <w:rFonts w:ascii="Arial" w:hAnsi="Arial"/>
                <w:color w:val="1E293B"/>
                <w:sz w:val="21"/>
              </w:rPr>
              <w:t>Provisioning AWS account access, providing raw drone datasets, and timely UAT sign-off.</w:t>
            </w:r>
          </w:p>
        </w:tc>
      </w:tr>
      <w:tr>
        <w:tc>
          <w:tcPr>
            <w:tcW w:type="dxa" w:w="4968"/>
            <w:shd w:val="clear" w:color="auto" w:fill="F8FAFC"/>
            <w:tcMar>
              <w:top w:w="100" w:type="dxa"/>
              <w:bottom w:w="100" w:type="dxa"/>
              <w:left w:w="150" w:type="dxa"/>
              <w:right w:w="150" w:type="dxa"/>
            </w:tcMar>
          </w:tcPr>
          <w:p>
            <w:pPr>
              <w:spacing w:before="0" w:after="0"/>
            </w:pPr>
            <w:r>
              <w:rPr>
                <w:rFonts w:ascii="Arial" w:hAnsi="Arial"/>
                <w:color w:val="1E293B"/>
                <w:sz w:val="21"/>
              </w:rPr>
              <w:t>**Support Infrastructure**</w:t>
            </w:r>
          </w:p>
        </w:tc>
        <w:tc>
          <w:tcPr>
            <w:tcW w:type="dxa" w:w="4968"/>
            <w:shd w:val="clear" w:color="auto" w:fill="F8FAFC"/>
            <w:tcMar>
              <w:top w:w="100" w:type="dxa"/>
              <w:bottom w:w="100" w:type="dxa"/>
              <w:left w:w="150" w:type="dxa"/>
              <w:right w:w="150" w:type="dxa"/>
            </w:tcMar>
          </w:tcPr>
          <w:p>
            <w:pPr>
              <w:spacing w:before="0" w:after="0"/>
            </w:pPr>
            <w:r>
              <w:rPr>
                <w:rFonts w:ascii="Arial" w:hAnsi="Arial"/>
                <w:color w:val="1E293B"/>
                <w:sz w:val="21"/>
              </w:rPr>
              <w:t>Management of Stripe API integrations, RDS backups, and AWS IAM role least-privilege policies.</w:t>
            </w:r>
          </w:p>
        </w:tc>
      </w:tr>
    </w:tbl>
    <w:p>
      <w:pPr>
        <w:pStyle w:val="Heading2"/>
      </w:pPr>
      <w:r>
        <w:t>8.5 Success Metrics</w:t>
      </w:r>
    </w:p>
    <w:p>
      <w:r>
        <w:t>The project engagement is evaluated against objective technical KPIs rather than subjective milestones:</w:t>
      </w:r>
    </w:p>
    <w:p>
      <w:r>
        <w:t>1.  Inference Latency: YOLOv26 model inference must return defect detection scores in &lt; 200ms per frame.</w:t>
      </w:r>
    </w:p>
    <w:p>
      <w:r>
        <w:t>2.  Ingestion Efficiency: Pipeline must handle 1GB of drone imagery per hour without throttling AWS Lambda concurrent executions.</w:t>
      </w:r>
    </w:p>
    <w:p>
      <w:r>
        <w:t>3.  Deployment Stability: Zero critical bugs in the FastAPI/PostgreSQL authentication flow post-production.</w:t>
      </w:r>
    </w:p>
    <w:p>
      <w:r>
        <w:t>4.  Financial Alignment: Total cloud operational expenditure for the development period is forecasted to stay under 15% of the total project budget through optimized auto-scaling of SageMaker instances.</w:t>
      </w:r>
    </w:p>
    <w:p>
      <w:pPr>
        <w:pStyle w:val="Heading1"/>
        <w:pBdr>
          <w:bottom w:val="single" w:sz="12" w:space="4" w:color="1F6FBF"/>
        </w:pBdr>
      </w:pPr>
      <w:r>
        <w:t>9. Why This Partnership</w:t>
      </w:r>
    </w:p>
    <w:p>
      <w:r>
        <w:t>Engaging Ark for the Lumova AI project is not a procurement of software development, but an investment in an industrialized AI operations pipeline. We bridge the gap between experimental computer vision research and a production-grade, multi-tenant SaaS architecture. Our approach mitigates technical debt by leveraging AWS-native infrastructure, ensuring that Yancy’s 3D digital twin engine remains scalable from the initial pilot to enterprise-wide deployment.</w:t>
      </w:r>
    </w:p>
    <w:p>
      <w:pPr>
        <w:pStyle w:val="Heading2"/>
      </w:pPr>
      <w:r>
        <w:t>9.1 Architectural Maturity and AWS Optimization</w:t>
      </w:r>
    </w:p>
    <w:p>
      <w:r>
        <w:t>We do not view the Lumova AI tech stack as disparate components. Instead, we architect them as a cohesive event-driven ecosystem. By utilizing AWS Lambda for serverless image ingestion and AWS SageMaker for the YOLOv26 model lifecycle, we optimize for both performance and cost. Our implementation strategy ensures that the heavy lifting—specifically the drone imagery processing—is offloaded from the FastAPI application layer, preventing latency spikes in the 3D digital twin visualization.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Component</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Technical Strategy</w:t>
            </w:r>
          </w:p>
        </w:tc>
        <w:tc>
          <w:tcPr>
            <w:tcW w:type="dxa" w:w="3312"/>
            <w:shd w:val="clear" w:color="auto" w:fill="0F172A"/>
            <w:tcMar>
              <w:top w:w="120" w:type="dxa"/>
              <w:bottom w:w="120" w:type="dxa"/>
              <w:left w:w="150" w:type="dxa"/>
              <w:right w:w="150" w:type="dxa"/>
            </w:tcMar>
          </w:tcPr>
          <w:p>
            <w:pPr>
              <w:spacing w:before="0" w:after="0"/>
            </w:pPr>
            <w:r>
              <w:rPr>
                <w:rFonts w:ascii="Arial" w:hAnsi="Arial"/>
                <w:b/>
                <w:color w:val="FFFFFF"/>
                <w:sz w:val="21"/>
              </w:rPr>
              <w:t>Enterprise Benefit</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**Data Ingestion**</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S3 Event Notifications -&gt; Lambda</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Zero-maintenance, elastic scaling</w:t>
            </w:r>
          </w:p>
        </w:tc>
      </w:tr>
      <w:tr>
        <w:tc>
          <w:tcPr>
            <w:tcW w:type="dxa" w:w="3312"/>
            <w:tcMar>
              <w:top w:w="100" w:type="dxa"/>
              <w:bottom w:w="100" w:type="dxa"/>
              <w:left w:w="150" w:type="dxa"/>
              <w:right w:w="150" w:type="dxa"/>
            </w:tcMar>
          </w:tcPr>
          <w:p>
            <w:pPr>
              <w:spacing w:before="0" w:after="0"/>
            </w:pPr>
            <w:r>
              <w:rPr>
                <w:rFonts w:ascii="Arial" w:hAnsi="Arial"/>
                <w:color w:val="1E293B"/>
                <w:sz w:val="21"/>
              </w:rPr>
              <w:t>**Model Serving**</w:t>
            </w:r>
          </w:p>
        </w:tc>
        <w:tc>
          <w:tcPr>
            <w:tcW w:type="dxa" w:w="3312"/>
            <w:tcMar>
              <w:top w:w="100" w:type="dxa"/>
              <w:bottom w:w="100" w:type="dxa"/>
              <w:left w:w="150" w:type="dxa"/>
              <w:right w:w="150" w:type="dxa"/>
            </w:tcMar>
          </w:tcPr>
          <w:p>
            <w:pPr>
              <w:spacing w:before="0" w:after="0"/>
            </w:pPr>
            <w:r>
              <w:rPr>
                <w:rFonts w:ascii="Arial" w:hAnsi="Arial"/>
                <w:color w:val="1E293B"/>
                <w:sz w:val="21"/>
              </w:rPr>
              <w:t>AWS SageMaker Inference Endpoints</w:t>
            </w:r>
          </w:p>
        </w:tc>
        <w:tc>
          <w:tcPr>
            <w:tcW w:type="dxa" w:w="3312"/>
            <w:tcMar>
              <w:top w:w="100" w:type="dxa"/>
              <w:bottom w:w="100" w:type="dxa"/>
              <w:left w:w="150" w:type="dxa"/>
              <w:right w:w="150" w:type="dxa"/>
            </w:tcMar>
          </w:tcPr>
          <w:p>
            <w:pPr>
              <w:spacing w:before="0" w:after="0"/>
            </w:pPr>
            <w:r>
              <w:rPr>
                <w:rFonts w:ascii="Arial" w:hAnsi="Arial"/>
                <w:color w:val="1E293B"/>
                <w:sz w:val="21"/>
              </w:rPr>
              <w:t>High-availability, managed auto-scaling</w:t>
            </w:r>
          </w:p>
        </w:tc>
      </w:tr>
      <w:tr>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**Persistence**</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PostgreSQL RDS (Multi-AZ)</w:t>
            </w:r>
          </w:p>
        </w:tc>
        <w:tc>
          <w:tcPr>
            <w:tcW w:type="dxa" w:w="3312"/>
            <w:shd w:val="clear" w:color="auto" w:fill="F8FAFC"/>
            <w:tcMar>
              <w:top w:w="100" w:type="dxa"/>
              <w:bottom w:w="100" w:type="dxa"/>
              <w:left w:w="150" w:type="dxa"/>
              <w:right w:w="150" w:type="dxa"/>
            </w:tcMar>
          </w:tcPr>
          <w:p>
            <w:pPr>
              <w:spacing w:before="0" w:after="0"/>
            </w:pPr>
            <w:r>
              <w:rPr>
                <w:rFonts w:ascii="Arial" w:hAnsi="Arial"/>
                <w:color w:val="1E293B"/>
                <w:sz w:val="21"/>
              </w:rPr>
              <w:t>ACID-compliant, point-in-time recovery</w:t>
            </w:r>
          </w:p>
        </w:tc>
      </w:tr>
      <w:tr>
        <w:tc>
          <w:tcPr>
            <w:tcW w:type="dxa" w:w="3312"/>
            <w:tcMar>
              <w:top w:w="100" w:type="dxa"/>
              <w:bottom w:w="100" w:type="dxa"/>
              <w:left w:w="150" w:type="dxa"/>
              <w:right w:w="150" w:type="dxa"/>
            </w:tcMar>
          </w:tcPr>
          <w:p>
            <w:pPr>
              <w:spacing w:before="0" w:after="0"/>
            </w:pPr>
            <w:r>
              <w:rPr>
                <w:rFonts w:ascii="Arial" w:hAnsi="Arial"/>
                <w:color w:val="1E293B"/>
                <w:sz w:val="21"/>
              </w:rPr>
              <w:t>**Billing**</w:t>
            </w:r>
          </w:p>
        </w:tc>
        <w:tc>
          <w:tcPr>
            <w:tcW w:type="dxa" w:w="3312"/>
            <w:tcMar>
              <w:top w:w="100" w:type="dxa"/>
              <w:bottom w:w="100" w:type="dxa"/>
              <w:left w:w="150" w:type="dxa"/>
              <w:right w:w="150" w:type="dxa"/>
            </w:tcMar>
          </w:tcPr>
          <w:p>
            <w:pPr>
              <w:spacing w:before="0" w:after="0"/>
            </w:pPr>
            <w:r>
              <w:rPr>
                <w:rFonts w:ascii="Arial" w:hAnsi="Arial"/>
                <w:color w:val="1E293B"/>
                <w:sz w:val="21"/>
              </w:rPr>
              <w:t>Stripe API + FastAPI Webhooks</w:t>
            </w:r>
          </w:p>
        </w:tc>
        <w:tc>
          <w:tcPr>
            <w:tcW w:type="dxa" w:w="3312"/>
            <w:tcMar>
              <w:top w:w="100" w:type="dxa"/>
              <w:bottom w:w="100" w:type="dxa"/>
              <w:left w:w="150" w:type="dxa"/>
              <w:right w:w="150" w:type="dxa"/>
            </w:tcMar>
          </w:tcPr>
          <w:p>
            <w:pPr>
              <w:spacing w:before="0" w:after="0"/>
            </w:pPr>
            <w:r>
              <w:rPr>
                <w:rFonts w:ascii="Arial" w:hAnsi="Arial"/>
                <w:color w:val="1E293B"/>
                <w:sz w:val="21"/>
              </w:rPr>
              <w:t>Audit-ready, compliant revenue lifecycle</w:t>
            </w:r>
          </w:p>
        </w:tc>
      </w:tr>
    </w:tbl>
    <w:p>
      <w:pPr>
        <w:pStyle w:val="Heading2"/>
      </w:pPr>
      <w:r>
        <w:t>9.2 Accelerating Time-to-Value (TTV)</w:t>
      </w:r>
    </w:p>
    <w:p>
      <w:r>
        <w:t>The 14-week engagement is structured to prioritize rapid iterations without compromising security or reliability. Ark utilizes a modular delivery model that front-loads the most technically complex components—specifically the YOLOv26 integration and the digital twin health score engine—to ensure the core value proposition is validated by the end of Phase 1.</w:t>
      </w:r>
    </w:p>
    <w:p>
      <w:pPr>
        <w:pStyle w:val="ListBullet"/>
      </w:pPr>
      <w:r>
        <w:t>Phase 1 (Weeks 1-5): Establishing the ingestion pipeline and baseline defect detection logic.</w:t>
      </w:r>
    </w:p>
    <w:p>
      <w:pPr>
        <w:pStyle w:val="ListBullet"/>
      </w:pPr>
      <w:r>
        <w:t>Phase 2 (Weeks 6-14): Integrating multi-tenant FastAPI backend, Stripe subscription management, and React 19 interactive frontend.</w:t>
      </w:r>
    </w:p>
    <w:p>
      <w:pPr>
        <w:pStyle w:val="Heading2"/>
      </w:pPr>
      <w:r>
        <w:t>9.3 Strategic Engineering Philosophy</w:t>
      </w:r>
    </w:p>
    <w:p>
      <w:r>
        <w:t>Our consultancy is grounded in the "Modern Web" paradigm. By leveraging React 19, we ensure the 3D digital twin interface benefits from concurrent rendering and enhanced performance, providing Yancy with an interface that feels as responsive as a local application while running entirely in the browser.</w:t>
      </w:r>
    </w:p>
    <w:p>
      <w:r>
        <w:t>Beyond code, we bring a philosophy of "Security by Design." Every aspect of the multi-tenant architecture will be built with data isolation as a foundational principle—using row-level security (RLS) within PostgreSQL to ensure that tenant data remains siloed, fulfilling the rigorous compliance expectations required for enterprise-grade asset management.</w:t>
      </w:r>
    </w:p>
    <w:p>
      <w:pPr>
        <w:pStyle w:val="Heading2"/>
      </w:pPr>
      <w:r>
        <w:t>9.4 Commitment to Operational Excellence</w:t>
      </w:r>
    </w:p>
    <w:p>
      <w:r>
        <w:t>By partnering with Ark, Yancy gains access to a team that operates as a high-velocity extension of their existing engineering efforts. We provide:</w:t>
      </w:r>
    </w:p>
    <w:p>
      <w:r>
        <w:t>1.  Infrastructure as Code (IaC): All AWS components will be provisioned via Terraform or AWS CDK, ensuring environment parity between development, staging, and production.</w:t>
      </w:r>
    </w:p>
    <w:p>
      <w:r>
        <w:t>2.  Cost Governance: We design with FinOps principles, utilizing S3 Lifecycle Policies and SageMaker managed instances to keep operational expenditure within the $28,000 threshold while maximizing compute efficacy.</w:t>
      </w:r>
    </w:p>
    <w:p>
      <w:r>
        <w:t>3.  Knowledge Transfer: We deliver comprehensive documentation for the YOLOv26 training/fine-tuning pipeline, empowering Yancy’s internal team to iterate on defect detection accuracy post-handover.</w:t>
      </w:r>
    </w:p>
    <w:p>
      <w:r>
        <w:t>This partnership is designed to transform the current vision for Lumova AI into a sustainable, scalable asset that differentiates your business in the competitive digital twin market.</w:t>
      </w:r>
    </w:p>
    <w:p>
      <w:pPr>
        <w:pStyle w:val="Heading1"/>
        <w:pBdr>
          <w:bottom w:val="single" w:sz="12" w:space="4" w:color="1F6FBF"/>
        </w:pBdr>
      </w:pPr>
      <w:r>
        <w:t>10. Proposed Next Steps</w:t>
      </w:r>
    </w:p>
    <w:p>
      <w:r>
        <w:t>To transition the Lumova AI initiative from proposal to execution, we recommend a phased onboarding approach designed to minimize initial risk while establishing high-velocity development cycles. We will leverage an Agile Scrum framework with bi-weekly sprint reviews to ensure technical alignment with Yancy’s core requirements.</w:t>
      </w:r>
    </w:p>
    <w:p>
      <w:pPr>
        <w:pStyle w:val="Heading2"/>
      </w:pPr>
      <w:r>
        <w:t>10.1 Immediate Project Mobilization (Week 1)</w:t>
      </w:r>
    </w:p>
    <w:p>
      <w:r>
        <w:t>The kickoff phase prioritizes environment parity and infrastructure as code (IaC). Our primary objective is to provision the AWS landing zone to support the ingestion pipeline and secure the multi-tenant architecture.</w:t>
      </w:r>
    </w:p>
    <w:p>
      <w:pPr>
        <w:pStyle w:val="ListBullet"/>
      </w:pPr>
      <w:r>
        <w:t>AWS Infrastructure Setup: Terraform deployment of S3 buckets (landing, processing, and archive), RDS PostgreSQL instances with Multi-AZ redundancy, and SageMaker model endpoints.</w:t>
      </w:r>
    </w:p>
    <w:p>
      <w:pPr>
        <w:pStyle w:val="ListBullet"/>
      </w:pPr>
      <w:r>
        <w:t>Access Provisioning: Configuration of AWS IAM roles and Cognito user pools to support the multi-tenant FastAPI backend.</w:t>
      </w:r>
    </w:p>
    <w:p>
      <w:pPr>
        <w:pStyle w:val="ListBullet"/>
      </w:pPr>
      <w:r>
        <w:t>Baseline Architecture: Establishment of the React 19 frontend boilerplate integrated with the Python FastAPI core.</w:t>
      </w:r>
    </w:p>
    <w:p>
      <w:pPr>
        <w:pStyle w:val="Heading2"/>
      </w:pPr>
      <w:r>
        <w:t>10.2 Roadmap and Milestone Alignment</w:t>
      </w:r>
    </w:p>
    <w:p>
      <w:r>
        <w:t>The project is structured into two distinct execution phases. The following table outlines the critical delivery milestones and their associated timelines within the $28,000 budget framework.</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484"/>
        <w:gridCol w:w="2484"/>
        <w:gridCol w:w="2484"/>
        <w:gridCol w:w="2484"/>
      </w:tblGrid>
      <w:tr>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Milestone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Deliverable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Timeline</w:t>
            </w:r>
          </w:p>
        </w:tc>
        <w:tc>
          <w:tcPr>
            <w:tcW w:type="dxa" w:w="2484"/>
            <w:shd w:val="clear" w:color="auto" w:fill="0F172A"/>
            <w:tcMar>
              <w:top w:w="120" w:type="dxa"/>
              <w:bottom w:w="120" w:type="dxa"/>
              <w:left w:w="150" w:type="dxa"/>
              <w:right w:w="150" w:type="dxa"/>
            </w:tcMar>
          </w:tcPr>
          <w:p>
            <w:pPr>
              <w:spacing w:before="0" w:after="0"/>
            </w:pPr>
            <w:r>
              <w:rPr>
                <w:rFonts w:ascii="Arial" w:hAnsi="Arial"/>
                <w:b/>
                <w:color w:val="FFFFFF"/>
                <w:sz w:val="21"/>
              </w:rPr>
              <w:t>Focus Area</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**Phase 1: Foundation**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AWS Ingestion Pipeline &amp; RDS Setup</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Weeks 1–5</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S3/Lambda Integration</w:t>
            </w:r>
          </w:p>
        </w:tc>
      </w:tr>
      <w:tr>
        <w:tc>
          <w:tcPr>
            <w:tcW w:type="dxa" w:w="2484"/>
            <w:tcMar>
              <w:top w:w="100" w:type="dxa"/>
              <w:bottom w:w="100" w:type="dxa"/>
              <w:left w:w="150" w:type="dxa"/>
              <w:right w:w="150" w:type="dxa"/>
            </w:tcMar>
          </w:tcPr>
          <w:p>
            <w:pPr>
              <w:spacing w:before="0" w:after="0"/>
            </w:pPr>
            <w:r>
              <w:rPr>
                <w:rFonts w:ascii="Arial" w:hAnsi="Arial"/>
                <w:color w:val="1E293B"/>
                <w:sz w:val="21"/>
              </w:rPr>
              <w:t>**Phase 2: Intelligence**</w:t>
            </w:r>
          </w:p>
        </w:tc>
        <w:tc>
          <w:tcPr>
            <w:tcW w:type="dxa" w:w="2484"/>
            <w:tcMar>
              <w:top w:w="100" w:type="dxa"/>
              <w:bottom w:w="100" w:type="dxa"/>
              <w:left w:w="150" w:type="dxa"/>
              <w:right w:w="150" w:type="dxa"/>
            </w:tcMar>
          </w:tcPr>
          <w:p>
            <w:pPr>
              <w:spacing w:before="0" w:after="0"/>
            </w:pPr>
            <w:r>
              <w:rPr>
                <w:rFonts w:ascii="Arial" w:hAnsi="Arial"/>
                <w:color w:val="1E293B"/>
                <w:sz w:val="21"/>
              </w:rPr>
              <w:t>YOLOv26 Model &amp; Digital Twin Engine</w:t>
            </w:r>
          </w:p>
        </w:tc>
        <w:tc>
          <w:tcPr>
            <w:tcW w:type="dxa" w:w="2484"/>
            <w:tcMar>
              <w:top w:w="100" w:type="dxa"/>
              <w:bottom w:w="100" w:type="dxa"/>
              <w:left w:w="150" w:type="dxa"/>
              <w:right w:w="150" w:type="dxa"/>
            </w:tcMar>
          </w:tcPr>
          <w:p>
            <w:pPr>
              <w:spacing w:before="0" w:after="0"/>
            </w:pPr>
            <w:r>
              <w:rPr>
                <w:rFonts w:ascii="Arial" w:hAnsi="Arial"/>
                <w:color w:val="1E293B"/>
                <w:sz w:val="21"/>
              </w:rPr>
              <w:t>Weeks 6–14</w:t>
            </w:r>
          </w:p>
        </w:tc>
        <w:tc>
          <w:tcPr>
            <w:tcW w:type="dxa" w:w="2484"/>
            <w:tcMar>
              <w:top w:w="100" w:type="dxa"/>
              <w:bottom w:w="100" w:type="dxa"/>
              <w:left w:w="150" w:type="dxa"/>
              <w:right w:w="150" w:type="dxa"/>
            </w:tcMar>
          </w:tcPr>
          <w:p>
            <w:pPr>
              <w:spacing w:before="0" w:after="0"/>
            </w:pPr>
            <w:r>
              <w:rPr>
                <w:rFonts w:ascii="Arial" w:hAnsi="Arial"/>
                <w:color w:val="1E293B"/>
                <w:sz w:val="21"/>
              </w:rPr>
              <w:t>SageMaker &amp; OpenCV</w:t>
            </w:r>
          </w:p>
        </w:tc>
      </w:tr>
      <w:tr>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**Phase 3: Commercial**</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Stripe Billing &amp; Tenant Isolation</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Weeks 13–14</w:t>
            </w:r>
          </w:p>
        </w:tc>
        <w:tc>
          <w:tcPr>
            <w:tcW w:type="dxa" w:w="2484"/>
            <w:shd w:val="clear" w:color="auto" w:fill="F8FAFC"/>
            <w:tcMar>
              <w:top w:w="100" w:type="dxa"/>
              <w:bottom w:w="100" w:type="dxa"/>
              <w:left w:w="150" w:type="dxa"/>
              <w:right w:w="150" w:type="dxa"/>
            </w:tcMar>
          </w:tcPr>
          <w:p>
            <w:pPr>
              <w:spacing w:before="0" w:after="0"/>
            </w:pPr>
            <w:r>
              <w:rPr>
                <w:rFonts w:ascii="Arial" w:hAnsi="Arial"/>
                <w:color w:val="1E293B"/>
                <w:sz w:val="21"/>
              </w:rPr>
              <w:t>Multi-tenant FastAPI</w:t>
            </w:r>
          </w:p>
        </w:tc>
      </w:tr>
    </w:tbl>
    <w:p>
      <w:pPr>
        <w:pStyle w:val="Heading2"/>
      </w:pPr>
      <w:r>
        <w:t>10.3 Technical Execution Strategy</w:t>
      </w:r>
    </w:p>
    <w:p>
      <w:r>
        <w:t>We will execute development using a "Security-by-Design" philosophy, specifically addressing the high-compute requirements of the defect detection model and the high-concurrency needs of the multi-tenant API.</w:t>
      </w:r>
    </w:p>
    <w:p>
      <w:pPr>
        <w:pStyle w:val="Heading2"/>
      </w:pPr>
      <w:r>
        <w:t>10.4 Strategic Governance &amp; Communication</w:t>
      </w:r>
    </w:p>
    <w:p>
      <w:r>
        <w:t>To ensure project transparency and adherence to the $28,000 budget, we propose the following governance structure:</w:t>
      </w:r>
    </w:p>
    <w:p>
      <w:pPr>
        <w:pStyle w:val="ListBullet"/>
      </w:pPr>
      <w:r>
        <w:t>Bi-weekly Technical Sync: A 30-minute demonstration of current build progress, specifically focusing on API endpoints and S3 imagery ingestion success rates.</w:t>
      </w:r>
    </w:p>
    <w:p>
      <w:pPr>
        <w:pStyle w:val="ListBullet"/>
      </w:pPr>
      <w:r>
        <w:t>AWS Cost Management: Implementation of AWS Budgets and CloudWatch Alarms to monitor SageMaker inference costs and RDS utilization throughout the 14-week engagement.</w:t>
      </w:r>
    </w:p>
    <w:p>
      <w:pPr>
        <w:pStyle w:val="ListBullet"/>
      </w:pPr>
      <w:r>
        <w:t>Acceptance Criteria: Every deliverable will be subjected to automated CI/CD pipeline tests. Milestone sign-off will be contingent upon passing integrated tests for both the YOLOv26 inference engine and the Stripe billing webhook reliability.</w:t>
      </w:r>
    </w:p>
    <w:p>
      <w:pPr>
        <w:pStyle w:val="Heading2"/>
      </w:pPr>
      <w:r>
        <w:t>10.5 Commencement Requirements</w:t>
      </w:r>
    </w:p>
    <w:p>
      <w:r>
        <w:t>To initiate the Phase 1 sprint, we request the following from the Yancy internal team:</w:t>
      </w:r>
    </w:p>
    <w:p>
      <w:r>
        <w:t>1.  AWS Account Access: Provisioning of an IAM User with PowerUserAccess in the development environment.</w:t>
      </w:r>
    </w:p>
    <w:p>
      <w:r>
        <w:t>2.  Stripe API Sandbox: Access to a test-mode Stripe account for the integration of multi-tenant subscription billing.</w:t>
      </w:r>
    </w:p>
    <w:p>
      <w:r>
        <w:t>3.  Data Samples: A representative subset of drone imagery to calibrate the YOLOv26 defect detection model during the initial SageMaker training phase.</w:t>
      </w:r>
    </w:p>
    <w:p>
      <w:r>
        <w:t>Upon receipt of formal approval, we are prepared to mobilize the engineering team within 72 hours to begin the initial infrastructure provisioning.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