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96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96"/>
          <w:shd w:fill="auto" w:val="clear"/>
        </w:rPr>
        <w:t xml:space="preserve">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96"/>
          <w:shd w:fill="auto" w:val="clear"/>
        </w:rPr>
        <w:t xml:space="preserve">Резюме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ф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Жуматаев Султан Кубатович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Дата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рождения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05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.2008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Место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рождения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Чуйская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область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Ленинский район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город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Бишкек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стolica)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Место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проживания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адрес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)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улица гагарина 133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Место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учебы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Школа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сош25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отучился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класс а также 70 гимназцияя 1-3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Место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учебы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данный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момент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Международный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колледж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айти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бизнеса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имени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Аскара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Салымбекова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(1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курс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Мед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справка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утверждает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что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Жуматаев Султан КубатовичПолностью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здоров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Военный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билет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присутствует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Опыт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работы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нет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Обо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мне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175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вес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75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кг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электронная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почта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2"/>
          <w:shd w:fill="auto" w:val="clear"/>
        </w:rPr>
        <w:t xml:space="preserve"> 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rprprrr45@gmail.com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Номер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телефона</w:t>
      </w:r>
      <w:r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  <w:t xml:space="preserve"> : 0501 920 950</w:t>
      </w:r>
    </w:p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