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38.png" ContentType="image/png"/>
  <Override PartName="/word/media/rId35.png" ContentType="image/png"/>
  <Override PartName="/word/media/rId44.png" ContentType="image/png"/>
  <Override PartName="/word/media/rId41.png" ContentType="image/png"/>
  <Override PartName="/word/media/rId50.png" ContentType="image/png"/>
  <Override PartName="/word/media/rId47.png" ContentType="image/png"/>
  <Override PartName="/word/media/rId66.png" ContentType="image/png"/>
  <Override PartName="/word/media/rId63.png" ContentType="image/png"/>
  <Override PartName="/word/media/rId72.png" ContentType="image/png"/>
  <Override PartName="/word/media/rId69.png" ContentType="image/png"/>
  <Override PartName="/word/media/rId78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гармонический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9)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FirstParagraph"/>
      </w:pPr>
      <w:r>
        <w:t xml:space="preserve">Целью данной лабораторной работы является построение математической модели гармонический колебаний.</w:t>
      </w:r>
    </w:p>
    <w:bookmarkEnd w:id="20"/>
    <w:bookmarkStart w:id="21" w:name="задание-lab-examplemathmod"/>
    <w:p>
      <w:pPr>
        <w:pStyle w:val="Heading1"/>
      </w:pPr>
      <w:r>
        <w:t xml:space="preserve">Задание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cил: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bookmarkEnd w:id="21"/>
    <w:bookmarkStart w:id="22" w:name="теоретическое-введениеlab-taskmathmod"/>
    <w:p>
      <w:pPr>
        <w:pStyle w:val="Heading1"/>
      </w:pPr>
      <w:r>
        <w:t xml:space="preserve">Теоретическое введение</w:t>
      </w:r>
      <w:r>
        <w:t xml:space="preserve">[2]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γ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bookmarkEnd w:id="22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3" w:name="код-на-julia"/>
    <w:p>
      <w:pPr>
        <w:pStyle w:val="Heading2"/>
      </w:pPr>
      <w:r>
        <w:t xml:space="preserve">Код на Julia</w:t>
      </w:r>
    </w:p>
    <w:p>
      <w:pPr>
        <w:pStyle w:val="FirstParagraph"/>
      </w:pPr>
      <w:r>
        <w:t xml:space="preserve">Подключаем нужные библиотеки и создаем переменные.(??)</w:t>
      </w:r>
    </w:p>
    <w:p>
      <w:pPr>
        <w:pStyle w:val="CaptionedFigure"/>
      </w:pPr>
      <w:r>
        <w:drawing>
          <wp:inline>
            <wp:extent cx="2806700" cy="1435100"/>
            <wp:effectExtent b="0" l="0" r="0" t="0"/>
            <wp:docPr descr="Подключение библиотек и создание переменных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библиотек и создание переменных</w:t>
      </w:r>
    </w:p>
    <w:p>
      <w:pPr>
        <w:pStyle w:val="BodyText"/>
      </w:pPr>
      <w:r>
        <w:t xml:space="preserve">С помощью Differential Equations</w:t>
      </w:r>
      <w:r>
        <w:t xml:space="preserve">[3]</w:t>
      </w:r>
      <w:r>
        <w:t xml:space="preserve"> </w:t>
      </w:r>
      <w:r>
        <w:t xml:space="preserve">создадим функции уравнения и визуализации.(??-??)</w:t>
      </w:r>
    </w:p>
    <w:p>
      <w:pPr>
        <w:pStyle w:val="CaptionedFigure"/>
      </w:pPr>
      <w:r>
        <w:drawing>
          <wp:inline>
            <wp:extent cx="4318000" cy="3378200"/>
            <wp:effectExtent b="0" l="0" r="0" t="0"/>
            <wp:docPr descr="Функции уравнение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уравнение</w:t>
      </w:r>
    </w:p>
    <w:p>
      <w:pPr>
        <w:pStyle w:val="CaptionedFigure"/>
      </w:pPr>
      <w:r>
        <w:drawing>
          <wp:inline>
            <wp:extent cx="5080000" cy="3136900"/>
            <wp:effectExtent b="0" l="0" r="0" t="0"/>
            <wp:docPr descr="Функция визуализации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визуализации</w:t>
      </w:r>
    </w:p>
    <w:p>
      <w:pPr>
        <w:pStyle w:val="BodyText"/>
      </w:pPr>
      <w:r>
        <w:t xml:space="preserve">Решаем ОДУ для обоих случаев и создаем математические модели.(??)</w:t>
      </w:r>
    </w:p>
    <w:p>
      <w:pPr>
        <w:pStyle w:val="CaptionedFigure"/>
      </w:pPr>
      <w:r>
        <w:drawing>
          <wp:inline>
            <wp:extent cx="3517900" cy="6108700"/>
            <wp:effectExtent b="0" l="0" r="0" t="0"/>
            <wp:docPr descr="Решение ОДУ и построение мат. моделей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ОДУ и построение мат. моделей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4168588"/>
            <wp:effectExtent b="0" l="0" r="0" t="0"/>
            <wp:docPr descr="Математическая модель - I случай" title="fig:" id="36" name="Picture"/>
            <a:graphic>
              <a:graphicData uri="http://schemas.openxmlformats.org/drawingml/2006/picture">
                <pic:pic>
                  <pic:nvPicPr>
                    <pic:cNvPr descr="./image/Figure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 случай</w:t>
      </w:r>
    </w:p>
    <w:p>
      <w:pPr>
        <w:pStyle w:val="CaptionedFigure"/>
      </w:pPr>
      <w:r>
        <w:drawing>
          <wp:inline>
            <wp:extent cx="5334000" cy="4276077"/>
            <wp:effectExtent b="0" l="0" r="0" t="0"/>
            <wp:docPr descr="Математическая модель - I случай(парам.)" title="fig:" id="39" name="Picture"/>
            <a:graphic>
              <a:graphicData uri="http://schemas.openxmlformats.org/drawingml/2006/picture">
                <pic:pic>
                  <pic:nvPicPr>
                    <pic:cNvPr descr="./image/Figure_1(parametric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 случай(парам.)</w:t>
      </w:r>
    </w:p>
    <w:p>
      <w:pPr>
        <w:pStyle w:val="CaptionedFigure"/>
      </w:pPr>
      <w:r>
        <w:drawing>
          <wp:inline>
            <wp:extent cx="5334000" cy="4090131"/>
            <wp:effectExtent b="0" l="0" r="0" t="0"/>
            <wp:docPr descr="Математическая модель - II случай" title="fig:" id="42" name="Picture"/>
            <a:graphic>
              <a:graphicData uri="http://schemas.openxmlformats.org/drawingml/2006/picture">
                <pic:pic>
                  <pic:nvPicPr>
                    <pic:cNvPr descr="./image/Figure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 случай</w:t>
      </w:r>
    </w:p>
    <w:p>
      <w:pPr>
        <w:pStyle w:val="CaptionedFigure"/>
      </w:pPr>
      <w:r>
        <w:drawing>
          <wp:inline>
            <wp:extent cx="5334000" cy="4173464"/>
            <wp:effectExtent b="0" l="0" r="0" t="0"/>
            <wp:docPr descr="Математическая модель - II случай(парам.)" title="fig:" id="45" name="Picture"/>
            <a:graphic>
              <a:graphicData uri="http://schemas.openxmlformats.org/drawingml/2006/picture">
                <pic:pic>
                  <pic:nvPicPr>
                    <pic:cNvPr descr="./image/Figure_2(parametric)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 случай(парам.)</w:t>
      </w:r>
    </w:p>
    <w:p>
      <w:pPr>
        <w:pStyle w:val="CaptionedFigure"/>
      </w:pPr>
      <w:r>
        <w:drawing>
          <wp:inline>
            <wp:extent cx="5334000" cy="4320161"/>
            <wp:effectExtent b="0" l="0" r="0" t="0"/>
            <wp:docPr descr="Математическая модель - III случай" title="fig:" id="48" name="Picture"/>
            <a:graphic>
              <a:graphicData uri="http://schemas.openxmlformats.org/drawingml/2006/picture">
                <pic:pic>
                  <pic:nvPicPr>
                    <pic:cNvPr descr="./image/Figure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III случай</w:t>
      </w:r>
    </w:p>
    <w:p>
      <w:pPr>
        <w:pStyle w:val="CaptionedFigure"/>
      </w:pPr>
      <w:r>
        <w:drawing>
          <wp:inline>
            <wp:extent cx="5334000" cy="4007669"/>
            <wp:effectExtent b="0" l="0" r="0" t="0"/>
            <wp:docPr descr="Математическая модель - III случай(парам.)" title="fig:" id="51" name="Picture"/>
            <a:graphic>
              <a:graphicData uri="http://schemas.openxmlformats.org/drawingml/2006/picture">
                <pic:pic>
                  <pic:nvPicPr>
                    <pic:cNvPr descr="./image/Figure_3(parametric)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III случай(парам.)</w:t>
      </w:r>
    </w:p>
    <w:bookmarkEnd w:id="53"/>
    <w:bookmarkStart w:id="81" w:name="код-на-openmodelica"/>
    <w:p>
      <w:pPr>
        <w:pStyle w:val="Heading2"/>
      </w:pPr>
      <w:r>
        <w:t xml:space="preserve">Код на OpenModelica</w:t>
      </w:r>
    </w:p>
    <w:p>
      <w:pPr>
        <w:pStyle w:val="FirstParagraph"/>
      </w:pPr>
      <w:r>
        <w:t xml:space="preserve">Реализуем код на OpenModelica, указав начальные значения переменных. Далее запишем ОДУ, а также укажем интервалы.(??-??)</w:t>
      </w:r>
    </w:p>
    <w:p>
      <w:pPr>
        <w:pStyle w:val="CaptionedFigure"/>
      </w:pPr>
      <w:r>
        <w:drawing>
          <wp:inline>
            <wp:extent cx="5334000" cy="2389909"/>
            <wp:effectExtent b="0" l="0" r="0" t="0"/>
            <wp:docPr descr="OpenModelica - I случай" title="fig:" id="55" name="Picture"/>
            <a:graphic>
              <a:graphicData uri="http://schemas.openxmlformats.org/drawingml/2006/picture">
                <pic:pic>
                  <pic:nvPicPr>
                    <pic:cNvPr descr="./image/0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- I случай</w:t>
      </w:r>
    </w:p>
    <w:p>
      <w:pPr>
        <w:pStyle w:val="CaptionedFigure"/>
      </w:pPr>
      <w:r>
        <w:drawing>
          <wp:inline>
            <wp:extent cx="5334000" cy="2463841"/>
            <wp:effectExtent b="0" l="0" r="0" t="0"/>
            <wp:docPr descr="OpenModelica - II случай" title="fig:" id="58" name="Picture"/>
            <a:graphic>
              <a:graphicData uri="http://schemas.openxmlformats.org/drawingml/2006/picture">
                <pic:pic>
                  <pic:nvPicPr>
                    <pic:cNvPr descr="./image/0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- II случай</w:t>
      </w:r>
    </w:p>
    <w:p>
      <w:pPr>
        <w:pStyle w:val="CaptionedFigure"/>
      </w:pPr>
      <w:r>
        <w:drawing>
          <wp:inline>
            <wp:extent cx="5334000" cy="2477116"/>
            <wp:effectExtent b="0" l="0" r="0" t="0"/>
            <wp:docPr descr="OpenModelica - III случай" title="fig:" id="61" name="Picture"/>
            <a:graphic>
              <a:graphicData uri="http://schemas.openxmlformats.org/drawingml/2006/picture">
                <pic:pic>
                  <pic:nvPicPr>
                    <pic:cNvPr descr="./image/0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OpenModelica - III случай</w:t>
      </w:r>
    </w:p>
    <w:p>
      <w:pPr>
        <w:pStyle w:val="BodyText"/>
      </w:pPr>
      <w:r>
        <w:t xml:space="preserve">Результаты:(??-??)</w:t>
      </w:r>
    </w:p>
    <w:p>
      <w:pPr>
        <w:pStyle w:val="CaptionedFigure"/>
      </w:pPr>
      <w:r>
        <w:drawing>
          <wp:inline>
            <wp:extent cx="5334000" cy="2424545"/>
            <wp:effectExtent b="0" l="0" r="0" t="0"/>
            <wp:docPr descr="Математическая модель - I случай" title="fig:" id="64" name="Picture"/>
            <a:graphic>
              <a:graphicData uri="http://schemas.openxmlformats.org/drawingml/2006/picture">
                <pic:pic>
                  <pic:nvPicPr>
                    <pic:cNvPr descr="./image/model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 случай</w:t>
      </w:r>
    </w:p>
    <w:p>
      <w:pPr>
        <w:pStyle w:val="CaptionedFigure"/>
      </w:pPr>
      <w:r>
        <w:drawing>
          <wp:inline>
            <wp:extent cx="5334000" cy="2407640"/>
            <wp:effectExtent b="0" l="0" r="0" t="0"/>
            <wp:docPr descr="Математическая модель - I случай(парам.)" title="fig:" id="67" name="Picture"/>
            <a:graphic>
              <a:graphicData uri="http://schemas.openxmlformats.org/drawingml/2006/picture">
                <pic:pic>
                  <pic:nvPicPr>
                    <pic:cNvPr descr="./image/model_1(parametric)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 случай(парам.)</w:t>
      </w:r>
    </w:p>
    <w:p>
      <w:pPr>
        <w:pStyle w:val="CaptionedFigure"/>
      </w:pPr>
      <w:r>
        <w:drawing>
          <wp:inline>
            <wp:extent cx="5334000" cy="2425139"/>
            <wp:effectExtent b="0" l="0" r="0" t="0"/>
            <wp:docPr descr="Математическая модель - II случай" title="fig:" id="70" name="Picture"/>
            <a:graphic>
              <a:graphicData uri="http://schemas.openxmlformats.org/drawingml/2006/picture">
                <pic:pic>
                  <pic:nvPicPr>
                    <pic:cNvPr descr="./image/model_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 случай</w:t>
      </w:r>
    </w:p>
    <w:p>
      <w:pPr>
        <w:pStyle w:val="CaptionedFigure"/>
      </w:pPr>
      <w:r>
        <w:drawing>
          <wp:inline>
            <wp:extent cx="5334000" cy="2421269"/>
            <wp:effectExtent b="0" l="0" r="0" t="0"/>
            <wp:docPr descr="Математическая модель - II случай(парам.)" title="fig:" id="73" name="Picture"/>
            <a:graphic>
              <a:graphicData uri="http://schemas.openxmlformats.org/drawingml/2006/picture">
                <pic:pic>
                  <pic:nvPicPr>
                    <pic:cNvPr descr="./image/model_2(parametric)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 случай(парам.)</w:t>
      </w:r>
    </w:p>
    <w:p>
      <w:pPr>
        <w:pStyle w:val="CaptionedFigure"/>
      </w:pPr>
      <w:r>
        <w:drawing>
          <wp:inline>
            <wp:extent cx="5334000" cy="2431964"/>
            <wp:effectExtent b="0" l="0" r="0" t="0"/>
            <wp:docPr descr="Математическая модель - III случай" title="fig:" id="76" name="Picture"/>
            <a:graphic>
              <a:graphicData uri="http://schemas.openxmlformats.org/drawingml/2006/picture">
                <pic:pic>
                  <pic:nvPicPr>
                    <pic:cNvPr descr="./image/model_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III случай</w:t>
      </w:r>
    </w:p>
    <w:p>
      <w:pPr>
        <w:pStyle w:val="CaptionedFigure"/>
      </w:pPr>
      <w:r>
        <w:drawing>
          <wp:inline>
            <wp:extent cx="5334000" cy="2418298"/>
            <wp:effectExtent b="0" l="0" r="0" t="0"/>
            <wp:docPr descr="Математическая модель - III случай(парам.)" title="fig:" id="79" name="Picture"/>
            <a:graphic>
              <a:graphicData uri="http://schemas.openxmlformats.org/drawingml/2006/picture">
                <pic:pic>
                  <pic:nvPicPr>
                    <pic:cNvPr descr="./image/model_3(parametric)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Математическая модель - III случай(парам.)</w:t>
      </w:r>
    </w:p>
    <w:bookmarkEnd w:id="81"/>
    <w:bookmarkEnd w:id="82"/>
    <w:bookmarkStart w:id="8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работы были построены математические модели 3 случаев движения гармонического осциллятора.</w:t>
      </w:r>
    </w:p>
    <w:bookmarkEnd w:id="83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Start w:id="85" w:name="ref-lab-example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№4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84">
        <w:r>
          <w:rPr>
            <w:rStyle w:val="Hyperlink"/>
          </w:rPr>
          <w:t xml:space="preserve">https://esystem.rudn.ru/pluginfile.php/1971656/mod_resource/content/2/Лабораторная%20работа%20№%203.pdf</w:t>
        </w:r>
      </w:hyperlink>
      <w:r>
        <w:t xml:space="preserve">.</w:t>
      </w:r>
    </w:p>
    <w:bookmarkEnd w:id="85"/>
    <w:bookmarkStart w:id="87" w:name="ref-lab-task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Задания к лабораторной работе №4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86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87"/>
    <w:bookmarkStart w:id="89" w:name="ref-diff-eq-doc: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8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72" Target="media/rId72.png" /><Relationship Type="http://schemas.openxmlformats.org/officeDocument/2006/relationships/image" Id="rId69" Target="media/rId69.png" /><Relationship Type="http://schemas.openxmlformats.org/officeDocument/2006/relationships/image" Id="rId78" Target="media/rId78.png" /><Relationship Type="http://schemas.openxmlformats.org/officeDocument/2006/relationships/image" Id="rId75" Target="media/rId75.png" /><Relationship Type="http://schemas.openxmlformats.org/officeDocument/2006/relationships/hyperlink" Id="rId88" Target="https://docs.sciml.ai/DiffEqDocs/stable/" TargetMode="External" /><Relationship Type="http://schemas.openxmlformats.org/officeDocument/2006/relationships/hyperlink" Id="rId86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84" Target="https://esystem.rudn.ru/pluginfile.php/1971656/mod_resource/content/2/&#1051;&#1072;&#1073;&#1086;&#1088;&#1072;&#1090;&#1086;&#1088;&#1085;&#1072;&#1103;%20&#1088;&#1072;&#1073;&#1086;&#1090;&#1072;%20&#8470;%20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docs.sciml.ai/DiffEqDocs/stable/" TargetMode="External" /><Relationship Type="http://schemas.openxmlformats.org/officeDocument/2006/relationships/hyperlink" Id="rId86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84" Target="https://esystem.rudn.ru/pluginfile.php/1971656/mod_resource/content/2/&#1051;&#1072;&#1073;&#1086;&#1088;&#1072;&#1090;&#1086;&#1088;&#1085;&#1072;&#1103;%20&#1088;&#1072;&#1073;&#1086;&#1090;&#1072;%20&#8470;%20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Сулицкий Богдан Романович</dc:creator>
  <dc:language>ru-RU</dc:language>
  <cp:keywords/>
  <dcterms:created xsi:type="dcterms:W3CDTF">2023-04-14T17:08:51Z</dcterms:created>
  <dcterms:modified xsi:type="dcterms:W3CDTF">2023-04-14T17:08:51Z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bib\cite.bib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гармонический колебаний (Вариант 9)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