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D9682" w14:textId="7E200AFA" w:rsidR="007425E3" w:rsidRPr="004D5D58" w:rsidRDefault="004D5D58">
      <w:pPr>
        <w:rPr>
          <w:b/>
          <w:bCs/>
        </w:rPr>
      </w:pPr>
      <w:r w:rsidRPr="004D5D58">
        <w:rPr>
          <w:b/>
          <w:bCs/>
        </w:rPr>
        <w:t>2023 Chardonnay:</w:t>
      </w:r>
    </w:p>
    <w:p w14:paraId="069CA6B2" w14:textId="02062859" w:rsidR="00057FA2" w:rsidRDefault="00057FA2" w:rsidP="00057FA2">
      <w:pPr>
        <w:pStyle w:val="NormalWeb"/>
      </w:pPr>
      <w:r>
        <w:t>The 2023 Chardonnay carries a quiet tension from the beginning. A distinct mineral line gives the wine shape and focus, creating energy before it fully opens.</w:t>
      </w:r>
      <w:r>
        <w:t xml:space="preserve"> </w:t>
      </w:r>
      <w:r>
        <w:t xml:space="preserve">Fresh stone fruit and yellow tropical fruit unfold in layers, balanced by a subtle reduction that brings complexity and keeps the wine from feeling overly polished or predictable. </w:t>
      </w:r>
      <w:proofErr w:type="gramStart"/>
      <w:r>
        <w:t>There’s</w:t>
      </w:r>
      <w:proofErr w:type="gramEnd"/>
      <w:r>
        <w:t xml:space="preserve"> richness and texture throughout, but the natural acidity keeps everything lifted, precise, and moving with intention.</w:t>
      </w:r>
      <w:r>
        <w:t xml:space="preserve"> </w:t>
      </w:r>
      <w:r>
        <w:t xml:space="preserve">What stands out most is the balance between depth and energy. The wine has </w:t>
      </w:r>
      <w:r w:rsidR="0009319F">
        <w:t>weight but</w:t>
      </w:r>
      <w:r>
        <w:t xml:space="preserve"> never feels heavy. It stretches with length and drive, leaving behind freshness and persistence rather than excess.</w:t>
      </w:r>
    </w:p>
    <w:p w14:paraId="42B3A6F2" w14:textId="77777777" w:rsidR="00057FA2" w:rsidRDefault="00057FA2" w:rsidP="00057FA2">
      <w:pPr>
        <w:pStyle w:val="NormalWeb"/>
      </w:pPr>
      <w:r>
        <w:t>This is a serious Chardonnay shaped more by instinct, curiosity, and attention than by formula. A wine that was allowed to evolve naturally and become its own expression rather than being pushed toward a predetermined style.</w:t>
      </w:r>
    </w:p>
    <w:p w14:paraId="7C35261A" w14:textId="77777777" w:rsidR="00057FA2" w:rsidRDefault="00057FA2" w:rsidP="004D5D58">
      <w:pPr>
        <w:pStyle w:val="NormalWeb"/>
        <w:rPr>
          <w:b/>
          <w:bCs/>
        </w:rPr>
      </w:pPr>
    </w:p>
    <w:p w14:paraId="4B72D485" w14:textId="2EAE9FCC" w:rsidR="004D5D58" w:rsidRPr="004D5D58" w:rsidRDefault="004D5D58" w:rsidP="004D5D58">
      <w:pPr>
        <w:pStyle w:val="NormalWeb"/>
      </w:pPr>
      <w:r>
        <w:rPr>
          <w:b/>
          <w:bCs/>
        </w:rPr>
        <w:t xml:space="preserve">Cases Produced: </w:t>
      </w:r>
      <w:r>
        <w:t>330</w:t>
      </w:r>
    </w:p>
    <w:p w14:paraId="4B9085EE" w14:textId="6834C4E8" w:rsidR="004D5D58" w:rsidRDefault="004D5D58" w:rsidP="004D5D58">
      <w:pPr>
        <w:pStyle w:val="NormalWeb"/>
      </w:pPr>
      <w:r w:rsidRPr="004D5D58">
        <w:rPr>
          <w:b/>
          <w:bCs/>
        </w:rPr>
        <w:t>Variety:</w:t>
      </w:r>
      <w:r>
        <w:t xml:space="preserve"> 100% Chardonnay</w:t>
      </w:r>
    </w:p>
    <w:p w14:paraId="35FBB333" w14:textId="012B00E6" w:rsidR="004D5D58" w:rsidRDefault="004D5D58" w:rsidP="004D5D58">
      <w:pPr>
        <w:pStyle w:val="NormalWeb"/>
      </w:pPr>
      <w:r w:rsidRPr="004D5D58">
        <w:rPr>
          <w:b/>
          <w:bCs/>
        </w:rPr>
        <w:t>Oak:</w:t>
      </w:r>
      <w:r>
        <w:t xml:space="preserve"> 60% New French Oak, 100% barrel fermented</w:t>
      </w:r>
    </w:p>
    <w:p w14:paraId="24950C3F" w14:textId="70D29C7E" w:rsidR="004D5D58" w:rsidRDefault="004D5D58" w:rsidP="004D5D58">
      <w:pPr>
        <w:pStyle w:val="NormalWeb"/>
      </w:pPr>
      <w:r w:rsidRPr="004D5D58">
        <w:rPr>
          <w:b/>
          <w:bCs/>
        </w:rPr>
        <w:t>Alc:</w:t>
      </w:r>
      <w:r>
        <w:t xml:space="preserve"> 14.5%</w:t>
      </w:r>
    </w:p>
    <w:p w14:paraId="23D00E5F" w14:textId="317F2891" w:rsidR="004D5D58" w:rsidRDefault="004D5D58" w:rsidP="004D5D58">
      <w:pPr>
        <w:pStyle w:val="NormalWeb"/>
      </w:pPr>
      <w:r w:rsidRPr="004D5D58">
        <w:rPr>
          <w:b/>
          <w:bCs/>
        </w:rPr>
        <w:t>TA:</w:t>
      </w:r>
      <w:r>
        <w:t xml:space="preserve"> 6.1g/L</w:t>
      </w:r>
    </w:p>
    <w:p w14:paraId="2A243260" w14:textId="482C57E5" w:rsidR="004D5D58" w:rsidRDefault="004D5D58" w:rsidP="004D5D58">
      <w:pPr>
        <w:pStyle w:val="NormalWeb"/>
      </w:pPr>
      <w:r w:rsidRPr="004D5D58">
        <w:rPr>
          <w:b/>
          <w:bCs/>
        </w:rPr>
        <w:t>pH:</w:t>
      </w:r>
      <w:r>
        <w:t xml:space="preserve"> 3.32</w:t>
      </w:r>
    </w:p>
    <w:p w14:paraId="5DB8E479" w14:textId="5DF644E9" w:rsidR="004D5D58" w:rsidRDefault="004D5D58" w:rsidP="004D5D58">
      <w:pPr>
        <w:pStyle w:val="NormalWeb"/>
      </w:pPr>
      <w:r w:rsidRPr="004D5D58">
        <w:rPr>
          <w:b/>
          <w:bCs/>
        </w:rPr>
        <w:t>Vineyards:</w:t>
      </w:r>
      <w:r>
        <w:t xml:space="preserve"> Sullivan Rutherford Estate, Hyde Vineyards</w:t>
      </w:r>
    </w:p>
    <w:p w14:paraId="1D605AE5" w14:textId="77777777" w:rsidR="004D5D58" w:rsidRDefault="004D5D58"/>
    <w:sectPr w:rsidR="004D5D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D58"/>
    <w:rsid w:val="00057FA2"/>
    <w:rsid w:val="0009319F"/>
    <w:rsid w:val="004D5D58"/>
    <w:rsid w:val="0070308C"/>
    <w:rsid w:val="007425E3"/>
    <w:rsid w:val="00A02865"/>
    <w:rsid w:val="00EF0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434C6"/>
  <w15:chartTrackingRefBased/>
  <w15:docId w15:val="{CC4865AA-0E14-4455-9714-DEC24B94E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D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5D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35CBAA841B0E478DB27A8A32E7904E" ma:contentTypeVersion="15" ma:contentTypeDescription="Create a new document." ma:contentTypeScope="" ma:versionID="273122fb728b51eaa289448993af0f25">
  <xsd:schema xmlns:xsd="http://www.w3.org/2001/XMLSchema" xmlns:xs="http://www.w3.org/2001/XMLSchema" xmlns:p="http://schemas.microsoft.com/office/2006/metadata/properties" xmlns:ns2="3f45993c-73eb-4d06-9e0c-a9a134a834dd" xmlns:ns3="29106e97-172f-4783-8a6e-21ea34f78e20" targetNamespace="http://schemas.microsoft.com/office/2006/metadata/properties" ma:root="true" ma:fieldsID="9ddc64e5317078a2e9b846f2ec4d6b96" ns2:_="" ns3:_="">
    <xsd:import namespace="3f45993c-73eb-4d06-9e0c-a9a134a834dd"/>
    <xsd:import namespace="29106e97-172f-4783-8a6e-21ea34f78e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45993c-73eb-4d06-9e0c-a9a134a834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3523d74-00e0-4137-817b-4f4f9dc3d3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106e97-172f-4783-8a6e-21ea34f78e2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f45993c-73eb-4d06-9e0c-a9a134a834d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7292FD-83DA-4DC6-B3A9-6AFBE5077D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45993c-73eb-4d06-9e0c-a9a134a834dd"/>
    <ds:schemaRef ds:uri="29106e97-172f-4783-8a6e-21ea34f78e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C928F5-61B1-450C-9F06-983CAA32904F}">
  <ds:schemaRefs>
    <ds:schemaRef ds:uri="http://schemas.microsoft.com/office/2006/metadata/properties"/>
    <ds:schemaRef ds:uri="http://schemas.microsoft.com/office/infopath/2007/PartnerControls"/>
    <ds:schemaRef ds:uri="3f45993c-73eb-4d06-9e0c-a9a134a834dd"/>
  </ds:schemaRefs>
</ds:datastoreItem>
</file>

<file path=customXml/itemProps3.xml><?xml version="1.0" encoding="utf-8"?>
<ds:datastoreItem xmlns:ds="http://schemas.openxmlformats.org/officeDocument/2006/customXml" ds:itemID="{637AA90D-80AE-4F58-8CC6-CA5984BF983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Cole</dc:creator>
  <cp:keywords/>
  <dc:description/>
  <cp:lastModifiedBy>Jeff Cole</cp:lastModifiedBy>
  <cp:revision>3</cp:revision>
  <dcterms:created xsi:type="dcterms:W3CDTF">2026-05-08T20:28:00Z</dcterms:created>
  <dcterms:modified xsi:type="dcterms:W3CDTF">2026-05-15T22:30:00Z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0x010100D135CBAA841B0E478DB27A8A32E7904E</vt:lpwstr>
  </property>
  <property fmtid="{D5CDD505-2E9C-101B-9397-08002B2CF9AE}" pid="3" name="MediaServiceImageTags">
    <vt:lpwstr/>
  </property>
</Properties>
</file>