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A810" w14:textId="2F8DA939" w:rsidR="007425E3" w:rsidRPr="002E7CCF" w:rsidRDefault="002E7CCF">
      <w:pPr>
        <w:rPr>
          <w:rFonts w:ascii="Times New Roman" w:hAnsi="Times New Roman" w:cs="Times New Roman"/>
        </w:rPr>
      </w:pPr>
      <w:r w:rsidRPr="002E7CCF">
        <w:rPr>
          <w:rFonts w:ascii="Times New Roman" w:hAnsi="Times New Roman" w:cs="Times New Roman"/>
        </w:rPr>
        <w:t>2022 Founder’s Reserve Cabernet Franc:</w:t>
      </w:r>
    </w:p>
    <w:p w14:paraId="6ACE76A0" w14:textId="0499D787" w:rsidR="002E7CCF" w:rsidRDefault="002E7CCF" w:rsidP="002E7CCF">
      <w:pPr>
        <w:pStyle w:val="NormalWeb"/>
      </w:pPr>
      <w:r>
        <w:t xml:space="preserve">The 2022 </w:t>
      </w:r>
      <w:r w:rsidRPr="002E7CCF">
        <w:rPr>
          <w:rStyle w:val="Emphasis"/>
          <w:rFonts w:eastAsiaTheme="majorEastAsia"/>
          <w:i w:val="0"/>
          <w:iCs w:val="0"/>
        </w:rPr>
        <w:t>Founder’s Reserve Cabernet Franc</w:t>
      </w:r>
      <w:r>
        <w:t xml:space="preserve"> reflects the distinct character of the gravel-rich soils at the front of the Rutherford estate</w:t>
      </w:r>
      <w:r w:rsidR="00D429AC">
        <w:t xml:space="preserve">, </w:t>
      </w:r>
      <w:r>
        <w:t>structured, perfumed, and tightly composed. The fruit leads with mulberry and dark plum, lifted by floral notes of lilac. Hints of sun-dried bay, and black tea add dimension without overshadowing the wine’s natural clarity.</w:t>
      </w:r>
    </w:p>
    <w:p w14:paraId="0DA9B929" w14:textId="6D5F1527" w:rsidR="002E7CCF" w:rsidRDefault="002E7CCF" w:rsidP="002E7CCF">
      <w:pPr>
        <w:pStyle w:val="NormalWeb"/>
      </w:pPr>
      <w:r>
        <w:t>The palate is detailed and firm, shaped by remarkably fine tannins that carry flavor without excess weight. Each movement of flavor, texture, and structure is the result of a deliberate effort to elevate what the vineyard provides. The finish is long and composed, with energy that hums beneath its polish.</w:t>
      </w:r>
    </w:p>
    <w:p w14:paraId="43311610" w14:textId="77777777" w:rsidR="002E7CCF" w:rsidRDefault="002E7CCF" w:rsidP="002E7CCF">
      <w:pPr>
        <w:pStyle w:val="NormalWeb"/>
      </w:pPr>
      <w:r>
        <w:t xml:space="preserve">This is not a reductive interpretation of Cabernet Franc. It is expressive, sculpted, and crafted to reveal nuance from first pour to final impression. </w:t>
      </w:r>
    </w:p>
    <w:p w14:paraId="21BAF1AA" w14:textId="3EEE418E" w:rsidR="002E7CCF" w:rsidRDefault="009F5561">
      <w:r>
        <w:t>Blend: 86% Cabernet Franc, 8% Cabernet Sauvignon</w:t>
      </w:r>
      <w:r w:rsidR="00DC0557">
        <w:t>, 6% Merlot</w:t>
      </w:r>
    </w:p>
    <w:p w14:paraId="537A6429" w14:textId="733EFB67" w:rsidR="00DC0557" w:rsidRDefault="00DC0557">
      <w:r>
        <w:t>Oak: 100% New French Oak</w:t>
      </w:r>
    </w:p>
    <w:p w14:paraId="6CFFF394" w14:textId="502B8D5D" w:rsidR="00DC0557" w:rsidRDefault="00DC0557">
      <w:r>
        <w:t>Alcohol: 14.8%</w:t>
      </w:r>
    </w:p>
    <w:p w14:paraId="3AB2BDC7" w14:textId="6C329FFD" w:rsidR="00DC0557" w:rsidRDefault="00DC0557">
      <w:r>
        <w:t>TA: 5.8g/L</w:t>
      </w:r>
    </w:p>
    <w:p w14:paraId="7FEC7D97" w14:textId="7C74A07F" w:rsidR="00DC0557" w:rsidRDefault="00DC0557">
      <w:r>
        <w:t xml:space="preserve">pH: </w:t>
      </w:r>
      <w:r w:rsidR="001E1937">
        <w:t>3.78</w:t>
      </w:r>
    </w:p>
    <w:p w14:paraId="67F1EB1C" w14:textId="17E75BB4" w:rsidR="001E1937" w:rsidRDefault="001E1937">
      <w:r>
        <w:t>Cases: 75</w:t>
      </w:r>
    </w:p>
    <w:p w14:paraId="57FCF6E4" w14:textId="0BCB9ABB" w:rsidR="001E1937" w:rsidRDefault="001E1937">
      <w:r>
        <w:t xml:space="preserve">Clones: 1, 12 – CF, </w:t>
      </w:r>
      <w:r w:rsidR="000F5A12">
        <w:t>7 – CS, 15 – ME</w:t>
      </w:r>
    </w:p>
    <w:p w14:paraId="59831C0A" w14:textId="3179E5D0" w:rsidR="000F5A12" w:rsidRDefault="000F5A12">
      <w:r>
        <w:t>Vineyard Manager: Mike Wolf</w:t>
      </w:r>
    </w:p>
    <w:sectPr w:rsidR="000F5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CF"/>
    <w:rsid w:val="000F0733"/>
    <w:rsid w:val="000F5A12"/>
    <w:rsid w:val="001E1937"/>
    <w:rsid w:val="002E7CCF"/>
    <w:rsid w:val="003A5D8A"/>
    <w:rsid w:val="0070308C"/>
    <w:rsid w:val="007425E3"/>
    <w:rsid w:val="009F5561"/>
    <w:rsid w:val="00D429AC"/>
    <w:rsid w:val="00DC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818C"/>
  <w15:chartTrackingRefBased/>
  <w15:docId w15:val="{54383919-6077-47F3-8101-47CF276A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C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7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E7C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273122fb728b51eaa289448993af0f25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ddc64e5317078a2e9b846f2ec4d6b96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E3DDEF-65E3-4A49-9FE5-2D2AF4BBC869}"/>
</file>

<file path=customXml/itemProps2.xml><?xml version="1.0" encoding="utf-8"?>
<ds:datastoreItem xmlns:ds="http://schemas.openxmlformats.org/officeDocument/2006/customXml" ds:itemID="{F315138C-10EF-4BB7-A942-3E360BB304A4}">
  <ds:schemaRefs>
    <ds:schemaRef ds:uri="http://schemas.microsoft.com/office/2006/metadata/properties"/>
    <ds:schemaRef ds:uri="http://schemas.microsoft.com/office/infopath/2007/PartnerControls"/>
    <ds:schemaRef ds:uri="3f45993c-73eb-4d06-9e0c-a9a134a834dd"/>
  </ds:schemaRefs>
</ds:datastoreItem>
</file>

<file path=customXml/itemProps3.xml><?xml version="1.0" encoding="utf-8"?>
<ds:datastoreItem xmlns:ds="http://schemas.openxmlformats.org/officeDocument/2006/customXml" ds:itemID="{14D1DB82-9E0A-45CF-A9EC-94EB294ABA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6</cp:revision>
  <dcterms:created xsi:type="dcterms:W3CDTF">2025-05-28T18:01:00Z</dcterms:created>
  <dcterms:modified xsi:type="dcterms:W3CDTF">2026-08-04T22:12:00Z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0x010100D135CBAA841B0E478DB27A8A32E7904E</vt:lpwstr>
  </property>
  <property fmtid="{D5CDD505-2E9C-101B-9397-08002B2CF9AE}" pid="3" name="MediaServiceImageTags">
    <vt:lpwstr/>
  </property>
</Properties>
</file>