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Medical Insurance Charges Analysis</w:t>
      </w:r>
    </w:p>
    <w:p>
      <w:pPr>
        <w:jc w:val="center"/>
      </w:pPr>
      <w:r>
        <w:rPr>
          <w:sz w:val="28"/>
        </w:rPr>
        <w:t>Part A: Categorical and Group Comparison Analysis</w:t>
      </w:r>
    </w:p>
    <w:p/>
    <w:p>
      <w:pPr>
        <w:pStyle w:val="Heading1"/>
      </w:pPr>
      <w:r>
        <w:t>1. Background and Problem Statement</w:t>
      </w:r>
    </w:p>
    <w:p>
      <w:r>
        <w:t>This report analyzes a medical insurance cost dataset with 1,338 individual beneficiaries. The dataset includes demographic and health-related variables: age, sex, BMI, number of children/dependents, smoking status, U.S. region, and individual medical costs billed by health insurance.</w:t>
      </w:r>
    </w:p>
    <w:p>
      <w:r>
        <w:t>The response variable is insurance charges. This variable is important because it represents the medical cost billed for each individual and can be used to understand which factors are associated with higher or lower insurance costs.</w:t>
      </w:r>
    </w:p>
    <w:p>
      <w:r>
        <w:t>Problem statement: insurance charges vary substantially across individuals. This analysis examines whether charges differ across important categorical groups and whether smoking status remains significant after controlling for BMI.</w:t>
      </w:r>
    </w:p>
    <w:p>
      <w:pPr>
        <w:pStyle w:val="Heading1"/>
      </w:pPr>
      <w:r>
        <w:t>2. Dataset Overview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sz w:val="18"/>
              </w:rPr>
            </w:r>
            <w:r>
              <w:rPr>
                <w:b/>
                <w:sz w:val="18"/>
              </w:rPr>
              <w:t>Variable</w:t>
            </w:r>
          </w:p>
        </w:tc>
        <w:tc>
          <w:tcPr>
            <w:tcW w:type="dxa" w:w="3360"/>
            <w:shd w:fill="D9EAF7"/>
          </w:tcPr>
          <w:p>
            <w:r>
              <w:rPr>
                <w:sz w:val="18"/>
              </w:rPr>
            </w:r>
            <w:r>
              <w:rPr>
                <w:b/>
                <w:sz w:val="18"/>
              </w:rPr>
              <w:t>Description</w:t>
            </w:r>
          </w:p>
        </w:tc>
        <w:tc>
          <w:tcPr>
            <w:tcW w:type="dxa" w:w="3360"/>
            <w:shd w:fill="D9EAF7"/>
          </w:tcPr>
          <w:p>
            <w:r>
              <w:rPr>
                <w:sz w:val="18"/>
              </w:rPr>
            </w:r>
            <w:r>
              <w:rPr>
                <w:b/>
                <w:sz w:val="18"/>
              </w:rPr>
              <w:t>Data Type</w:t>
            </w:r>
          </w:p>
        </w:tc>
      </w:tr>
      <w:tr>
        <w:tc>
          <w:tcPr>
            <w:tcW w:type="dxa" w:w="3360"/>
            <w:vAlign w:val="center"/>
          </w:tcPr>
          <w:p>
            <w:r>
              <w:rPr>
                <w:sz w:val="18"/>
              </w:rPr>
            </w:r>
            <w:r>
              <w:rPr>
                <w:b w:val="0"/>
                <w:sz w:val="18"/>
              </w:rPr>
              <w:t>age</w:t>
            </w:r>
          </w:p>
        </w:tc>
        <w:tc>
          <w:tcPr>
            <w:tcW w:type="dxa" w:w="3360"/>
            <w:vAlign w:val="center"/>
          </w:tcPr>
          <w:p>
            <w:r>
              <w:rPr>
                <w:sz w:val="18"/>
              </w:rPr>
            </w:r>
            <w:r>
              <w:rPr>
                <w:b w:val="0"/>
                <w:sz w:val="18"/>
              </w:rPr>
              <w:t>Age of primary beneficiary</w:t>
            </w:r>
          </w:p>
        </w:tc>
        <w:tc>
          <w:tcPr>
            <w:tcW w:type="dxa" w:w="3360"/>
            <w:vAlign w:val="center"/>
          </w:tcPr>
          <w:p>
            <w:r>
              <w:rPr>
                <w:sz w:val="18"/>
              </w:rPr>
            </w:r>
            <w:r>
              <w:rPr>
                <w:b w:val="0"/>
                <w:sz w:val="18"/>
              </w:rPr>
              <w:t>Quantitative / continuous</w:t>
            </w:r>
          </w:p>
        </w:tc>
      </w:tr>
      <w:tr>
        <w:tc>
          <w:tcPr>
            <w:tcW w:type="dxa" w:w="3360"/>
            <w:vAlign w:val="center"/>
          </w:tcPr>
          <w:p>
            <w:r>
              <w:rPr>
                <w:sz w:val="18"/>
              </w:rPr>
            </w:r>
            <w:r>
              <w:rPr>
                <w:b w:val="0"/>
                <w:sz w:val="18"/>
              </w:rPr>
              <w:t>sex</w:t>
            </w:r>
          </w:p>
        </w:tc>
        <w:tc>
          <w:tcPr>
            <w:tcW w:type="dxa" w:w="3360"/>
            <w:vAlign w:val="center"/>
          </w:tcPr>
          <w:p>
            <w:r>
              <w:rPr>
                <w:sz w:val="18"/>
              </w:rPr>
            </w:r>
            <w:r>
              <w:rPr>
                <w:b w:val="0"/>
                <w:sz w:val="18"/>
              </w:rPr>
              <w:t>Insurance contractor gender</w:t>
            </w:r>
          </w:p>
        </w:tc>
        <w:tc>
          <w:tcPr>
            <w:tcW w:type="dxa" w:w="3360"/>
            <w:vAlign w:val="center"/>
          </w:tcPr>
          <w:p>
            <w:r>
              <w:rPr>
                <w:sz w:val="18"/>
              </w:rPr>
            </w:r>
            <w:r>
              <w:rPr>
                <w:b w:val="0"/>
                <w:sz w:val="18"/>
              </w:rPr>
              <w:t>Categorical</w:t>
            </w:r>
          </w:p>
        </w:tc>
      </w:tr>
      <w:tr>
        <w:tc>
          <w:tcPr>
            <w:tcW w:type="dxa" w:w="3360"/>
            <w:vAlign w:val="center"/>
          </w:tcPr>
          <w:p>
            <w:r>
              <w:rPr>
                <w:sz w:val="18"/>
              </w:rPr>
            </w:r>
            <w:r>
              <w:rPr>
                <w:b w:val="0"/>
                <w:sz w:val="18"/>
              </w:rPr>
              <w:t>bmi</w:t>
            </w:r>
          </w:p>
        </w:tc>
        <w:tc>
          <w:tcPr>
            <w:tcW w:type="dxa" w:w="3360"/>
            <w:vAlign w:val="center"/>
          </w:tcPr>
          <w:p>
            <w:r>
              <w:rPr>
                <w:sz w:val="18"/>
              </w:rPr>
            </w:r>
            <w:r>
              <w:rPr>
                <w:b w:val="0"/>
                <w:sz w:val="18"/>
              </w:rPr>
              <w:t>Body mass index</w:t>
            </w:r>
          </w:p>
        </w:tc>
        <w:tc>
          <w:tcPr>
            <w:tcW w:type="dxa" w:w="3360"/>
            <w:vAlign w:val="center"/>
          </w:tcPr>
          <w:p>
            <w:r>
              <w:rPr>
                <w:sz w:val="18"/>
              </w:rPr>
            </w:r>
            <w:r>
              <w:rPr>
                <w:b w:val="0"/>
                <w:sz w:val="18"/>
              </w:rPr>
              <w:t>Quantitative / continuous</w:t>
            </w:r>
          </w:p>
        </w:tc>
      </w:tr>
      <w:tr>
        <w:tc>
          <w:tcPr>
            <w:tcW w:type="dxa" w:w="3360"/>
            <w:vAlign w:val="center"/>
          </w:tcPr>
          <w:p>
            <w:r>
              <w:rPr>
                <w:sz w:val="18"/>
              </w:rPr>
            </w:r>
            <w:r>
              <w:rPr>
                <w:b w:val="0"/>
                <w:sz w:val="18"/>
              </w:rPr>
              <w:t>children</w:t>
            </w:r>
          </w:p>
        </w:tc>
        <w:tc>
          <w:tcPr>
            <w:tcW w:type="dxa" w:w="3360"/>
            <w:vAlign w:val="center"/>
          </w:tcPr>
          <w:p>
            <w:r>
              <w:rPr>
                <w:sz w:val="18"/>
              </w:rPr>
            </w:r>
            <w:r>
              <w:rPr>
                <w:b w:val="0"/>
                <w:sz w:val="18"/>
              </w:rPr>
              <w:t>Number of dependents covered by insurance</w:t>
            </w:r>
          </w:p>
        </w:tc>
        <w:tc>
          <w:tcPr>
            <w:tcW w:type="dxa" w:w="3360"/>
            <w:vAlign w:val="center"/>
          </w:tcPr>
          <w:p>
            <w:r>
              <w:rPr>
                <w:sz w:val="18"/>
              </w:rPr>
            </w:r>
            <w:r>
              <w:rPr>
                <w:b w:val="0"/>
                <w:sz w:val="18"/>
              </w:rPr>
              <w:t>Quantitative / discrete</w:t>
            </w:r>
          </w:p>
        </w:tc>
      </w:tr>
      <w:tr>
        <w:tc>
          <w:tcPr>
            <w:tcW w:type="dxa" w:w="3360"/>
            <w:vAlign w:val="center"/>
          </w:tcPr>
          <w:p>
            <w:r>
              <w:rPr>
                <w:sz w:val="18"/>
              </w:rPr>
            </w:r>
            <w:r>
              <w:rPr>
                <w:b w:val="0"/>
                <w:sz w:val="18"/>
              </w:rPr>
              <w:t>smoker</w:t>
            </w:r>
          </w:p>
        </w:tc>
        <w:tc>
          <w:tcPr>
            <w:tcW w:type="dxa" w:w="3360"/>
            <w:vAlign w:val="center"/>
          </w:tcPr>
          <w:p>
            <w:r>
              <w:rPr>
                <w:sz w:val="18"/>
              </w:rPr>
            </w:r>
            <w:r>
              <w:rPr>
                <w:b w:val="0"/>
                <w:sz w:val="18"/>
              </w:rPr>
              <w:t>Smoking status</w:t>
            </w:r>
          </w:p>
        </w:tc>
        <w:tc>
          <w:tcPr>
            <w:tcW w:type="dxa" w:w="3360"/>
            <w:vAlign w:val="center"/>
          </w:tcPr>
          <w:p>
            <w:r>
              <w:rPr>
                <w:sz w:val="18"/>
              </w:rPr>
            </w:r>
            <w:r>
              <w:rPr>
                <w:b w:val="0"/>
                <w:sz w:val="18"/>
              </w:rPr>
              <w:t>Categorical</w:t>
            </w:r>
          </w:p>
        </w:tc>
      </w:tr>
      <w:tr>
        <w:tc>
          <w:tcPr>
            <w:tcW w:type="dxa" w:w="3360"/>
            <w:vAlign w:val="center"/>
          </w:tcPr>
          <w:p>
            <w:r>
              <w:rPr>
                <w:sz w:val="18"/>
              </w:rPr>
            </w:r>
            <w:r>
              <w:rPr>
                <w:b w:val="0"/>
                <w:sz w:val="18"/>
              </w:rPr>
              <w:t>region</w:t>
            </w:r>
          </w:p>
        </w:tc>
        <w:tc>
          <w:tcPr>
            <w:tcW w:type="dxa" w:w="3360"/>
            <w:vAlign w:val="center"/>
          </w:tcPr>
          <w:p>
            <w:r>
              <w:rPr>
                <w:sz w:val="18"/>
              </w:rPr>
            </w:r>
            <w:r>
              <w:rPr>
                <w:b w:val="0"/>
                <w:sz w:val="18"/>
              </w:rPr>
              <w:t>Residential area in the U.S.</w:t>
            </w:r>
          </w:p>
        </w:tc>
        <w:tc>
          <w:tcPr>
            <w:tcW w:type="dxa" w:w="3360"/>
            <w:vAlign w:val="center"/>
          </w:tcPr>
          <w:p>
            <w:r>
              <w:rPr>
                <w:sz w:val="18"/>
              </w:rPr>
            </w:r>
            <w:r>
              <w:rPr>
                <w:b w:val="0"/>
                <w:sz w:val="18"/>
              </w:rPr>
              <w:t>Categorical</w:t>
            </w:r>
          </w:p>
        </w:tc>
      </w:tr>
      <w:tr>
        <w:tc>
          <w:tcPr>
            <w:tcW w:type="dxa" w:w="3360"/>
            <w:vAlign w:val="center"/>
          </w:tcPr>
          <w:p>
            <w:r>
              <w:rPr>
                <w:sz w:val="18"/>
              </w:rPr>
            </w:r>
            <w:r>
              <w:rPr>
                <w:b w:val="0"/>
                <w:sz w:val="18"/>
              </w:rPr>
              <w:t>charges</w:t>
            </w:r>
          </w:p>
        </w:tc>
        <w:tc>
          <w:tcPr>
            <w:tcW w:type="dxa" w:w="3360"/>
            <w:vAlign w:val="center"/>
          </w:tcPr>
          <w:p>
            <w:r>
              <w:rPr>
                <w:sz w:val="18"/>
              </w:rPr>
            </w:r>
            <w:r>
              <w:rPr>
                <w:b w:val="0"/>
                <w:sz w:val="18"/>
              </w:rPr>
              <w:t>Individual medical costs billed by insurance</w:t>
            </w:r>
          </w:p>
        </w:tc>
        <w:tc>
          <w:tcPr>
            <w:tcW w:type="dxa" w:w="3360"/>
            <w:vAlign w:val="center"/>
          </w:tcPr>
          <w:p>
            <w:r>
              <w:rPr>
                <w:sz w:val="18"/>
              </w:rPr>
            </w:r>
            <w:r>
              <w:rPr>
                <w:b w:val="0"/>
                <w:sz w:val="18"/>
              </w:rPr>
              <w:t>Quantitative / continuous</w:t>
            </w:r>
          </w:p>
        </w:tc>
      </w:tr>
    </w:tbl>
    <w:p/>
    <w:p>
      <w:pPr>
        <w:pStyle w:val="Heading1"/>
      </w:pPr>
      <w:r>
        <w:t>3. Objectives and Hypotheses</w:t>
      </w:r>
    </w:p>
    <w:p>
      <w:pPr>
        <w:pStyle w:val="ListBullet"/>
      </w:pPr>
      <w:r>
        <w:t>Identify whether insurance charges differ by smoking status.</w:t>
      </w:r>
    </w:p>
    <w:p>
      <w:pPr>
        <w:pStyle w:val="ListBullet"/>
      </w:pPr>
      <w:r>
        <w:t>Test whether insurance charges differ across U.S. regions.</w:t>
      </w:r>
    </w:p>
    <w:p>
      <w:pPr>
        <w:pStyle w:val="ListBullet"/>
      </w:pPr>
      <w:r>
        <w:t>Use Tukey post-hoc testing to determine which regions differ after ANOVA.</w:t>
      </w:r>
    </w:p>
    <w:p>
      <w:pPr>
        <w:pStyle w:val="ListBullet"/>
      </w:pPr>
      <w:r>
        <w:t>Test whether smoking status affects charges after controlling for BMI using ANCOVA.</w:t>
      </w:r>
    </w:p>
    <w:p>
      <w:pPr>
        <w:pStyle w:val="ListBullet"/>
      </w:pPr>
      <w:r>
        <w:t>Test whether smoking status and region are related using a chi-square test.</w:t>
      </w:r>
    </w:p>
    <w:p>
      <w:r>
        <w:t>Main hypotheses:</w:t>
      </w:r>
    </w:p>
    <w:p>
      <w:pPr>
        <w:pStyle w:val="ListBullet"/>
      </w:pPr>
      <w:r>
        <w:t>Smokers and non-smokers have different mean insurance charges.</w:t>
      </w:r>
    </w:p>
    <w:p>
      <w:pPr>
        <w:pStyle w:val="ListBullet"/>
      </w:pPr>
      <w:r>
        <w:t>At least one region has a different mean insurance charge.</w:t>
      </w:r>
    </w:p>
    <w:p>
      <w:pPr>
        <w:pStyle w:val="ListBullet"/>
      </w:pPr>
      <w:r>
        <w:t>Smoking status significantly affects insurance charges after controlling for BMI.</w:t>
      </w:r>
    </w:p>
    <w:p>
      <w:pPr>
        <w:pStyle w:val="ListBullet"/>
      </w:pPr>
      <w:r>
        <w:t>Smoking status and region may be related.</w:t>
      </w:r>
    </w:p>
    <w:p>
      <w:pPr>
        <w:pStyle w:val="Heading1"/>
      </w:pPr>
      <w:r>
        <w:t>4. Descriptive Statistics</w:t>
      </w:r>
    </w:p>
    <w:p>
      <w:pPr>
        <w:pStyle w:val="Heading2"/>
      </w:pPr>
      <w:r>
        <w:t>4.1 Continuous Variables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rPr>
                <w:sz w:val="18"/>
              </w:rPr>
            </w:r>
            <w:r>
              <w:rPr>
                <w:b/>
                <w:sz w:val="18"/>
              </w:rPr>
              <w:t>Variable</w:t>
            </w:r>
          </w:p>
        </w:tc>
        <w:tc>
          <w:tcPr>
            <w:tcW w:type="dxa" w:w="1680"/>
            <w:shd w:fill="D9EAF7"/>
          </w:tcPr>
          <w:p>
            <w:r>
              <w:rPr>
                <w:sz w:val="18"/>
              </w:rPr>
            </w:r>
            <w:r>
              <w:rPr>
                <w:b/>
                <w:sz w:val="18"/>
              </w:rPr>
              <w:t>Mean</w:t>
            </w:r>
          </w:p>
        </w:tc>
        <w:tc>
          <w:tcPr>
            <w:tcW w:type="dxa" w:w="1680"/>
            <w:shd w:fill="D9EAF7"/>
          </w:tcPr>
          <w:p>
            <w:r>
              <w:rPr>
                <w:sz w:val="18"/>
              </w:rPr>
            </w:r>
            <w:r>
              <w:rPr>
                <w:b/>
                <w:sz w:val="18"/>
              </w:rPr>
              <w:t>Median</w:t>
            </w:r>
          </w:p>
        </w:tc>
        <w:tc>
          <w:tcPr>
            <w:tcW w:type="dxa" w:w="1680"/>
            <w:shd w:fill="D9EAF7"/>
          </w:tcPr>
          <w:p>
            <w:r>
              <w:rPr>
                <w:sz w:val="18"/>
              </w:rPr>
            </w:r>
            <w:r>
              <w:rPr>
                <w:b/>
                <w:sz w:val="18"/>
              </w:rPr>
              <w:t>SD</w:t>
            </w:r>
          </w:p>
        </w:tc>
        <w:tc>
          <w:tcPr>
            <w:tcW w:type="dxa" w:w="1680"/>
            <w:shd w:fill="D9EAF7"/>
          </w:tcPr>
          <w:p>
            <w:r>
              <w:rPr>
                <w:sz w:val="18"/>
              </w:rPr>
            </w:r>
            <w:r>
              <w:rPr>
                <w:b/>
                <w:sz w:val="18"/>
              </w:rPr>
              <w:t>Min</w:t>
            </w:r>
          </w:p>
        </w:tc>
        <w:tc>
          <w:tcPr>
            <w:tcW w:type="dxa" w:w="1680"/>
            <w:shd w:fill="D9EAF7"/>
          </w:tcPr>
          <w:p>
            <w:r>
              <w:rPr>
                <w:sz w:val="18"/>
              </w:rPr>
            </w:r>
            <w:r>
              <w:rPr>
                <w:b/>
                <w:sz w:val="18"/>
              </w:rPr>
              <w:t>Max</w:t>
            </w:r>
          </w:p>
        </w:tc>
      </w:tr>
      <w:tr>
        <w:tc>
          <w:tcPr>
            <w:tcW w:type="dxa" w:w="1680"/>
            <w:vAlign w:val="center"/>
          </w:tcPr>
          <w:p>
            <w:r>
              <w:rPr>
                <w:sz w:val="18"/>
              </w:rPr>
            </w:r>
            <w:r>
              <w:rPr>
                <w:b w:val="0"/>
                <w:sz w:val="18"/>
              </w:rPr>
              <w:t>Age</w:t>
            </w:r>
          </w:p>
        </w:tc>
        <w:tc>
          <w:tcPr>
            <w:tcW w:type="dxa" w:w="1680"/>
            <w:vAlign w:val="center"/>
          </w:tcPr>
          <w:p>
            <w:r>
              <w:rPr>
                <w:sz w:val="18"/>
              </w:rPr>
            </w:r>
            <w:r>
              <w:rPr>
                <w:b w:val="0"/>
                <w:sz w:val="18"/>
              </w:rPr>
              <w:t>39.21</w:t>
            </w:r>
          </w:p>
        </w:tc>
        <w:tc>
          <w:tcPr>
            <w:tcW w:type="dxa" w:w="1680"/>
            <w:vAlign w:val="center"/>
          </w:tcPr>
          <w:p>
            <w:r>
              <w:rPr>
                <w:sz w:val="18"/>
              </w:rPr>
            </w:r>
            <w:r>
              <w:rPr>
                <w:b w:val="0"/>
                <w:sz w:val="18"/>
              </w:rPr>
              <w:t>39.00</w:t>
            </w:r>
          </w:p>
        </w:tc>
        <w:tc>
          <w:tcPr>
            <w:tcW w:type="dxa" w:w="1680"/>
            <w:vAlign w:val="center"/>
          </w:tcPr>
          <w:p>
            <w:r>
              <w:rPr>
                <w:sz w:val="18"/>
              </w:rPr>
            </w:r>
            <w:r>
              <w:rPr>
                <w:b w:val="0"/>
                <w:sz w:val="18"/>
              </w:rPr>
              <w:t>14.05</w:t>
            </w:r>
          </w:p>
        </w:tc>
        <w:tc>
          <w:tcPr>
            <w:tcW w:type="dxa" w:w="1680"/>
            <w:vAlign w:val="center"/>
          </w:tcPr>
          <w:p>
            <w:r>
              <w:rPr>
                <w:sz w:val="18"/>
              </w:rPr>
            </w:r>
            <w:r>
              <w:rPr>
                <w:b w:val="0"/>
                <w:sz w:val="18"/>
              </w:rPr>
              <w:t>18.00</w:t>
            </w:r>
          </w:p>
        </w:tc>
        <w:tc>
          <w:tcPr>
            <w:tcW w:type="dxa" w:w="1680"/>
            <w:vAlign w:val="center"/>
          </w:tcPr>
          <w:p>
            <w:r>
              <w:rPr>
                <w:sz w:val="18"/>
              </w:rPr>
            </w:r>
            <w:r>
              <w:rPr>
                <w:b w:val="0"/>
                <w:sz w:val="18"/>
              </w:rPr>
              <w:t>64.00</w:t>
            </w:r>
          </w:p>
        </w:tc>
      </w:tr>
      <w:tr>
        <w:tc>
          <w:tcPr>
            <w:tcW w:type="dxa" w:w="1680"/>
            <w:vAlign w:val="center"/>
          </w:tcPr>
          <w:p>
            <w:r>
              <w:rPr>
                <w:sz w:val="18"/>
              </w:rPr>
            </w:r>
            <w:r>
              <w:rPr>
                <w:b w:val="0"/>
                <w:sz w:val="18"/>
              </w:rPr>
              <w:t>BMI</w:t>
            </w:r>
          </w:p>
        </w:tc>
        <w:tc>
          <w:tcPr>
            <w:tcW w:type="dxa" w:w="1680"/>
            <w:vAlign w:val="center"/>
          </w:tcPr>
          <w:p>
            <w:r>
              <w:rPr>
                <w:sz w:val="18"/>
              </w:rPr>
            </w:r>
            <w:r>
              <w:rPr>
                <w:b w:val="0"/>
                <w:sz w:val="18"/>
              </w:rPr>
              <w:t>30.66</w:t>
            </w:r>
          </w:p>
        </w:tc>
        <w:tc>
          <w:tcPr>
            <w:tcW w:type="dxa" w:w="1680"/>
            <w:vAlign w:val="center"/>
          </w:tcPr>
          <w:p>
            <w:r>
              <w:rPr>
                <w:sz w:val="18"/>
              </w:rPr>
            </w:r>
            <w:r>
              <w:rPr>
                <w:b w:val="0"/>
                <w:sz w:val="18"/>
              </w:rPr>
              <w:t>30.40</w:t>
            </w:r>
          </w:p>
        </w:tc>
        <w:tc>
          <w:tcPr>
            <w:tcW w:type="dxa" w:w="1680"/>
            <w:vAlign w:val="center"/>
          </w:tcPr>
          <w:p>
            <w:r>
              <w:rPr>
                <w:sz w:val="18"/>
              </w:rPr>
            </w:r>
            <w:r>
              <w:rPr>
                <w:b w:val="0"/>
                <w:sz w:val="18"/>
              </w:rPr>
              <w:t>6.10</w:t>
            </w:r>
          </w:p>
        </w:tc>
        <w:tc>
          <w:tcPr>
            <w:tcW w:type="dxa" w:w="1680"/>
            <w:vAlign w:val="center"/>
          </w:tcPr>
          <w:p>
            <w:r>
              <w:rPr>
                <w:sz w:val="18"/>
              </w:rPr>
            </w:r>
            <w:r>
              <w:rPr>
                <w:b w:val="0"/>
                <w:sz w:val="18"/>
              </w:rPr>
              <w:t>15.96</w:t>
            </w:r>
          </w:p>
        </w:tc>
        <w:tc>
          <w:tcPr>
            <w:tcW w:type="dxa" w:w="1680"/>
            <w:vAlign w:val="center"/>
          </w:tcPr>
          <w:p>
            <w:r>
              <w:rPr>
                <w:sz w:val="18"/>
              </w:rPr>
            </w:r>
            <w:r>
              <w:rPr>
                <w:b w:val="0"/>
                <w:sz w:val="18"/>
              </w:rPr>
              <w:t>53.13</w:t>
            </w:r>
          </w:p>
        </w:tc>
      </w:tr>
      <w:tr>
        <w:tc>
          <w:tcPr>
            <w:tcW w:type="dxa" w:w="1680"/>
            <w:vAlign w:val="center"/>
          </w:tcPr>
          <w:p>
            <w:r>
              <w:rPr>
                <w:sz w:val="18"/>
              </w:rPr>
            </w:r>
            <w:r>
              <w:rPr>
                <w:b w:val="0"/>
                <w:sz w:val="18"/>
              </w:rPr>
              <w:t>Charges</w:t>
            </w:r>
          </w:p>
        </w:tc>
        <w:tc>
          <w:tcPr>
            <w:tcW w:type="dxa" w:w="1680"/>
            <w:vAlign w:val="center"/>
          </w:tcPr>
          <w:p>
            <w:r>
              <w:rPr>
                <w:sz w:val="18"/>
              </w:rPr>
            </w:r>
            <w:r>
              <w:rPr>
                <w:b w:val="0"/>
                <w:sz w:val="18"/>
              </w:rPr>
              <w:t>13,270.42</w:t>
            </w:r>
          </w:p>
        </w:tc>
        <w:tc>
          <w:tcPr>
            <w:tcW w:type="dxa" w:w="1680"/>
            <w:vAlign w:val="center"/>
          </w:tcPr>
          <w:p>
            <w:r>
              <w:rPr>
                <w:sz w:val="18"/>
              </w:rPr>
            </w:r>
            <w:r>
              <w:rPr>
                <w:b w:val="0"/>
                <w:sz w:val="18"/>
              </w:rPr>
              <w:t>9,382.03</w:t>
            </w:r>
          </w:p>
        </w:tc>
        <w:tc>
          <w:tcPr>
            <w:tcW w:type="dxa" w:w="1680"/>
            <w:vAlign w:val="center"/>
          </w:tcPr>
          <w:p>
            <w:r>
              <w:rPr>
                <w:sz w:val="18"/>
              </w:rPr>
            </w:r>
            <w:r>
              <w:rPr>
                <w:b w:val="0"/>
                <w:sz w:val="18"/>
              </w:rPr>
              <w:t>12,110.01</w:t>
            </w:r>
          </w:p>
        </w:tc>
        <w:tc>
          <w:tcPr>
            <w:tcW w:type="dxa" w:w="1680"/>
            <w:vAlign w:val="center"/>
          </w:tcPr>
          <w:p>
            <w:r>
              <w:rPr>
                <w:sz w:val="18"/>
              </w:rPr>
            </w:r>
            <w:r>
              <w:rPr>
                <w:b w:val="0"/>
                <w:sz w:val="18"/>
              </w:rPr>
              <w:t>1,121.87</w:t>
            </w:r>
          </w:p>
        </w:tc>
        <w:tc>
          <w:tcPr>
            <w:tcW w:type="dxa" w:w="1680"/>
            <w:vAlign w:val="center"/>
          </w:tcPr>
          <w:p>
            <w:r>
              <w:rPr>
                <w:sz w:val="18"/>
              </w:rPr>
            </w:r>
            <w:r>
              <w:rPr>
                <w:b w:val="0"/>
                <w:sz w:val="18"/>
              </w:rPr>
              <w:t>63,770.43</w:t>
            </w:r>
          </w:p>
        </w:tc>
      </w:tr>
    </w:tbl>
    <w:p/>
    <w:p>
      <w:r>
        <w:t>The mean insurance charge was higher than the median, which suggests that charges are right-skewed due to a smaller number of very high charges.</w:t>
      </w:r>
    </w:p>
    <w:p>
      <w:pPr>
        <w:pStyle w:val="Heading2"/>
      </w:pPr>
      <w:r>
        <w:t>4.2 Categorical Variables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sz w:val="18"/>
              </w:rPr>
            </w:r>
            <w:r>
              <w:rPr>
                <w:b/>
                <w:sz w:val="18"/>
              </w:rPr>
              <w:t>Variable</w:t>
            </w:r>
          </w:p>
        </w:tc>
        <w:tc>
          <w:tcPr>
            <w:tcW w:type="dxa" w:w="2520"/>
            <w:shd w:fill="D9EAF7"/>
          </w:tcPr>
          <w:p>
            <w:r>
              <w:rPr>
                <w:sz w:val="18"/>
              </w:rPr>
            </w:r>
            <w:r>
              <w:rPr>
                <w:b/>
                <w:sz w:val="18"/>
              </w:rPr>
              <w:t>Category</w:t>
            </w:r>
          </w:p>
        </w:tc>
        <w:tc>
          <w:tcPr>
            <w:tcW w:type="dxa" w:w="2520"/>
            <w:shd w:fill="D9EAF7"/>
          </w:tcPr>
          <w:p>
            <w:r>
              <w:rPr>
                <w:sz w:val="18"/>
              </w:rPr>
            </w:r>
            <w:r>
              <w:rPr>
                <w:b/>
                <w:sz w:val="18"/>
              </w:rPr>
              <w:t>Count</w:t>
            </w:r>
          </w:p>
        </w:tc>
        <w:tc>
          <w:tcPr>
            <w:tcW w:type="dxa" w:w="2520"/>
            <w:shd w:fill="D9EAF7"/>
          </w:tcPr>
          <w:p>
            <w:r>
              <w:rPr>
                <w:sz w:val="18"/>
              </w:rPr>
            </w:r>
            <w:r>
              <w:rPr>
                <w:b/>
                <w:sz w:val="18"/>
              </w:rPr>
              <w:t>Percent</w:t>
            </w:r>
          </w:p>
        </w:tc>
      </w:tr>
      <w:tr>
        <w:tc>
          <w:tcPr>
            <w:tcW w:type="dxa" w:w="2520"/>
            <w:vAlign w:val="center"/>
          </w:tcPr>
          <w:p>
            <w:r>
              <w:rPr>
                <w:sz w:val="18"/>
              </w:rPr>
            </w:r>
            <w:r>
              <w:rPr>
                <w:b w:val="0"/>
                <w:sz w:val="18"/>
              </w:rPr>
              <w:t>sex</w:t>
            </w:r>
          </w:p>
        </w:tc>
        <w:tc>
          <w:tcPr>
            <w:tcW w:type="dxa" w:w="2520"/>
            <w:vAlign w:val="center"/>
          </w:tcPr>
          <w:p>
            <w:r>
              <w:rPr>
                <w:sz w:val="18"/>
              </w:rPr>
            </w:r>
            <w:r>
              <w:rPr>
                <w:b w:val="0"/>
                <w:sz w:val="18"/>
              </w:rPr>
              <w:t>female</w:t>
            </w:r>
          </w:p>
        </w:tc>
        <w:tc>
          <w:tcPr>
            <w:tcW w:type="dxa" w:w="2520"/>
            <w:vAlign w:val="center"/>
          </w:tcPr>
          <w:p>
            <w:r>
              <w:rPr>
                <w:sz w:val="18"/>
              </w:rPr>
            </w:r>
            <w:r>
              <w:rPr>
                <w:b w:val="0"/>
                <w:sz w:val="18"/>
              </w:rPr>
              <w:t>662</w:t>
            </w:r>
          </w:p>
        </w:tc>
        <w:tc>
          <w:tcPr>
            <w:tcW w:type="dxa" w:w="2520"/>
            <w:vAlign w:val="center"/>
          </w:tcPr>
          <w:p>
            <w:r>
              <w:rPr>
                <w:sz w:val="18"/>
              </w:rPr>
            </w:r>
            <w:r>
              <w:rPr>
                <w:b w:val="0"/>
                <w:sz w:val="18"/>
              </w:rPr>
              <w:t>49.48%</w:t>
            </w:r>
          </w:p>
        </w:tc>
      </w:tr>
      <w:tr>
        <w:tc>
          <w:tcPr>
            <w:tcW w:type="dxa" w:w="2520"/>
            <w:vAlign w:val="center"/>
          </w:tcPr>
          <w:p>
            <w:r>
              <w:rPr>
                <w:sz w:val="18"/>
              </w:rPr>
            </w:r>
            <w:r>
              <w:rPr>
                <w:b w:val="0"/>
                <w:sz w:val="18"/>
              </w:rPr>
              <w:t>sex</w:t>
            </w:r>
          </w:p>
        </w:tc>
        <w:tc>
          <w:tcPr>
            <w:tcW w:type="dxa" w:w="2520"/>
            <w:vAlign w:val="center"/>
          </w:tcPr>
          <w:p>
            <w:r>
              <w:rPr>
                <w:sz w:val="18"/>
              </w:rPr>
            </w:r>
            <w:r>
              <w:rPr>
                <w:b w:val="0"/>
                <w:sz w:val="18"/>
              </w:rPr>
              <w:t>male</w:t>
            </w:r>
          </w:p>
        </w:tc>
        <w:tc>
          <w:tcPr>
            <w:tcW w:type="dxa" w:w="2520"/>
            <w:vAlign w:val="center"/>
          </w:tcPr>
          <w:p>
            <w:r>
              <w:rPr>
                <w:sz w:val="18"/>
              </w:rPr>
            </w:r>
            <w:r>
              <w:rPr>
                <w:b w:val="0"/>
                <w:sz w:val="18"/>
              </w:rPr>
              <w:t>676</w:t>
            </w:r>
          </w:p>
        </w:tc>
        <w:tc>
          <w:tcPr>
            <w:tcW w:type="dxa" w:w="2520"/>
            <w:vAlign w:val="center"/>
          </w:tcPr>
          <w:p>
            <w:r>
              <w:rPr>
                <w:sz w:val="18"/>
              </w:rPr>
            </w:r>
            <w:r>
              <w:rPr>
                <w:b w:val="0"/>
                <w:sz w:val="18"/>
              </w:rPr>
              <w:t>50.52%</w:t>
            </w:r>
          </w:p>
        </w:tc>
      </w:tr>
      <w:tr>
        <w:tc>
          <w:tcPr>
            <w:tcW w:type="dxa" w:w="2520"/>
            <w:vAlign w:val="center"/>
          </w:tcPr>
          <w:p>
            <w:r>
              <w:rPr>
                <w:sz w:val="18"/>
              </w:rPr>
            </w:r>
            <w:r>
              <w:rPr>
                <w:b w:val="0"/>
                <w:sz w:val="18"/>
              </w:rPr>
              <w:t>smoker</w:t>
            </w:r>
          </w:p>
        </w:tc>
        <w:tc>
          <w:tcPr>
            <w:tcW w:type="dxa" w:w="2520"/>
            <w:vAlign w:val="center"/>
          </w:tcPr>
          <w:p>
            <w:r>
              <w:rPr>
                <w:sz w:val="18"/>
              </w:rPr>
            </w:r>
            <w:r>
              <w:rPr>
                <w:b w:val="0"/>
                <w:sz w:val="18"/>
              </w:rPr>
              <w:t>no</w:t>
            </w:r>
          </w:p>
        </w:tc>
        <w:tc>
          <w:tcPr>
            <w:tcW w:type="dxa" w:w="2520"/>
            <w:vAlign w:val="center"/>
          </w:tcPr>
          <w:p>
            <w:r>
              <w:rPr>
                <w:sz w:val="18"/>
              </w:rPr>
            </w:r>
            <w:r>
              <w:rPr>
                <w:b w:val="0"/>
                <w:sz w:val="18"/>
              </w:rPr>
              <w:t>1,064</w:t>
            </w:r>
          </w:p>
        </w:tc>
        <w:tc>
          <w:tcPr>
            <w:tcW w:type="dxa" w:w="2520"/>
            <w:vAlign w:val="center"/>
          </w:tcPr>
          <w:p>
            <w:r>
              <w:rPr>
                <w:sz w:val="18"/>
              </w:rPr>
            </w:r>
            <w:r>
              <w:rPr>
                <w:b w:val="0"/>
                <w:sz w:val="18"/>
              </w:rPr>
              <w:t>79.52%</w:t>
            </w:r>
          </w:p>
        </w:tc>
      </w:tr>
      <w:tr>
        <w:tc>
          <w:tcPr>
            <w:tcW w:type="dxa" w:w="2520"/>
            <w:vAlign w:val="center"/>
          </w:tcPr>
          <w:p>
            <w:r>
              <w:rPr>
                <w:sz w:val="18"/>
              </w:rPr>
            </w:r>
            <w:r>
              <w:rPr>
                <w:b w:val="0"/>
                <w:sz w:val="18"/>
              </w:rPr>
              <w:t>smoker</w:t>
            </w:r>
          </w:p>
        </w:tc>
        <w:tc>
          <w:tcPr>
            <w:tcW w:type="dxa" w:w="2520"/>
            <w:vAlign w:val="center"/>
          </w:tcPr>
          <w:p>
            <w:r>
              <w:rPr>
                <w:sz w:val="18"/>
              </w:rPr>
            </w:r>
            <w:r>
              <w:rPr>
                <w:b w:val="0"/>
                <w:sz w:val="18"/>
              </w:rPr>
              <w:t>yes</w:t>
            </w:r>
          </w:p>
        </w:tc>
        <w:tc>
          <w:tcPr>
            <w:tcW w:type="dxa" w:w="2520"/>
            <w:vAlign w:val="center"/>
          </w:tcPr>
          <w:p>
            <w:r>
              <w:rPr>
                <w:sz w:val="18"/>
              </w:rPr>
            </w:r>
            <w:r>
              <w:rPr>
                <w:b w:val="0"/>
                <w:sz w:val="18"/>
              </w:rPr>
              <w:t>274</w:t>
            </w:r>
          </w:p>
        </w:tc>
        <w:tc>
          <w:tcPr>
            <w:tcW w:type="dxa" w:w="2520"/>
            <w:vAlign w:val="center"/>
          </w:tcPr>
          <w:p>
            <w:r>
              <w:rPr>
                <w:sz w:val="18"/>
              </w:rPr>
            </w:r>
            <w:r>
              <w:rPr>
                <w:b w:val="0"/>
                <w:sz w:val="18"/>
              </w:rPr>
              <w:t>20.48%</w:t>
            </w:r>
          </w:p>
        </w:tc>
      </w:tr>
      <w:tr>
        <w:tc>
          <w:tcPr>
            <w:tcW w:type="dxa" w:w="2520"/>
            <w:vAlign w:val="center"/>
          </w:tcPr>
          <w:p>
            <w:r>
              <w:rPr>
                <w:sz w:val="18"/>
              </w:rPr>
            </w:r>
            <w:r>
              <w:rPr>
                <w:b w:val="0"/>
                <w:sz w:val="18"/>
              </w:rPr>
              <w:t>region</w:t>
            </w:r>
          </w:p>
        </w:tc>
        <w:tc>
          <w:tcPr>
            <w:tcW w:type="dxa" w:w="2520"/>
            <w:vAlign w:val="center"/>
          </w:tcPr>
          <w:p>
            <w:r>
              <w:rPr>
                <w:sz w:val="18"/>
              </w:rPr>
            </w:r>
            <w:r>
              <w:rPr>
                <w:b w:val="0"/>
                <w:sz w:val="18"/>
              </w:rPr>
              <w:t>northeast</w:t>
            </w:r>
          </w:p>
        </w:tc>
        <w:tc>
          <w:tcPr>
            <w:tcW w:type="dxa" w:w="2520"/>
            <w:vAlign w:val="center"/>
          </w:tcPr>
          <w:p>
            <w:r>
              <w:rPr>
                <w:sz w:val="18"/>
              </w:rPr>
            </w:r>
            <w:r>
              <w:rPr>
                <w:b w:val="0"/>
                <w:sz w:val="18"/>
              </w:rPr>
              <w:t>324</w:t>
            </w:r>
          </w:p>
        </w:tc>
        <w:tc>
          <w:tcPr>
            <w:tcW w:type="dxa" w:w="2520"/>
            <w:vAlign w:val="center"/>
          </w:tcPr>
          <w:p>
            <w:r>
              <w:rPr>
                <w:sz w:val="18"/>
              </w:rPr>
            </w:r>
            <w:r>
              <w:rPr>
                <w:b w:val="0"/>
                <w:sz w:val="18"/>
              </w:rPr>
              <w:t>24.22%</w:t>
            </w:r>
          </w:p>
        </w:tc>
      </w:tr>
      <w:tr>
        <w:tc>
          <w:tcPr>
            <w:tcW w:type="dxa" w:w="2520"/>
            <w:vAlign w:val="center"/>
          </w:tcPr>
          <w:p>
            <w:r>
              <w:rPr>
                <w:sz w:val="18"/>
              </w:rPr>
            </w:r>
            <w:r>
              <w:rPr>
                <w:b w:val="0"/>
                <w:sz w:val="18"/>
              </w:rPr>
              <w:t>region</w:t>
            </w:r>
          </w:p>
        </w:tc>
        <w:tc>
          <w:tcPr>
            <w:tcW w:type="dxa" w:w="2520"/>
            <w:vAlign w:val="center"/>
          </w:tcPr>
          <w:p>
            <w:r>
              <w:rPr>
                <w:sz w:val="18"/>
              </w:rPr>
            </w:r>
            <w:r>
              <w:rPr>
                <w:b w:val="0"/>
                <w:sz w:val="18"/>
              </w:rPr>
              <w:t>northwest</w:t>
            </w:r>
          </w:p>
        </w:tc>
        <w:tc>
          <w:tcPr>
            <w:tcW w:type="dxa" w:w="2520"/>
            <w:vAlign w:val="center"/>
          </w:tcPr>
          <w:p>
            <w:r>
              <w:rPr>
                <w:sz w:val="18"/>
              </w:rPr>
            </w:r>
            <w:r>
              <w:rPr>
                <w:b w:val="0"/>
                <w:sz w:val="18"/>
              </w:rPr>
              <w:t>325</w:t>
            </w:r>
          </w:p>
        </w:tc>
        <w:tc>
          <w:tcPr>
            <w:tcW w:type="dxa" w:w="2520"/>
            <w:vAlign w:val="center"/>
          </w:tcPr>
          <w:p>
            <w:r>
              <w:rPr>
                <w:sz w:val="18"/>
              </w:rPr>
            </w:r>
            <w:r>
              <w:rPr>
                <w:b w:val="0"/>
                <w:sz w:val="18"/>
              </w:rPr>
              <w:t>24.29%</w:t>
            </w:r>
          </w:p>
        </w:tc>
      </w:tr>
      <w:tr>
        <w:tc>
          <w:tcPr>
            <w:tcW w:type="dxa" w:w="2520"/>
            <w:vAlign w:val="center"/>
          </w:tcPr>
          <w:p>
            <w:r>
              <w:rPr>
                <w:sz w:val="18"/>
              </w:rPr>
            </w:r>
            <w:r>
              <w:rPr>
                <w:b w:val="0"/>
                <w:sz w:val="18"/>
              </w:rPr>
              <w:t>region</w:t>
            </w:r>
          </w:p>
        </w:tc>
        <w:tc>
          <w:tcPr>
            <w:tcW w:type="dxa" w:w="2520"/>
            <w:vAlign w:val="center"/>
          </w:tcPr>
          <w:p>
            <w:r>
              <w:rPr>
                <w:sz w:val="18"/>
              </w:rPr>
            </w:r>
            <w:r>
              <w:rPr>
                <w:b w:val="0"/>
                <w:sz w:val="18"/>
              </w:rPr>
              <w:t>southeast</w:t>
            </w:r>
          </w:p>
        </w:tc>
        <w:tc>
          <w:tcPr>
            <w:tcW w:type="dxa" w:w="2520"/>
            <w:vAlign w:val="center"/>
          </w:tcPr>
          <w:p>
            <w:r>
              <w:rPr>
                <w:sz w:val="18"/>
              </w:rPr>
            </w:r>
            <w:r>
              <w:rPr>
                <w:b w:val="0"/>
                <w:sz w:val="18"/>
              </w:rPr>
              <w:t>364</w:t>
            </w:r>
          </w:p>
        </w:tc>
        <w:tc>
          <w:tcPr>
            <w:tcW w:type="dxa" w:w="2520"/>
            <w:vAlign w:val="center"/>
          </w:tcPr>
          <w:p>
            <w:r>
              <w:rPr>
                <w:sz w:val="18"/>
              </w:rPr>
            </w:r>
            <w:r>
              <w:rPr>
                <w:b w:val="0"/>
                <w:sz w:val="18"/>
              </w:rPr>
              <w:t>27.20%</w:t>
            </w:r>
          </w:p>
        </w:tc>
      </w:tr>
      <w:tr>
        <w:tc>
          <w:tcPr>
            <w:tcW w:type="dxa" w:w="2520"/>
            <w:vAlign w:val="center"/>
          </w:tcPr>
          <w:p>
            <w:r>
              <w:rPr>
                <w:sz w:val="18"/>
              </w:rPr>
            </w:r>
            <w:r>
              <w:rPr>
                <w:b w:val="0"/>
                <w:sz w:val="18"/>
              </w:rPr>
              <w:t>region</w:t>
            </w:r>
          </w:p>
        </w:tc>
        <w:tc>
          <w:tcPr>
            <w:tcW w:type="dxa" w:w="2520"/>
            <w:vAlign w:val="center"/>
          </w:tcPr>
          <w:p>
            <w:r>
              <w:rPr>
                <w:sz w:val="18"/>
              </w:rPr>
            </w:r>
            <w:r>
              <w:rPr>
                <w:b w:val="0"/>
                <w:sz w:val="18"/>
              </w:rPr>
              <w:t>southwest</w:t>
            </w:r>
          </w:p>
        </w:tc>
        <w:tc>
          <w:tcPr>
            <w:tcW w:type="dxa" w:w="2520"/>
            <w:vAlign w:val="center"/>
          </w:tcPr>
          <w:p>
            <w:r>
              <w:rPr>
                <w:sz w:val="18"/>
              </w:rPr>
            </w:r>
            <w:r>
              <w:rPr>
                <w:b w:val="0"/>
                <w:sz w:val="18"/>
              </w:rPr>
              <w:t>325</w:t>
            </w:r>
          </w:p>
        </w:tc>
        <w:tc>
          <w:tcPr>
            <w:tcW w:type="dxa" w:w="2520"/>
            <w:vAlign w:val="center"/>
          </w:tcPr>
          <w:p>
            <w:r>
              <w:rPr>
                <w:sz w:val="18"/>
              </w:rPr>
            </w:r>
            <w:r>
              <w:rPr>
                <w:b w:val="0"/>
                <w:sz w:val="18"/>
              </w:rPr>
              <w:t>24.29%</w:t>
            </w:r>
          </w:p>
        </w:tc>
      </w:tr>
      <w:tr>
        <w:tc>
          <w:tcPr>
            <w:tcW w:type="dxa" w:w="2520"/>
            <w:vAlign w:val="center"/>
          </w:tcPr>
          <w:p>
            <w:r>
              <w:rPr>
                <w:sz w:val="18"/>
              </w:rPr>
            </w:r>
            <w:r>
              <w:rPr>
                <w:b w:val="0"/>
                <w:sz w:val="18"/>
              </w:rPr>
              <w:t>children</w:t>
            </w:r>
          </w:p>
        </w:tc>
        <w:tc>
          <w:tcPr>
            <w:tcW w:type="dxa" w:w="2520"/>
            <w:vAlign w:val="center"/>
          </w:tcPr>
          <w:p>
            <w:r>
              <w:rPr>
                <w:sz w:val="18"/>
              </w:rPr>
            </w:r>
            <w:r>
              <w:rPr>
                <w:b w:val="0"/>
                <w:sz w:val="18"/>
              </w:rPr>
              <w:t>0</w:t>
            </w:r>
          </w:p>
        </w:tc>
        <w:tc>
          <w:tcPr>
            <w:tcW w:type="dxa" w:w="2520"/>
            <w:vAlign w:val="center"/>
          </w:tcPr>
          <w:p>
            <w:r>
              <w:rPr>
                <w:sz w:val="18"/>
              </w:rPr>
            </w:r>
            <w:r>
              <w:rPr>
                <w:b w:val="0"/>
                <w:sz w:val="18"/>
              </w:rPr>
              <w:t>574</w:t>
            </w:r>
          </w:p>
        </w:tc>
        <w:tc>
          <w:tcPr>
            <w:tcW w:type="dxa" w:w="2520"/>
            <w:vAlign w:val="center"/>
          </w:tcPr>
          <w:p>
            <w:r>
              <w:rPr>
                <w:sz w:val="18"/>
              </w:rPr>
            </w:r>
            <w:r>
              <w:rPr>
                <w:b w:val="0"/>
                <w:sz w:val="18"/>
              </w:rPr>
              <w:t>42.90%</w:t>
            </w:r>
          </w:p>
        </w:tc>
      </w:tr>
      <w:tr>
        <w:tc>
          <w:tcPr>
            <w:tcW w:type="dxa" w:w="2520"/>
            <w:vAlign w:val="center"/>
          </w:tcPr>
          <w:p>
            <w:r>
              <w:rPr>
                <w:sz w:val="18"/>
              </w:rPr>
            </w:r>
            <w:r>
              <w:rPr>
                <w:b w:val="0"/>
                <w:sz w:val="18"/>
              </w:rPr>
              <w:t>children</w:t>
            </w:r>
          </w:p>
        </w:tc>
        <w:tc>
          <w:tcPr>
            <w:tcW w:type="dxa" w:w="2520"/>
            <w:vAlign w:val="center"/>
          </w:tcPr>
          <w:p>
            <w:r>
              <w:rPr>
                <w:sz w:val="18"/>
              </w:rPr>
            </w:r>
            <w:r>
              <w:rPr>
                <w:b w:val="0"/>
                <w:sz w:val="18"/>
              </w:rPr>
              <w:t>1</w:t>
            </w:r>
          </w:p>
        </w:tc>
        <w:tc>
          <w:tcPr>
            <w:tcW w:type="dxa" w:w="2520"/>
            <w:vAlign w:val="center"/>
          </w:tcPr>
          <w:p>
            <w:r>
              <w:rPr>
                <w:sz w:val="18"/>
              </w:rPr>
            </w:r>
            <w:r>
              <w:rPr>
                <w:b w:val="0"/>
                <w:sz w:val="18"/>
              </w:rPr>
              <w:t>324</w:t>
            </w:r>
          </w:p>
        </w:tc>
        <w:tc>
          <w:tcPr>
            <w:tcW w:type="dxa" w:w="2520"/>
            <w:vAlign w:val="center"/>
          </w:tcPr>
          <w:p>
            <w:r>
              <w:rPr>
                <w:sz w:val="18"/>
              </w:rPr>
            </w:r>
            <w:r>
              <w:rPr>
                <w:b w:val="0"/>
                <w:sz w:val="18"/>
              </w:rPr>
              <w:t>24.22%</w:t>
            </w:r>
          </w:p>
        </w:tc>
      </w:tr>
      <w:tr>
        <w:tc>
          <w:tcPr>
            <w:tcW w:type="dxa" w:w="2520"/>
            <w:vAlign w:val="center"/>
          </w:tcPr>
          <w:p>
            <w:r>
              <w:rPr>
                <w:sz w:val="18"/>
              </w:rPr>
            </w:r>
            <w:r>
              <w:rPr>
                <w:b w:val="0"/>
                <w:sz w:val="18"/>
              </w:rPr>
              <w:t>children</w:t>
            </w:r>
          </w:p>
        </w:tc>
        <w:tc>
          <w:tcPr>
            <w:tcW w:type="dxa" w:w="2520"/>
            <w:vAlign w:val="center"/>
          </w:tcPr>
          <w:p>
            <w:r>
              <w:rPr>
                <w:sz w:val="18"/>
              </w:rPr>
            </w:r>
            <w:r>
              <w:rPr>
                <w:b w:val="0"/>
                <w:sz w:val="18"/>
              </w:rPr>
              <w:t>2</w:t>
            </w:r>
          </w:p>
        </w:tc>
        <w:tc>
          <w:tcPr>
            <w:tcW w:type="dxa" w:w="2520"/>
            <w:vAlign w:val="center"/>
          </w:tcPr>
          <w:p>
            <w:r>
              <w:rPr>
                <w:sz w:val="18"/>
              </w:rPr>
            </w:r>
            <w:r>
              <w:rPr>
                <w:b w:val="0"/>
                <w:sz w:val="18"/>
              </w:rPr>
              <w:t>240</w:t>
            </w:r>
          </w:p>
        </w:tc>
        <w:tc>
          <w:tcPr>
            <w:tcW w:type="dxa" w:w="2520"/>
            <w:vAlign w:val="center"/>
          </w:tcPr>
          <w:p>
            <w:r>
              <w:rPr>
                <w:sz w:val="18"/>
              </w:rPr>
            </w:r>
            <w:r>
              <w:rPr>
                <w:b w:val="0"/>
                <w:sz w:val="18"/>
              </w:rPr>
              <w:t>17.94%</w:t>
            </w:r>
          </w:p>
        </w:tc>
      </w:tr>
      <w:tr>
        <w:tc>
          <w:tcPr>
            <w:tcW w:type="dxa" w:w="2520"/>
            <w:vAlign w:val="center"/>
          </w:tcPr>
          <w:p>
            <w:r>
              <w:rPr>
                <w:sz w:val="18"/>
              </w:rPr>
            </w:r>
            <w:r>
              <w:rPr>
                <w:b w:val="0"/>
                <w:sz w:val="18"/>
              </w:rPr>
              <w:t>children</w:t>
            </w:r>
          </w:p>
        </w:tc>
        <w:tc>
          <w:tcPr>
            <w:tcW w:type="dxa" w:w="2520"/>
            <w:vAlign w:val="center"/>
          </w:tcPr>
          <w:p>
            <w:r>
              <w:rPr>
                <w:sz w:val="18"/>
              </w:rPr>
            </w:r>
            <w:r>
              <w:rPr>
                <w:b w:val="0"/>
                <w:sz w:val="18"/>
              </w:rPr>
              <w:t>3</w:t>
            </w:r>
          </w:p>
        </w:tc>
        <w:tc>
          <w:tcPr>
            <w:tcW w:type="dxa" w:w="2520"/>
            <w:vAlign w:val="center"/>
          </w:tcPr>
          <w:p>
            <w:r>
              <w:rPr>
                <w:sz w:val="18"/>
              </w:rPr>
            </w:r>
            <w:r>
              <w:rPr>
                <w:b w:val="0"/>
                <w:sz w:val="18"/>
              </w:rPr>
              <w:t>157</w:t>
            </w:r>
          </w:p>
        </w:tc>
        <w:tc>
          <w:tcPr>
            <w:tcW w:type="dxa" w:w="2520"/>
            <w:vAlign w:val="center"/>
          </w:tcPr>
          <w:p>
            <w:r>
              <w:rPr>
                <w:sz w:val="18"/>
              </w:rPr>
            </w:r>
            <w:r>
              <w:rPr>
                <w:b w:val="0"/>
                <w:sz w:val="18"/>
              </w:rPr>
              <w:t>11.73%</w:t>
            </w:r>
          </w:p>
        </w:tc>
      </w:tr>
      <w:tr>
        <w:tc>
          <w:tcPr>
            <w:tcW w:type="dxa" w:w="2520"/>
            <w:vAlign w:val="center"/>
          </w:tcPr>
          <w:p>
            <w:r>
              <w:rPr>
                <w:sz w:val="18"/>
              </w:rPr>
            </w:r>
            <w:r>
              <w:rPr>
                <w:b w:val="0"/>
                <w:sz w:val="18"/>
              </w:rPr>
              <w:t>children</w:t>
            </w:r>
          </w:p>
        </w:tc>
        <w:tc>
          <w:tcPr>
            <w:tcW w:type="dxa" w:w="2520"/>
            <w:vAlign w:val="center"/>
          </w:tcPr>
          <w:p>
            <w:r>
              <w:rPr>
                <w:sz w:val="18"/>
              </w:rPr>
            </w:r>
            <w:r>
              <w:rPr>
                <w:b w:val="0"/>
                <w:sz w:val="18"/>
              </w:rPr>
              <w:t>4</w:t>
            </w:r>
          </w:p>
        </w:tc>
        <w:tc>
          <w:tcPr>
            <w:tcW w:type="dxa" w:w="2520"/>
            <w:vAlign w:val="center"/>
          </w:tcPr>
          <w:p>
            <w:r>
              <w:rPr>
                <w:sz w:val="18"/>
              </w:rPr>
            </w:r>
            <w:r>
              <w:rPr>
                <w:b w:val="0"/>
                <w:sz w:val="18"/>
              </w:rPr>
              <w:t>25</w:t>
            </w:r>
          </w:p>
        </w:tc>
        <w:tc>
          <w:tcPr>
            <w:tcW w:type="dxa" w:w="2520"/>
            <w:vAlign w:val="center"/>
          </w:tcPr>
          <w:p>
            <w:r>
              <w:rPr>
                <w:sz w:val="18"/>
              </w:rPr>
            </w:r>
            <w:r>
              <w:rPr>
                <w:b w:val="0"/>
                <w:sz w:val="18"/>
              </w:rPr>
              <w:t>1.87%</w:t>
            </w:r>
          </w:p>
        </w:tc>
      </w:tr>
      <w:tr>
        <w:tc>
          <w:tcPr>
            <w:tcW w:type="dxa" w:w="2520"/>
            <w:vAlign w:val="center"/>
          </w:tcPr>
          <w:p>
            <w:r>
              <w:rPr>
                <w:sz w:val="18"/>
              </w:rPr>
            </w:r>
            <w:r>
              <w:rPr>
                <w:b w:val="0"/>
                <w:sz w:val="18"/>
              </w:rPr>
              <w:t>children</w:t>
            </w:r>
          </w:p>
        </w:tc>
        <w:tc>
          <w:tcPr>
            <w:tcW w:type="dxa" w:w="2520"/>
            <w:vAlign w:val="center"/>
          </w:tcPr>
          <w:p>
            <w:r>
              <w:rPr>
                <w:sz w:val="18"/>
              </w:rPr>
            </w:r>
            <w:r>
              <w:rPr>
                <w:b w:val="0"/>
                <w:sz w:val="18"/>
              </w:rPr>
              <w:t>5</w:t>
            </w:r>
          </w:p>
        </w:tc>
        <w:tc>
          <w:tcPr>
            <w:tcW w:type="dxa" w:w="2520"/>
            <w:vAlign w:val="center"/>
          </w:tcPr>
          <w:p>
            <w:r>
              <w:rPr>
                <w:sz w:val="18"/>
              </w:rPr>
            </w:r>
            <w:r>
              <w:rPr>
                <w:b w:val="0"/>
                <w:sz w:val="18"/>
              </w:rPr>
              <w:t>18</w:t>
            </w:r>
          </w:p>
        </w:tc>
        <w:tc>
          <w:tcPr>
            <w:tcW w:type="dxa" w:w="2520"/>
            <w:vAlign w:val="center"/>
          </w:tcPr>
          <w:p>
            <w:r>
              <w:rPr>
                <w:sz w:val="18"/>
              </w:rPr>
            </w:r>
            <w:r>
              <w:rPr>
                <w:b w:val="0"/>
                <w:sz w:val="18"/>
              </w:rPr>
              <w:t>1.35%</w:t>
            </w:r>
          </w:p>
        </w:tc>
      </w:tr>
    </w:tbl>
    <w:p/>
    <w:p>
      <w:pPr>
        <w:pStyle w:val="Heading1"/>
      </w:pPr>
      <w:r>
        <w:t>5. Visualizations</w:t>
      </w:r>
    </w:p>
    <w:p>
      <w:r>
        <w:drawing>
          <wp:inline xmlns:a="http://schemas.openxmlformats.org/drawingml/2006/main" xmlns:pic="http://schemas.openxmlformats.org/drawingml/2006/picture">
            <wp:extent cx="5394960" cy="2965695"/>
            <wp:docPr id="1" name="Picture 1"/>
            <wp:cNvGraphicFramePr>
              <a:graphicFrameLocks noChangeAspect="1"/>
            </wp:cNvGraphicFramePr>
            <a:graphic>
              <a:graphicData uri="http://schemas.openxmlformats.org/drawingml/2006/picture">
                <pic:pic>
                  <pic:nvPicPr>
                    <pic:cNvPr id="0" name="01_distribution_charges.png"/>
                    <pic:cNvPicPr/>
                  </pic:nvPicPr>
                  <pic:blipFill>
                    <a:blip r:embed="rId9"/>
                    <a:stretch>
                      <a:fillRect/>
                    </a:stretch>
                  </pic:blipFill>
                  <pic:spPr>
                    <a:xfrm>
                      <a:off x="0" y="0"/>
                      <a:ext cx="5394960" cy="2965695"/>
                    </a:xfrm>
                    <a:prstGeom prst="rect"/>
                  </pic:spPr>
                </pic:pic>
              </a:graphicData>
            </a:graphic>
          </wp:inline>
        </w:drawing>
      </w:r>
    </w:p>
    <w:p>
      <w:pPr>
        <w:pStyle w:val="Caption"/>
        <w:jc w:val="center"/>
      </w:pPr>
      <w:r>
        <w:t>Figure 1. Distribution of insurance charges.</w:t>
      </w:r>
    </w:p>
    <w:p>
      <w:r>
        <w:t>The histogram shows that insurance charges are right-skewed. Most individuals have lower charges, while a smaller group has very high charges.</w:t>
      </w:r>
    </w:p>
    <w:p>
      <w:r>
        <w:drawing>
          <wp:inline xmlns:a="http://schemas.openxmlformats.org/drawingml/2006/main" xmlns:pic="http://schemas.openxmlformats.org/drawingml/2006/picture">
            <wp:extent cx="5394960" cy="2965695"/>
            <wp:docPr id="2" name="Picture 2"/>
            <wp:cNvGraphicFramePr>
              <a:graphicFrameLocks noChangeAspect="1"/>
            </wp:cNvGraphicFramePr>
            <a:graphic>
              <a:graphicData uri="http://schemas.openxmlformats.org/drawingml/2006/picture">
                <pic:pic>
                  <pic:nvPicPr>
                    <pic:cNvPr id="0" name="02_smoker_bar.png"/>
                    <pic:cNvPicPr/>
                  </pic:nvPicPr>
                  <pic:blipFill>
                    <a:blip r:embed="rId10"/>
                    <a:stretch>
                      <a:fillRect/>
                    </a:stretch>
                  </pic:blipFill>
                  <pic:spPr>
                    <a:xfrm>
                      <a:off x="0" y="0"/>
                      <a:ext cx="5394960" cy="2965695"/>
                    </a:xfrm>
                    <a:prstGeom prst="rect"/>
                  </pic:spPr>
                </pic:pic>
              </a:graphicData>
            </a:graphic>
          </wp:inline>
        </w:drawing>
      </w:r>
    </w:p>
    <w:p>
      <w:pPr>
        <w:pStyle w:val="Caption"/>
        <w:jc w:val="center"/>
      </w:pPr>
      <w:r>
        <w:t>Figure 2. Number of smokers and non-smokers.</w:t>
      </w:r>
    </w:p>
    <w:p>
      <w:r>
        <w:t>Most observations are non-smokers: 1,064 non-smokers compared with 274 smokers.</w:t>
      </w:r>
    </w:p>
    <w:p>
      <w:r>
        <w:drawing>
          <wp:inline xmlns:a="http://schemas.openxmlformats.org/drawingml/2006/main" xmlns:pic="http://schemas.openxmlformats.org/drawingml/2006/picture">
            <wp:extent cx="5394960" cy="5716557"/>
            <wp:docPr id="3" name="Picture 3"/>
            <wp:cNvGraphicFramePr>
              <a:graphicFrameLocks noChangeAspect="1"/>
            </wp:cNvGraphicFramePr>
            <a:graphic>
              <a:graphicData uri="http://schemas.openxmlformats.org/drawingml/2006/picture">
                <pic:pic>
                  <pic:nvPicPr>
                    <pic:cNvPr id="0" name="03_sex_pie.png"/>
                    <pic:cNvPicPr/>
                  </pic:nvPicPr>
                  <pic:blipFill>
                    <a:blip r:embed="rId11"/>
                    <a:stretch>
                      <a:fillRect/>
                    </a:stretch>
                  </pic:blipFill>
                  <pic:spPr>
                    <a:xfrm>
                      <a:off x="0" y="0"/>
                      <a:ext cx="5394960" cy="5716557"/>
                    </a:xfrm>
                    <a:prstGeom prst="rect"/>
                  </pic:spPr>
                </pic:pic>
              </a:graphicData>
            </a:graphic>
          </wp:inline>
        </w:drawing>
      </w:r>
    </w:p>
    <w:p>
      <w:pPr>
        <w:pStyle w:val="Caption"/>
        <w:jc w:val="center"/>
      </w:pPr>
      <w:r>
        <w:t>Figure 3. Distribution by sex.</w:t>
      </w:r>
    </w:p>
    <w:p>
      <w:r>
        <w:t>The dataset is almost evenly split by sex, with 662 females and 676 males.</w:t>
      </w:r>
    </w:p>
    <w:p>
      <w:r>
        <w:drawing>
          <wp:inline xmlns:a="http://schemas.openxmlformats.org/drawingml/2006/main" xmlns:pic="http://schemas.openxmlformats.org/drawingml/2006/picture">
            <wp:extent cx="5394960" cy="2965695"/>
            <wp:docPr id="4" name="Picture 4"/>
            <wp:cNvGraphicFramePr>
              <a:graphicFrameLocks noChangeAspect="1"/>
            </wp:cNvGraphicFramePr>
            <a:graphic>
              <a:graphicData uri="http://schemas.openxmlformats.org/drawingml/2006/picture">
                <pic:pic>
                  <pic:nvPicPr>
                    <pic:cNvPr id="0" name="04_box_smoker.png"/>
                    <pic:cNvPicPr/>
                  </pic:nvPicPr>
                  <pic:blipFill>
                    <a:blip r:embed="rId12"/>
                    <a:stretch>
                      <a:fillRect/>
                    </a:stretch>
                  </pic:blipFill>
                  <pic:spPr>
                    <a:xfrm>
                      <a:off x="0" y="0"/>
                      <a:ext cx="5394960" cy="2965695"/>
                    </a:xfrm>
                    <a:prstGeom prst="rect"/>
                  </pic:spPr>
                </pic:pic>
              </a:graphicData>
            </a:graphic>
          </wp:inline>
        </w:drawing>
      </w:r>
    </w:p>
    <w:p>
      <w:pPr>
        <w:pStyle w:val="Caption"/>
        <w:jc w:val="center"/>
      </w:pPr>
      <w:r>
        <w:t>Figure 4. Insurance charges by smoking status.</w:t>
      </w:r>
    </w:p>
    <w:p>
      <w:r>
        <w:t>The boxplot shows a large difference in charges between smokers and non-smokers, with smokers having substantially higher charges.</w:t>
      </w:r>
    </w:p>
    <w:p>
      <w:pPr>
        <w:pStyle w:val="Heading1"/>
      </w:pPr>
      <w:r>
        <w:t>6. t-Test: Charges by Smoking Status</w:t>
      </w:r>
    </w:p>
    <w:p>
      <w:r>
        <w:t>Hypotheses: H0: mean charges are equal for smokers and non-smokers. Ha: mean charges are different for smokers and non-smokers.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sz w:val="18"/>
              </w:rPr>
            </w:r>
            <w:r>
              <w:rPr>
                <w:b/>
                <w:sz w:val="18"/>
              </w:rPr>
              <w:t>Group</w:t>
            </w:r>
          </w:p>
        </w:tc>
        <w:tc>
          <w:tcPr>
            <w:tcW w:type="dxa" w:w="2520"/>
            <w:shd w:fill="D9EAF7"/>
          </w:tcPr>
          <w:p>
            <w:r>
              <w:rPr>
                <w:sz w:val="18"/>
              </w:rPr>
            </w:r>
            <w:r>
              <w:rPr>
                <w:b/>
                <w:sz w:val="18"/>
              </w:rPr>
              <w:t>Mean Charges</w:t>
            </w:r>
          </w:p>
        </w:tc>
        <w:tc>
          <w:tcPr>
            <w:tcW w:type="dxa" w:w="2520"/>
            <w:shd w:fill="D9EAF7"/>
          </w:tcPr>
          <w:p>
            <w:r>
              <w:rPr>
                <w:sz w:val="18"/>
              </w:rPr>
            </w:r>
            <w:r>
              <w:rPr>
                <w:b/>
                <w:sz w:val="18"/>
              </w:rPr>
              <w:t>Standard Deviation</w:t>
            </w:r>
          </w:p>
        </w:tc>
        <w:tc>
          <w:tcPr>
            <w:tcW w:type="dxa" w:w="2520"/>
            <w:shd w:fill="D9EAF7"/>
          </w:tcPr>
          <w:p>
            <w:r>
              <w:rPr>
                <w:sz w:val="18"/>
              </w:rPr>
            </w:r>
            <w:r>
              <w:rPr>
                <w:b/>
                <w:sz w:val="18"/>
              </w:rPr>
              <w:t>n</w:t>
            </w:r>
          </w:p>
        </w:tc>
      </w:tr>
      <w:tr>
        <w:tc>
          <w:tcPr>
            <w:tcW w:type="dxa" w:w="2520"/>
            <w:vAlign w:val="center"/>
          </w:tcPr>
          <w:p>
            <w:r>
              <w:rPr>
                <w:sz w:val="18"/>
              </w:rPr>
            </w:r>
            <w:r>
              <w:rPr>
                <w:b w:val="0"/>
                <w:sz w:val="18"/>
              </w:rPr>
              <w:t>Non-smokers</w:t>
            </w:r>
          </w:p>
        </w:tc>
        <w:tc>
          <w:tcPr>
            <w:tcW w:type="dxa" w:w="2520"/>
            <w:vAlign w:val="center"/>
          </w:tcPr>
          <w:p>
            <w:r>
              <w:rPr>
                <w:sz w:val="18"/>
              </w:rPr>
            </w:r>
            <w:r>
              <w:rPr>
                <w:b w:val="0"/>
                <w:sz w:val="18"/>
              </w:rPr>
              <w:t>$8,434.27</w:t>
            </w:r>
          </w:p>
        </w:tc>
        <w:tc>
          <w:tcPr>
            <w:tcW w:type="dxa" w:w="2520"/>
            <w:vAlign w:val="center"/>
          </w:tcPr>
          <w:p>
            <w:r>
              <w:rPr>
                <w:sz w:val="18"/>
              </w:rPr>
            </w:r>
            <w:r>
              <w:rPr>
                <w:b w:val="0"/>
                <w:sz w:val="18"/>
              </w:rPr>
              <w:t>$5,993.78</w:t>
            </w:r>
          </w:p>
        </w:tc>
        <w:tc>
          <w:tcPr>
            <w:tcW w:type="dxa" w:w="2520"/>
            <w:vAlign w:val="center"/>
          </w:tcPr>
          <w:p>
            <w:r>
              <w:rPr>
                <w:sz w:val="18"/>
              </w:rPr>
            </w:r>
            <w:r>
              <w:rPr>
                <w:b w:val="0"/>
                <w:sz w:val="18"/>
              </w:rPr>
              <w:t>1,064</w:t>
            </w:r>
          </w:p>
        </w:tc>
      </w:tr>
      <w:tr>
        <w:tc>
          <w:tcPr>
            <w:tcW w:type="dxa" w:w="2520"/>
            <w:vAlign w:val="center"/>
          </w:tcPr>
          <w:p>
            <w:r>
              <w:rPr>
                <w:sz w:val="18"/>
              </w:rPr>
            </w:r>
            <w:r>
              <w:rPr>
                <w:b w:val="0"/>
                <w:sz w:val="18"/>
              </w:rPr>
              <w:t>Smokers</w:t>
            </w:r>
          </w:p>
        </w:tc>
        <w:tc>
          <w:tcPr>
            <w:tcW w:type="dxa" w:w="2520"/>
            <w:vAlign w:val="center"/>
          </w:tcPr>
          <w:p>
            <w:r>
              <w:rPr>
                <w:sz w:val="18"/>
              </w:rPr>
            </w:r>
            <w:r>
              <w:rPr>
                <w:b w:val="0"/>
                <w:sz w:val="18"/>
              </w:rPr>
              <w:t>$32,050.23</w:t>
            </w:r>
          </w:p>
        </w:tc>
        <w:tc>
          <w:tcPr>
            <w:tcW w:type="dxa" w:w="2520"/>
            <w:vAlign w:val="center"/>
          </w:tcPr>
          <w:p>
            <w:r>
              <w:rPr>
                <w:sz w:val="18"/>
              </w:rPr>
            </w:r>
            <w:r>
              <w:rPr>
                <w:b w:val="0"/>
                <w:sz w:val="18"/>
              </w:rPr>
              <w:t>$11,541.55</w:t>
            </w:r>
          </w:p>
        </w:tc>
        <w:tc>
          <w:tcPr>
            <w:tcW w:type="dxa" w:w="2520"/>
            <w:vAlign w:val="center"/>
          </w:tcPr>
          <w:p>
            <w:r>
              <w:rPr>
                <w:sz w:val="18"/>
              </w:rPr>
            </w:r>
            <w:r>
              <w:rPr>
                <w:b w:val="0"/>
                <w:sz w:val="18"/>
              </w:rPr>
              <w:t>274</w:t>
            </w:r>
          </w:p>
        </w:tc>
      </w:tr>
    </w:tbl>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sz w:val="18"/>
              </w:rPr>
            </w:r>
            <w:r>
              <w:rPr>
                <w:b/>
                <w:sz w:val="18"/>
              </w:rPr>
              <w:t>Test</w:t>
            </w:r>
          </w:p>
        </w:tc>
        <w:tc>
          <w:tcPr>
            <w:tcW w:type="dxa" w:w="2016"/>
            <w:shd w:fill="D9EAF7"/>
          </w:tcPr>
          <w:p>
            <w:r>
              <w:rPr>
                <w:sz w:val="18"/>
              </w:rPr>
            </w:r>
            <w:r>
              <w:rPr>
                <w:b/>
                <w:sz w:val="18"/>
              </w:rPr>
              <w:t>Statistic</w:t>
            </w:r>
          </w:p>
        </w:tc>
        <w:tc>
          <w:tcPr>
            <w:tcW w:type="dxa" w:w="2016"/>
            <w:shd w:fill="D9EAF7"/>
          </w:tcPr>
          <w:p>
            <w:r>
              <w:rPr>
                <w:sz w:val="18"/>
              </w:rPr>
            </w:r>
            <w:r>
              <w:rPr>
                <w:b/>
                <w:sz w:val="18"/>
              </w:rPr>
              <w:t>df</w:t>
            </w:r>
          </w:p>
        </w:tc>
        <w:tc>
          <w:tcPr>
            <w:tcW w:type="dxa" w:w="2016"/>
            <w:shd w:fill="D9EAF7"/>
          </w:tcPr>
          <w:p>
            <w:r>
              <w:rPr>
                <w:sz w:val="18"/>
              </w:rPr>
            </w:r>
            <w:r>
              <w:rPr>
                <w:b/>
                <w:sz w:val="18"/>
              </w:rPr>
              <w:t>p-value</w:t>
            </w:r>
          </w:p>
        </w:tc>
        <w:tc>
          <w:tcPr>
            <w:tcW w:type="dxa" w:w="2016"/>
            <w:shd w:fill="D9EAF7"/>
          </w:tcPr>
          <w:p>
            <w:r>
              <w:rPr>
                <w:sz w:val="18"/>
              </w:rPr>
            </w:r>
            <w:r>
              <w:rPr>
                <w:b/>
                <w:sz w:val="18"/>
              </w:rPr>
              <w:t>Decision</w:t>
            </w:r>
          </w:p>
        </w:tc>
      </w:tr>
      <w:tr>
        <w:tc>
          <w:tcPr>
            <w:tcW w:type="dxa" w:w="2016"/>
            <w:vAlign w:val="center"/>
          </w:tcPr>
          <w:p>
            <w:r>
              <w:rPr>
                <w:sz w:val="18"/>
              </w:rPr>
            </w:r>
            <w:r>
              <w:rPr>
                <w:b w:val="0"/>
                <w:sz w:val="18"/>
              </w:rPr>
              <w:t>Welch two-sample t-test</w:t>
            </w:r>
          </w:p>
        </w:tc>
        <w:tc>
          <w:tcPr>
            <w:tcW w:type="dxa" w:w="2016"/>
            <w:vAlign w:val="center"/>
          </w:tcPr>
          <w:p>
            <w:r>
              <w:rPr>
                <w:sz w:val="18"/>
              </w:rPr>
            </w:r>
            <w:r>
              <w:rPr>
                <w:b w:val="0"/>
                <w:sz w:val="18"/>
              </w:rPr>
              <w:t>t = -32.752</w:t>
            </w:r>
          </w:p>
        </w:tc>
        <w:tc>
          <w:tcPr>
            <w:tcW w:type="dxa" w:w="2016"/>
            <w:vAlign w:val="center"/>
          </w:tcPr>
          <w:p>
            <w:r>
              <w:rPr>
                <w:sz w:val="18"/>
              </w:rPr>
            </w:r>
            <w:r>
              <w:rPr>
                <w:b w:val="0"/>
                <w:sz w:val="18"/>
              </w:rPr>
              <w:t>311.85</w:t>
            </w:r>
          </w:p>
        </w:tc>
        <w:tc>
          <w:tcPr>
            <w:tcW w:type="dxa" w:w="2016"/>
            <w:vAlign w:val="center"/>
          </w:tcPr>
          <w:p>
            <w:r>
              <w:rPr>
                <w:sz w:val="18"/>
              </w:rPr>
            </w:r>
            <w:r>
              <w:rPr>
                <w:b w:val="0"/>
                <w:sz w:val="18"/>
              </w:rPr>
              <w:t>&lt; 2.2e-16</w:t>
            </w:r>
          </w:p>
        </w:tc>
        <w:tc>
          <w:tcPr>
            <w:tcW w:type="dxa" w:w="2016"/>
            <w:vAlign w:val="center"/>
          </w:tcPr>
          <w:p>
            <w:r>
              <w:rPr>
                <w:sz w:val="18"/>
              </w:rPr>
            </w:r>
            <w:r>
              <w:rPr>
                <w:b w:val="0"/>
                <w:sz w:val="18"/>
              </w:rPr>
              <w:t>Reject H0</w:t>
            </w:r>
          </w:p>
        </w:tc>
      </w:tr>
    </w:tbl>
    <w:p/>
    <w:p>
      <w:r>
        <w:t>Conclusion: smokers had significantly higher insurance charges than non-smokers.</w:t>
      </w:r>
    </w:p>
    <w:p>
      <w:pPr>
        <w:pStyle w:val="Heading2"/>
      </w:pPr>
      <w:r>
        <w:t>6.1 t-Test Assumption Checks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sz w:val="18"/>
              </w:rPr>
            </w:r>
            <w:r>
              <w:rPr>
                <w:b/>
                <w:sz w:val="18"/>
              </w:rPr>
              <w:t>Assumption</w:t>
            </w:r>
          </w:p>
        </w:tc>
        <w:tc>
          <w:tcPr>
            <w:tcW w:type="dxa" w:w="3360"/>
            <w:shd w:fill="D9EAF7"/>
          </w:tcPr>
          <w:p>
            <w:r>
              <w:rPr>
                <w:sz w:val="18"/>
              </w:rPr>
            </w:r>
            <w:r>
              <w:rPr>
                <w:b/>
                <w:sz w:val="18"/>
              </w:rPr>
              <w:t>Result</w:t>
            </w:r>
          </w:p>
        </w:tc>
        <w:tc>
          <w:tcPr>
            <w:tcW w:type="dxa" w:w="3360"/>
            <w:shd w:fill="D9EAF7"/>
          </w:tcPr>
          <w:p>
            <w:r>
              <w:rPr>
                <w:sz w:val="18"/>
              </w:rPr>
            </w:r>
            <w:r>
              <w:rPr>
                <w:b/>
                <w:sz w:val="18"/>
              </w:rPr>
              <w:t>Interpretation</w:t>
            </w:r>
          </w:p>
        </w:tc>
      </w:tr>
      <w:tr>
        <w:tc>
          <w:tcPr>
            <w:tcW w:type="dxa" w:w="3360"/>
            <w:vAlign w:val="center"/>
          </w:tcPr>
          <w:p>
            <w:r>
              <w:rPr>
                <w:sz w:val="18"/>
              </w:rPr>
            </w:r>
            <w:r>
              <w:rPr>
                <w:b w:val="0"/>
                <w:sz w:val="18"/>
              </w:rPr>
              <w:t>Normality, non-smokers</w:t>
            </w:r>
          </w:p>
        </w:tc>
        <w:tc>
          <w:tcPr>
            <w:tcW w:type="dxa" w:w="3360"/>
            <w:vAlign w:val="center"/>
          </w:tcPr>
          <w:p>
            <w:r>
              <w:rPr>
                <w:sz w:val="18"/>
              </w:rPr>
            </w:r>
            <w:r>
              <w:rPr>
                <w:b w:val="0"/>
                <w:sz w:val="18"/>
              </w:rPr>
              <w:t>Shapiro p &lt; 2.2e-16</w:t>
            </w:r>
          </w:p>
        </w:tc>
        <w:tc>
          <w:tcPr>
            <w:tcW w:type="dxa" w:w="3360"/>
            <w:vAlign w:val="center"/>
          </w:tcPr>
          <w:p>
            <w:r>
              <w:rPr>
                <w:sz w:val="18"/>
              </w:rPr>
            </w:r>
            <w:r>
              <w:rPr>
                <w:b w:val="0"/>
                <w:sz w:val="18"/>
              </w:rPr>
              <w:t>Not fully met</w:t>
            </w:r>
          </w:p>
        </w:tc>
      </w:tr>
      <w:tr>
        <w:tc>
          <w:tcPr>
            <w:tcW w:type="dxa" w:w="3360"/>
            <w:vAlign w:val="center"/>
          </w:tcPr>
          <w:p>
            <w:r>
              <w:rPr>
                <w:sz w:val="18"/>
              </w:rPr>
            </w:r>
            <w:r>
              <w:rPr>
                <w:b w:val="0"/>
                <w:sz w:val="18"/>
              </w:rPr>
              <w:t>Normality, smokers</w:t>
            </w:r>
          </w:p>
        </w:tc>
        <w:tc>
          <w:tcPr>
            <w:tcW w:type="dxa" w:w="3360"/>
            <w:vAlign w:val="center"/>
          </w:tcPr>
          <w:p>
            <w:r>
              <w:rPr>
                <w:sz w:val="18"/>
              </w:rPr>
            </w:r>
            <w:r>
              <w:rPr>
                <w:b w:val="0"/>
                <w:sz w:val="18"/>
              </w:rPr>
              <w:t>Shapiro p = 3.625e-09</w:t>
            </w:r>
          </w:p>
        </w:tc>
        <w:tc>
          <w:tcPr>
            <w:tcW w:type="dxa" w:w="3360"/>
            <w:vAlign w:val="center"/>
          </w:tcPr>
          <w:p>
            <w:r>
              <w:rPr>
                <w:sz w:val="18"/>
              </w:rPr>
            </w:r>
            <w:r>
              <w:rPr>
                <w:b w:val="0"/>
                <w:sz w:val="18"/>
              </w:rPr>
              <w:t>Not fully met</w:t>
            </w:r>
          </w:p>
        </w:tc>
      </w:tr>
      <w:tr>
        <w:tc>
          <w:tcPr>
            <w:tcW w:type="dxa" w:w="3360"/>
            <w:vAlign w:val="center"/>
          </w:tcPr>
          <w:p>
            <w:r>
              <w:rPr>
                <w:sz w:val="18"/>
              </w:rPr>
            </w:r>
            <w:r>
              <w:rPr>
                <w:b w:val="0"/>
                <w:sz w:val="18"/>
              </w:rPr>
              <w:t>Equal variance</w:t>
            </w:r>
          </w:p>
        </w:tc>
        <w:tc>
          <w:tcPr>
            <w:tcW w:type="dxa" w:w="3360"/>
            <w:vAlign w:val="center"/>
          </w:tcPr>
          <w:p>
            <w:r>
              <w:rPr>
                <w:sz w:val="18"/>
              </w:rPr>
            </w:r>
            <w:r>
              <w:rPr>
                <w:b w:val="0"/>
                <w:sz w:val="18"/>
              </w:rPr>
              <w:t>F-test p &lt; 2.2e-16</w:t>
            </w:r>
          </w:p>
        </w:tc>
        <w:tc>
          <w:tcPr>
            <w:tcW w:type="dxa" w:w="3360"/>
            <w:vAlign w:val="center"/>
          </w:tcPr>
          <w:p>
            <w:r>
              <w:rPr>
                <w:sz w:val="18"/>
              </w:rPr>
            </w:r>
            <w:r>
              <w:rPr>
                <w:b w:val="0"/>
                <w:sz w:val="18"/>
              </w:rPr>
              <w:t>Not met</w:t>
            </w:r>
          </w:p>
        </w:tc>
      </w:tr>
    </w:tbl>
    <w:p/>
    <w:p>
      <w:r>
        <w:t>Because the equal variance assumption was not met, the Welch t-test was used. Welch testing is more appropriate than the pooled two-sample t-test when group variances are unequal.</w:t>
      </w:r>
    </w:p>
    <w:p>
      <w:pPr>
        <w:pStyle w:val="Heading1"/>
      </w:pPr>
      <w:r>
        <w:t>7. ANOVA: Charges by Region</w:t>
      </w:r>
    </w:p>
    <w:p>
      <w:r>
        <w:t>Hypotheses: H0: mean charges are equal across all regions. Ha: at least one region has a different mean charge.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sz w:val="18"/>
              </w:rPr>
            </w:r>
            <w:r>
              <w:rPr>
                <w:b/>
                <w:sz w:val="18"/>
              </w:rPr>
              <w:t>Region</w:t>
            </w:r>
          </w:p>
        </w:tc>
        <w:tc>
          <w:tcPr>
            <w:tcW w:type="dxa" w:w="2520"/>
            <w:shd w:fill="D9EAF7"/>
          </w:tcPr>
          <w:p>
            <w:r>
              <w:rPr>
                <w:sz w:val="18"/>
              </w:rPr>
            </w:r>
            <w:r>
              <w:rPr>
                <w:b/>
                <w:sz w:val="18"/>
              </w:rPr>
              <w:t>Mean Charges</w:t>
            </w:r>
          </w:p>
        </w:tc>
        <w:tc>
          <w:tcPr>
            <w:tcW w:type="dxa" w:w="2520"/>
            <w:shd w:fill="D9EAF7"/>
          </w:tcPr>
          <w:p>
            <w:r>
              <w:rPr>
                <w:sz w:val="18"/>
              </w:rPr>
            </w:r>
            <w:r>
              <w:rPr>
                <w:b/>
                <w:sz w:val="18"/>
              </w:rPr>
              <w:t>Standard Deviation</w:t>
            </w:r>
          </w:p>
        </w:tc>
        <w:tc>
          <w:tcPr>
            <w:tcW w:type="dxa" w:w="2520"/>
            <w:shd w:fill="D9EAF7"/>
          </w:tcPr>
          <w:p>
            <w:r>
              <w:rPr>
                <w:sz w:val="18"/>
              </w:rPr>
            </w:r>
            <w:r>
              <w:rPr>
                <w:b/>
                <w:sz w:val="18"/>
              </w:rPr>
              <w:t>n</w:t>
            </w:r>
          </w:p>
        </w:tc>
      </w:tr>
      <w:tr>
        <w:tc>
          <w:tcPr>
            <w:tcW w:type="dxa" w:w="2520"/>
            <w:vAlign w:val="center"/>
          </w:tcPr>
          <w:p>
            <w:r>
              <w:rPr>
                <w:sz w:val="18"/>
              </w:rPr>
            </w:r>
            <w:r>
              <w:rPr>
                <w:b w:val="0"/>
                <w:sz w:val="18"/>
              </w:rPr>
              <w:t>Northeast</w:t>
            </w:r>
          </w:p>
        </w:tc>
        <w:tc>
          <w:tcPr>
            <w:tcW w:type="dxa" w:w="2520"/>
            <w:vAlign w:val="center"/>
          </w:tcPr>
          <w:p>
            <w:r>
              <w:rPr>
                <w:sz w:val="18"/>
              </w:rPr>
            </w:r>
            <w:r>
              <w:rPr>
                <w:b w:val="0"/>
                <w:sz w:val="18"/>
              </w:rPr>
              <w:t>$13,406.38</w:t>
            </w:r>
          </w:p>
        </w:tc>
        <w:tc>
          <w:tcPr>
            <w:tcW w:type="dxa" w:w="2520"/>
            <w:vAlign w:val="center"/>
          </w:tcPr>
          <w:p>
            <w:r>
              <w:rPr>
                <w:sz w:val="18"/>
              </w:rPr>
            </w:r>
            <w:r>
              <w:rPr>
                <w:b w:val="0"/>
                <w:sz w:val="18"/>
              </w:rPr>
              <w:t>$11,255.80</w:t>
            </w:r>
          </w:p>
        </w:tc>
        <w:tc>
          <w:tcPr>
            <w:tcW w:type="dxa" w:w="2520"/>
            <w:vAlign w:val="center"/>
          </w:tcPr>
          <w:p>
            <w:r>
              <w:rPr>
                <w:sz w:val="18"/>
              </w:rPr>
            </w:r>
            <w:r>
              <w:rPr>
                <w:b w:val="0"/>
                <w:sz w:val="18"/>
              </w:rPr>
              <w:t>324</w:t>
            </w:r>
          </w:p>
        </w:tc>
      </w:tr>
      <w:tr>
        <w:tc>
          <w:tcPr>
            <w:tcW w:type="dxa" w:w="2520"/>
            <w:vAlign w:val="center"/>
          </w:tcPr>
          <w:p>
            <w:r>
              <w:rPr>
                <w:sz w:val="18"/>
              </w:rPr>
            </w:r>
            <w:r>
              <w:rPr>
                <w:b w:val="0"/>
                <w:sz w:val="18"/>
              </w:rPr>
              <w:t>Northwest</w:t>
            </w:r>
          </w:p>
        </w:tc>
        <w:tc>
          <w:tcPr>
            <w:tcW w:type="dxa" w:w="2520"/>
            <w:vAlign w:val="center"/>
          </w:tcPr>
          <w:p>
            <w:r>
              <w:rPr>
                <w:sz w:val="18"/>
              </w:rPr>
            </w:r>
            <w:r>
              <w:rPr>
                <w:b w:val="0"/>
                <w:sz w:val="18"/>
              </w:rPr>
              <w:t>$12,417.58</w:t>
            </w:r>
          </w:p>
        </w:tc>
        <w:tc>
          <w:tcPr>
            <w:tcW w:type="dxa" w:w="2520"/>
            <w:vAlign w:val="center"/>
          </w:tcPr>
          <w:p>
            <w:r>
              <w:rPr>
                <w:sz w:val="18"/>
              </w:rPr>
            </w:r>
            <w:r>
              <w:rPr>
                <w:b w:val="0"/>
                <w:sz w:val="18"/>
              </w:rPr>
              <w:t>$11,072.28</w:t>
            </w:r>
          </w:p>
        </w:tc>
        <w:tc>
          <w:tcPr>
            <w:tcW w:type="dxa" w:w="2520"/>
            <w:vAlign w:val="center"/>
          </w:tcPr>
          <w:p>
            <w:r>
              <w:rPr>
                <w:sz w:val="18"/>
              </w:rPr>
            </w:r>
            <w:r>
              <w:rPr>
                <w:b w:val="0"/>
                <w:sz w:val="18"/>
              </w:rPr>
              <w:t>325</w:t>
            </w:r>
          </w:p>
        </w:tc>
      </w:tr>
      <w:tr>
        <w:tc>
          <w:tcPr>
            <w:tcW w:type="dxa" w:w="2520"/>
            <w:vAlign w:val="center"/>
          </w:tcPr>
          <w:p>
            <w:r>
              <w:rPr>
                <w:sz w:val="18"/>
              </w:rPr>
            </w:r>
            <w:r>
              <w:rPr>
                <w:b w:val="0"/>
                <w:sz w:val="18"/>
              </w:rPr>
              <w:t>Southeast</w:t>
            </w:r>
          </w:p>
        </w:tc>
        <w:tc>
          <w:tcPr>
            <w:tcW w:type="dxa" w:w="2520"/>
            <w:vAlign w:val="center"/>
          </w:tcPr>
          <w:p>
            <w:r>
              <w:rPr>
                <w:sz w:val="18"/>
              </w:rPr>
            </w:r>
            <w:r>
              <w:rPr>
                <w:b w:val="0"/>
                <w:sz w:val="18"/>
              </w:rPr>
              <w:t>$14,735.41</w:t>
            </w:r>
          </w:p>
        </w:tc>
        <w:tc>
          <w:tcPr>
            <w:tcW w:type="dxa" w:w="2520"/>
            <w:vAlign w:val="center"/>
          </w:tcPr>
          <w:p>
            <w:r>
              <w:rPr>
                <w:sz w:val="18"/>
              </w:rPr>
            </w:r>
            <w:r>
              <w:rPr>
                <w:b w:val="0"/>
                <w:sz w:val="18"/>
              </w:rPr>
              <w:t>$13,971.10</w:t>
            </w:r>
          </w:p>
        </w:tc>
        <w:tc>
          <w:tcPr>
            <w:tcW w:type="dxa" w:w="2520"/>
            <w:vAlign w:val="center"/>
          </w:tcPr>
          <w:p>
            <w:r>
              <w:rPr>
                <w:sz w:val="18"/>
              </w:rPr>
            </w:r>
            <w:r>
              <w:rPr>
                <w:b w:val="0"/>
                <w:sz w:val="18"/>
              </w:rPr>
              <w:t>364</w:t>
            </w:r>
          </w:p>
        </w:tc>
      </w:tr>
      <w:tr>
        <w:tc>
          <w:tcPr>
            <w:tcW w:type="dxa" w:w="2520"/>
            <w:vAlign w:val="center"/>
          </w:tcPr>
          <w:p>
            <w:r>
              <w:rPr>
                <w:sz w:val="18"/>
              </w:rPr>
            </w:r>
            <w:r>
              <w:rPr>
                <w:b w:val="0"/>
                <w:sz w:val="18"/>
              </w:rPr>
              <w:t>Southwest</w:t>
            </w:r>
          </w:p>
        </w:tc>
        <w:tc>
          <w:tcPr>
            <w:tcW w:type="dxa" w:w="2520"/>
            <w:vAlign w:val="center"/>
          </w:tcPr>
          <w:p>
            <w:r>
              <w:rPr>
                <w:sz w:val="18"/>
              </w:rPr>
            </w:r>
            <w:r>
              <w:rPr>
                <w:b w:val="0"/>
                <w:sz w:val="18"/>
              </w:rPr>
              <w:t>$12,346.94</w:t>
            </w:r>
          </w:p>
        </w:tc>
        <w:tc>
          <w:tcPr>
            <w:tcW w:type="dxa" w:w="2520"/>
            <w:vAlign w:val="center"/>
          </w:tcPr>
          <w:p>
            <w:r>
              <w:rPr>
                <w:sz w:val="18"/>
              </w:rPr>
            </w:r>
            <w:r>
              <w:rPr>
                <w:b w:val="0"/>
                <w:sz w:val="18"/>
              </w:rPr>
              <w:t>$11,557.18</w:t>
            </w:r>
          </w:p>
        </w:tc>
        <w:tc>
          <w:tcPr>
            <w:tcW w:type="dxa" w:w="2520"/>
            <w:vAlign w:val="center"/>
          </w:tcPr>
          <w:p>
            <w:r>
              <w:rPr>
                <w:sz w:val="18"/>
              </w:rPr>
            </w:r>
            <w:r>
              <w:rPr>
                <w:b w:val="0"/>
                <w:sz w:val="18"/>
              </w:rPr>
              <w:t>325</w:t>
            </w:r>
          </w:p>
        </w:tc>
      </w:tr>
    </w:tbl>
    <w:p/>
    <w:p>
      <w:r>
        <w:drawing>
          <wp:inline xmlns:a="http://schemas.openxmlformats.org/drawingml/2006/main" xmlns:pic="http://schemas.openxmlformats.org/drawingml/2006/picture">
            <wp:extent cx="5394960" cy="2812989"/>
            <wp:docPr id="5" name="Picture 5"/>
            <wp:cNvGraphicFramePr>
              <a:graphicFrameLocks noChangeAspect="1"/>
            </wp:cNvGraphicFramePr>
            <a:graphic>
              <a:graphicData uri="http://schemas.openxmlformats.org/drawingml/2006/picture">
                <pic:pic>
                  <pic:nvPicPr>
                    <pic:cNvPr id="0" name="05_box_region.png"/>
                    <pic:cNvPicPr/>
                  </pic:nvPicPr>
                  <pic:blipFill>
                    <a:blip r:embed="rId13"/>
                    <a:stretch>
                      <a:fillRect/>
                    </a:stretch>
                  </pic:blipFill>
                  <pic:spPr>
                    <a:xfrm>
                      <a:off x="0" y="0"/>
                      <a:ext cx="5394960" cy="2812989"/>
                    </a:xfrm>
                    <a:prstGeom prst="rect"/>
                  </pic:spPr>
                </pic:pic>
              </a:graphicData>
            </a:graphic>
          </wp:inline>
        </w:drawing>
      </w:r>
    </w:p>
    <w:p>
      <w:pPr>
        <w:pStyle w:val="Caption"/>
        <w:jc w:val="center"/>
      </w:pPr>
      <w:r>
        <w:t>Figure 5. Insurance charges by region.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sz w:val="18"/>
              </w:rPr>
            </w:r>
            <w:r>
              <w:rPr>
                <w:b/>
                <w:sz w:val="18"/>
              </w:rPr>
              <w:t>Test</w:t>
            </w:r>
          </w:p>
        </w:tc>
        <w:tc>
          <w:tcPr>
            <w:tcW w:type="dxa" w:w="2520"/>
            <w:shd w:fill="D9EAF7"/>
          </w:tcPr>
          <w:p>
            <w:r>
              <w:rPr>
                <w:sz w:val="18"/>
              </w:rPr>
            </w:r>
            <w:r>
              <w:rPr>
                <w:b/>
                <w:sz w:val="18"/>
              </w:rPr>
              <w:t>F-value</w:t>
            </w:r>
          </w:p>
        </w:tc>
        <w:tc>
          <w:tcPr>
            <w:tcW w:type="dxa" w:w="2520"/>
            <w:shd w:fill="D9EAF7"/>
          </w:tcPr>
          <w:p>
            <w:r>
              <w:rPr>
                <w:sz w:val="18"/>
              </w:rPr>
            </w:r>
            <w:r>
              <w:rPr>
                <w:b/>
                <w:sz w:val="18"/>
              </w:rPr>
              <w:t>p-value</w:t>
            </w:r>
          </w:p>
        </w:tc>
        <w:tc>
          <w:tcPr>
            <w:tcW w:type="dxa" w:w="2520"/>
            <w:shd w:fill="D9EAF7"/>
          </w:tcPr>
          <w:p>
            <w:r>
              <w:rPr>
                <w:sz w:val="18"/>
              </w:rPr>
            </w:r>
            <w:r>
              <w:rPr>
                <w:b/>
                <w:sz w:val="18"/>
              </w:rPr>
              <w:t>Decision</w:t>
            </w:r>
          </w:p>
        </w:tc>
      </w:tr>
      <w:tr>
        <w:tc>
          <w:tcPr>
            <w:tcW w:type="dxa" w:w="2520"/>
            <w:vAlign w:val="center"/>
          </w:tcPr>
          <w:p>
            <w:r>
              <w:rPr>
                <w:sz w:val="18"/>
              </w:rPr>
            </w:r>
            <w:r>
              <w:rPr>
                <w:b w:val="0"/>
                <w:sz w:val="18"/>
              </w:rPr>
              <w:t>One-way ANOVA</w:t>
            </w:r>
          </w:p>
        </w:tc>
        <w:tc>
          <w:tcPr>
            <w:tcW w:type="dxa" w:w="2520"/>
            <w:vAlign w:val="center"/>
          </w:tcPr>
          <w:p>
            <w:r>
              <w:rPr>
                <w:sz w:val="18"/>
              </w:rPr>
            </w:r>
            <w:r>
              <w:rPr>
                <w:b w:val="0"/>
                <w:sz w:val="18"/>
              </w:rPr>
              <w:t>2.970</w:t>
            </w:r>
          </w:p>
        </w:tc>
        <w:tc>
          <w:tcPr>
            <w:tcW w:type="dxa" w:w="2520"/>
            <w:vAlign w:val="center"/>
          </w:tcPr>
          <w:p>
            <w:r>
              <w:rPr>
                <w:sz w:val="18"/>
              </w:rPr>
            </w:r>
            <w:r>
              <w:rPr>
                <w:b w:val="0"/>
                <w:sz w:val="18"/>
              </w:rPr>
              <w:t>0.0309</w:t>
            </w:r>
          </w:p>
        </w:tc>
        <w:tc>
          <w:tcPr>
            <w:tcW w:type="dxa" w:w="2520"/>
            <w:vAlign w:val="center"/>
          </w:tcPr>
          <w:p>
            <w:r>
              <w:rPr>
                <w:sz w:val="18"/>
              </w:rPr>
            </w:r>
            <w:r>
              <w:rPr>
                <w:b w:val="0"/>
                <w:sz w:val="18"/>
              </w:rPr>
              <w:t>Reject H0</w:t>
            </w:r>
          </w:p>
        </w:tc>
      </w:tr>
    </w:tbl>
    <w:p/>
    <w:p>
      <w:r>
        <w:t>Conclusion: insurance charges differed significantly by region.</w:t>
      </w:r>
    </w:p>
    <w:p>
      <w:pPr>
        <w:pStyle w:val="Heading2"/>
      </w:pPr>
      <w:r>
        <w:t>7.1 Tukey Post-Hoc Test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sz w:val="18"/>
              </w:rPr>
            </w:r>
            <w:r>
              <w:rPr>
                <w:b/>
                <w:sz w:val="18"/>
              </w:rPr>
              <w:t>Comparison</w:t>
            </w:r>
          </w:p>
        </w:tc>
        <w:tc>
          <w:tcPr>
            <w:tcW w:type="dxa" w:w="3360"/>
            <w:shd w:fill="D9EAF7"/>
          </w:tcPr>
          <w:p>
            <w:r>
              <w:rPr>
                <w:sz w:val="18"/>
              </w:rPr>
            </w:r>
            <w:r>
              <w:rPr>
                <w:b/>
                <w:sz w:val="18"/>
              </w:rPr>
              <w:t>Adjusted p-value</w:t>
            </w:r>
          </w:p>
        </w:tc>
        <w:tc>
          <w:tcPr>
            <w:tcW w:type="dxa" w:w="3360"/>
            <w:shd w:fill="D9EAF7"/>
          </w:tcPr>
          <w:p>
            <w:r>
              <w:rPr>
                <w:sz w:val="18"/>
              </w:rPr>
            </w:r>
            <w:r>
              <w:rPr>
                <w:b/>
                <w:sz w:val="18"/>
              </w:rPr>
              <w:t>Result</w:t>
            </w:r>
          </w:p>
        </w:tc>
      </w:tr>
      <w:tr>
        <w:tc>
          <w:tcPr>
            <w:tcW w:type="dxa" w:w="3360"/>
            <w:vAlign w:val="center"/>
          </w:tcPr>
          <w:p>
            <w:r>
              <w:rPr>
                <w:sz w:val="18"/>
              </w:rPr>
            </w:r>
            <w:r>
              <w:rPr>
                <w:b w:val="0"/>
                <w:sz w:val="18"/>
              </w:rPr>
              <w:t>Southwest vs Southeast</w:t>
            </w:r>
          </w:p>
        </w:tc>
        <w:tc>
          <w:tcPr>
            <w:tcW w:type="dxa" w:w="3360"/>
            <w:vAlign w:val="center"/>
          </w:tcPr>
          <w:p>
            <w:r>
              <w:rPr>
                <w:sz w:val="18"/>
              </w:rPr>
            </w:r>
            <w:r>
              <w:rPr>
                <w:b w:val="0"/>
                <w:sz w:val="18"/>
              </w:rPr>
              <w:t>0.0477</w:t>
            </w:r>
          </w:p>
        </w:tc>
        <w:tc>
          <w:tcPr>
            <w:tcW w:type="dxa" w:w="3360"/>
            <w:vAlign w:val="center"/>
          </w:tcPr>
          <w:p>
            <w:r>
              <w:rPr>
                <w:sz w:val="18"/>
              </w:rPr>
            </w:r>
            <w:r>
              <w:rPr>
                <w:b w:val="0"/>
                <w:sz w:val="18"/>
              </w:rPr>
              <w:t>Significant</w:t>
            </w:r>
          </w:p>
        </w:tc>
      </w:tr>
      <w:tr>
        <w:tc>
          <w:tcPr>
            <w:tcW w:type="dxa" w:w="3360"/>
            <w:vAlign w:val="center"/>
          </w:tcPr>
          <w:p>
            <w:r>
              <w:rPr>
                <w:sz w:val="18"/>
              </w:rPr>
            </w:r>
            <w:r>
              <w:rPr>
                <w:b w:val="0"/>
                <w:sz w:val="18"/>
              </w:rPr>
              <w:t>Southeast vs Northwest</w:t>
            </w:r>
          </w:p>
        </w:tc>
        <w:tc>
          <w:tcPr>
            <w:tcW w:type="dxa" w:w="3360"/>
            <w:vAlign w:val="center"/>
          </w:tcPr>
          <w:p>
            <w:r>
              <w:rPr>
                <w:sz w:val="18"/>
              </w:rPr>
            </w:r>
            <w:r>
              <w:rPr>
                <w:b w:val="0"/>
                <w:sz w:val="18"/>
              </w:rPr>
              <w:t>0.0583</w:t>
            </w:r>
          </w:p>
        </w:tc>
        <w:tc>
          <w:tcPr>
            <w:tcW w:type="dxa" w:w="3360"/>
            <w:vAlign w:val="center"/>
          </w:tcPr>
          <w:p>
            <w:r>
              <w:rPr>
                <w:sz w:val="18"/>
              </w:rPr>
            </w:r>
            <w:r>
              <w:rPr>
                <w:b w:val="0"/>
                <w:sz w:val="18"/>
              </w:rPr>
              <w:t>Not significant</w:t>
            </w:r>
          </w:p>
        </w:tc>
      </w:tr>
      <w:tr>
        <w:tc>
          <w:tcPr>
            <w:tcW w:type="dxa" w:w="3360"/>
            <w:vAlign w:val="center"/>
          </w:tcPr>
          <w:p>
            <w:r>
              <w:rPr>
                <w:sz w:val="18"/>
              </w:rPr>
            </w:r>
            <w:r>
              <w:rPr>
                <w:b w:val="0"/>
                <w:sz w:val="18"/>
              </w:rPr>
              <w:t>Other comparisons</w:t>
            </w:r>
          </w:p>
        </w:tc>
        <w:tc>
          <w:tcPr>
            <w:tcW w:type="dxa" w:w="3360"/>
            <w:vAlign w:val="center"/>
          </w:tcPr>
          <w:p>
            <w:r>
              <w:rPr>
                <w:sz w:val="18"/>
              </w:rPr>
            </w:r>
            <w:r>
              <w:rPr>
                <w:b w:val="0"/>
                <w:sz w:val="18"/>
              </w:rPr>
              <w:t>&gt; 0.05</w:t>
            </w:r>
          </w:p>
        </w:tc>
        <w:tc>
          <w:tcPr>
            <w:tcW w:type="dxa" w:w="3360"/>
            <w:vAlign w:val="center"/>
          </w:tcPr>
          <w:p>
            <w:r>
              <w:rPr>
                <w:sz w:val="18"/>
              </w:rPr>
            </w:r>
            <w:r>
              <w:rPr>
                <w:b w:val="0"/>
                <w:sz w:val="18"/>
              </w:rPr>
              <w:t>Not significant</w:t>
            </w:r>
          </w:p>
        </w:tc>
      </w:tr>
    </w:tbl>
    <w:p/>
    <w:p>
      <w:r>
        <w:t>The only significant pairwise regional difference was between Southeast and Southwest. The Southeast region had significantly higher average charges than the Southwest region.</w:t>
      </w:r>
    </w:p>
    <w:p>
      <w:pPr>
        <w:pStyle w:val="Heading2"/>
      </w:pPr>
      <w:r>
        <w:t>7.2 ANOVA Assumption Checks</w:t>
      </w:r>
    </w:p>
    <w:p>
      <w:r>
        <w:drawing>
          <wp:inline xmlns:a="http://schemas.openxmlformats.org/drawingml/2006/main" xmlns:pic="http://schemas.openxmlformats.org/drawingml/2006/picture">
            <wp:extent cx="5394960" cy="2965695"/>
            <wp:docPr id="6" name="Picture 6"/>
            <wp:cNvGraphicFramePr>
              <a:graphicFrameLocks noChangeAspect="1"/>
            </wp:cNvGraphicFramePr>
            <a:graphic>
              <a:graphicData uri="http://schemas.openxmlformats.org/drawingml/2006/picture">
                <pic:pic>
                  <pic:nvPicPr>
                    <pic:cNvPr id="0" name="06_anova_resid.png"/>
                    <pic:cNvPicPr/>
                  </pic:nvPicPr>
                  <pic:blipFill>
                    <a:blip r:embed="rId14"/>
                    <a:stretch>
                      <a:fillRect/>
                    </a:stretch>
                  </pic:blipFill>
                  <pic:spPr>
                    <a:xfrm>
                      <a:off x="0" y="0"/>
                      <a:ext cx="5394960" cy="2965695"/>
                    </a:xfrm>
                    <a:prstGeom prst="rect"/>
                  </pic:spPr>
                </pic:pic>
              </a:graphicData>
            </a:graphic>
          </wp:inline>
        </w:drawing>
      </w:r>
    </w:p>
    <w:p>
      <w:pPr>
        <w:pStyle w:val="Caption"/>
        <w:jc w:val="center"/>
      </w:pPr>
      <w:r>
        <w:t>Figure 6. ANOVA residuals versus fitted values.</w:t>
      </w:r>
    </w:p>
    <w:p>
      <w:r>
        <w:drawing>
          <wp:inline xmlns:a="http://schemas.openxmlformats.org/drawingml/2006/main" xmlns:pic="http://schemas.openxmlformats.org/drawingml/2006/picture">
            <wp:extent cx="5394960" cy="2967803"/>
            <wp:docPr id="7" name="Picture 7"/>
            <wp:cNvGraphicFramePr>
              <a:graphicFrameLocks noChangeAspect="1"/>
            </wp:cNvGraphicFramePr>
            <a:graphic>
              <a:graphicData uri="http://schemas.openxmlformats.org/drawingml/2006/picture">
                <pic:pic>
                  <pic:nvPicPr>
                    <pic:cNvPr id="0" name="07_anova_qq.png"/>
                    <pic:cNvPicPr/>
                  </pic:nvPicPr>
                  <pic:blipFill>
                    <a:blip r:embed="rId15"/>
                    <a:stretch>
                      <a:fillRect/>
                    </a:stretch>
                  </pic:blipFill>
                  <pic:spPr>
                    <a:xfrm>
                      <a:off x="0" y="0"/>
                      <a:ext cx="5394960" cy="2967803"/>
                    </a:xfrm>
                    <a:prstGeom prst="rect"/>
                  </pic:spPr>
                </pic:pic>
              </a:graphicData>
            </a:graphic>
          </wp:inline>
        </w:drawing>
      </w:r>
    </w:p>
    <w:p>
      <w:pPr>
        <w:pStyle w:val="Caption"/>
        <w:jc w:val="center"/>
      </w:pPr>
      <w:r>
        <w:t>Figure 7. ANOVA Q-Q residual plot.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sz w:val="18"/>
              </w:rPr>
            </w:r>
            <w:r>
              <w:rPr>
                <w:b/>
                <w:sz w:val="18"/>
              </w:rPr>
              <w:t>Assumption</w:t>
            </w:r>
          </w:p>
        </w:tc>
        <w:tc>
          <w:tcPr>
            <w:tcW w:type="dxa" w:w="3360"/>
            <w:shd w:fill="D9EAF7"/>
          </w:tcPr>
          <w:p>
            <w:r>
              <w:rPr>
                <w:sz w:val="18"/>
              </w:rPr>
            </w:r>
            <w:r>
              <w:rPr>
                <w:b/>
                <w:sz w:val="18"/>
              </w:rPr>
              <w:t>Result</w:t>
            </w:r>
          </w:p>
        </w:tc>
        <w:tc>
          <w:tcPr>
            <w:tcW w:type="dxa" w:w="3360"/>
            <w:shd w:fill="D9EAF7"/>
          </w:tcPr>
          <w:p>
            <w:r>
              <w:rPr>
                <w:sz w:val="18"/>
              </w:rPr>
            </w:r>
            <w:r>
              <w:rPr>
                <w:b/>
                <w:sz w:val="18"/>
              </w:rPr>
              <w:t>Interpretation</w:t>
            </w:r>
          </w:p>
        </w:tc>
      </w:tr>
      <w:tr>
        <w:tc>
          <w:tcPr>
            <w:tcW w:type="dxa" w:w="3360"/>
            <w:vAlign w:val="center"/>
          </w:tcPr>
          <w:p>
            <w:r>
              <w:rPr>
                <w:sz w:val="18"/>
              </w:rPr>
            </w:r>
            <w:r>
              <w:rPr>
                <w:b w:val="0"/>
                <w:sz w:val="18"/>
              </w:rPr>
              <w:t>Residual pattern</w:t>
            </w:r>
          </w:p>
        </w:tc>
        <w:tc>
          <w:tcPr>
            <w:tcW w:type="dxa" w:w="3360"/>
            <w:vAlign w:val="center"/>
          </w:tcPr>
          <w:p>
            <w:r>
              <w:rPr>
                <w:sz w:val="18"/>
              </w:rPr>
            </w:r>
            <w:r>
              <w:rPr>
                <w:b w:val="0"/>
                <w:sz w:val="18"/>
              </w:rPr>
              <w:t>Uneven spread in residual plot</w:t>
            </w:r>
          </w:p>
        </w:tc>
        <w:tc>
          <w:tcPr>
            <w:tcW w:type="dxa" w:w="3360"/>
            <w:vAlign w:val="center"/>
          </w:tcPr>
          <w:p>
            <w:r>
              <w:rPr>
                <w:sz w:val="18"/>
              </w:rPr>
            </w:r>
            <w:r>
              <w:rPr>
                <w:b w:val="0"/>
                <w:sz w:val="18"/>
              </w:rPr>
              <w:t>Possible unequal variance</w:t>
            </w:r>
          </w:p>
        </w:tc>
      </w:tr>
      <w:tr>
        <w:tc>
          <w:tcPr>
            <w:tcW w:type="dxa" w:w="3360"/>
            <w:vAlign w:val="center"/>
          </w:tcPr>
          <w:p>
            <w:r>
              <w:rPr>
                <w:sz w:val="18"/>
              </w:rPr>
            </w:r>
            <w:r>
              <w:rPr>
                <w:b w:val="0"/>
                <w:sz w:val="18"/>
              </w:rPr>
              <w:t>Normality of residuals</w:t>
            </w:r>
          </w:p>
        </w:tc>
        <w:tc>
          <w:tcPr>
            <w:tcW w:type="dxa" w:w="3360"/>
            <w:vAlign w:val="center"/>
          </w:tcPr>
          <w:p>
            <w:r>
              <w:rPr>
                <w:sz w:val="18"/>
              </w:rPr>
            </w:r>
            <w:r>
              <w:rPr>
                <w:b w:val="0"/>
                <w:sz w:val="18"/>
              </w:rPr>
              <w:t>Shapiro p &lt; 2.2e-16</w:t>
            </w:r>
          </w:p>
        </w:tc>
        <w:tc>
          <w:tcPr>
            <w:tcW w:type="dxa" w:w="3360"/>
            <w:vAlign w:val="center"/>
          </w:tcPr>
          <w:p>
            <w:r>
              <w:rPr>
                <w:sz w:val="18"/>
              </w:rPr>
            </w:r>
            <w:r>
              <w:rPr>
                <w:b w:val="0"/>
                <w:sz w:val="18"/>
              </w:rPr>
              <w:t>Not fully met</w:t>
            </w:r>
          </w:p>
        </w:tc>
      </w:tr>
      <w:tr>
        <w:tc>
          <w:tcPr>
            <w:tcW w:type="dxa" w:w="3360"/>
            <w:vAlign w:val="center"/>
          </w:tcPr>
          <w:p>
            <w:r>
              <w:rPr>
                <w:sz w:val="18"/>
              </w:rPr>
            </w:r>
            <w:r>
              <w:rPr>
                <w:b w:val="0"/>
                <w:sz w:val="18"/>
              </w:rPr>
              <w:t>Equal variance</w:t>
            </w:r>
          </w:p>
        </w:tc>
        <w:tc>
          <w:tcPr>
            <w:tcW w:type="dxa" w:w="3360"/>
            <w:vAlign w:val="center"/>
          </w:tcPr>
          <w:p>
            <w:r>
              <w:rPr>
                <w:sz w:val="18"/>
              </w:rPr>
            </w:r>
            <w:r>
              <w:rPr>
                <w:b w:val="0"/>
                <w:sz w:val="18"/>
              </w:rPr>
              <w:t>Bartlett p = 1.009e-05</w:t>
            </w:r>
          </w:p>
        </w:tc>
        <w:tc>
          <w:tcPr>
            <w:tcW w:type="dxa" w:w="3360"/>
            <w:vAlign w:val="center"/>
          </w:tcPr>
          <w:p>
            <w:r>
              <w:rPr>
                <w:sz w:val="18"/>
              </w:rPr>
            </w:r>
            <w:r>
              <w:rPr>
                <w:b w:val="0"/>
                <w:sz w:val="18"/>
              </w:rPr>
              <w:t>Not met</w:t>
            </w:r>
          </w:p>
        </w:tc>
      </w:tr>
    </w:tbl>
    <w:p/>
    <w:p>
      <w:r>
        <w:t>Because the ANOVA assumptions were not fully met, the ANOVA result should be interpreted with caution.</w:t>
      </w:r>
    </w:p>
    <w:p>
      <w:pPr>
        <w:pStyle w:val="Heading1"/>
      </w:pPr>
      <w:r>
        <w:t>8. ANCOVA: Smoking Status Controlling for BMI</w:t>
      </w:r>
    </w:p>
    <w:p>
      <w:r>
        <w:t>The ANCOVA tested whether smoking status affects insurance charges after controlling for BMI. The dependent variable was charges, the categorical independent variable was smoker, and the covariate was BMI.</w:t>
      </w:r>
    </w:p>
    <w:p>
      <w:r>
        <w:drawing>
          <wp:inline xmlns:a="http://schemas.openxmlformats.org/drawingml/2006/main" xmlns:pic="http://schemas.openxmlformats.org/drawingml/2006/picture">
            <wp:extent cx="5394960" cy="2819784"/>
            <wp:docPr id="8" name="Picture 8"/>
            <wp:cNvGraphicFramePr>
              <a:graphicFrameLocks noChangeAspect="1"/>
            </wp:cNvGraphicFramePr>
            <a:graphic>
              <a:graphicData uri="http://schemas.openxmlformats.org/drawingml/2006/picture">
                <pic:pic>
                  <pic:nvPicPr>
                    <pic:cNvPr id="0" name="08_ancova_scatter.png"/>
                    <pic:cNvPicPr/>
                  </pic:nvPicPr>
                  <pic:blipFill>
                    <a:blip r:embed="rId16"/>
                    <a:stretch>
                      <a:fillRect/>
                    </a:stretch>
                  </pic:blipFill>
                  <pic:spPr>
                    <a:xfrm>
                      <a:off x="0" y="0"/>
                      <a:ext cx="5394960" cy="2819784"/>
                    </a:xfrm>
                    <a:prstGeom prst="rect"/>
                  </pic:spPr>
                </pic:pic>
              </a:graphicData>
            </a:graphic>
          </wp:inline>
        </w:drawing>
      </w:r>
    </w:p>
    <w:p>
      <w:pPr>
        <w:pStyle w:val="Caption"/>
        <w:jc w:val="center"/>
      </w:pPr>
      <w:r>
        <w:t>Figure 8. BMI and insurance charges by smoking status.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sz w:val="18"/>
              </w:rPr>
            </w:r>
            <w:r>
              <w:rPr>
                <w:b/>
                <w:sz w:val="18"/>
              </w:rPr>
              <w:t>Variable</w:t>
            </w:r>
          </w:p>
        </w:tc>
        <w:tc>
          <w:tcPr>
            <w:tcW w:type="dxa" w:w="2520"/>
            <w:shd w:fill="D9EAF7"/>
          </w:tcPr>
          <w:p>
            <w:r>
              <w:rPr>
                <w:sz w:val="18"/>
              </w:rPr>
            </w:r>
            <w:r>
              <w:rPr>
                <w:b/>
                <w:sz w:val="18"/>
              </w:rPr>
              <w:t>F-value</w:t>
            </w:r>
          </w:p>
        </w:tc>
        <w:tc>
          <w:tcPr>
            <w:tcW w:type="dxa" w:w="2520"/>
            <w:shd w:fill="D9EAF7"/>
          </w:tcPr>
          <w:p>
            <w:r>
              <w:rPr>
                <w:sz w:val="18"/>
              </w:rPr>
            </w:r>
            <w:r>
              <w:rPr>
                <w:b/>
                <w:sz w:val="18"/>
              </w:rPr>
              <w:t>p-value</w:t>
            </w:r>
          </w:p>
        </w:tc>
        <w:tc>
          <w:tcPr>
            <w:tcW w:type="dxa" w:w="2520"/>
            <w:shd w:fill="D9EAF7"/>
          </w:tcPr>
          <w:p>
            <w:r>
              <w:rPr>
                <w:sz w:val="18"/>
              </w:rPr>
            </w:r>
            <w:r>
              <w:rPr>
                <w:b/>
                <w:sz w:val="18"/>
              </w:rPr>
              <w:t>Result</w:t>
            </w:r>
          </w:p>
        </w:tc>
      </w:tr>
      <w:tr>
        <w:tc>
          <w:tcPr>
            <w:tcW w:type="dxa" w:w="2520"/>
            <w:vAlign w:val="center"/>
          </w:tcPr>
          <w:p>
            <w:r>
              <w:rPr>
                <w:sz w:val="18"/>
              </w:rPr>
            </w:r>
            <w:r>
              <w:rPr>
                <w:b w:val="0"/>
                <w:sz w:val="18"/>
              </w:rPr>
              <w:t>Smoker</w:t>
            </w:r>
          </w:p>
        </w:tc>
        <w:tc>
          <w:tcPr>
            <w:tcW w:type="dxa" w:w="2520"/>
            <w:vAlign w:val="center"/>
          </w:tcPr>
          <w:p>
            <w:r>
              <w:rPr>
                <w:sz w:val="18"/>
              </w:rPr>
            </w:r>
            <w:r>
              <w:rPr>
                <w:b w:val="0"/>
                <w:sz w:val="18"/>
              </w:rPr>
              <w:t>2419</w:t>
            </w:r>
          </w:p>
        </w:tc>
        <w:tc>
          <w:tcPr>
            <w:tcW w:type="dxa" w:w="2520"/>
            <w:vAlign w:val="center"/>
          </w:tcPr>
          <w:p>
            <w:r>
              <w:rPr>
                <w:sz w:val="18"/>
              </w:rPr>
            </w:r>
            <w:r>
              <w:rPr>
                <w:b w:val="0"/>
                <w:sz w:val="18"/>
              </w:rPr>
              <w:t>&lt; 2e-16</w:t>
            </w:r>
          </w:p>
        </w:tc>
        <w:tc>
          <w:tcPr>
            <w:tcW w:type="dxa" w:w="2520"/>
            <w:vAlign w:val="center"/>
          </w:tcPr>
          <w:p>
            <w:r>
              <w:rPr>
                <w:sz w:val="18"/>
              </w:rPr>
            </w:r>
            <w:r>
              <w:rPr>
                <w:b w:val="0"/>
                <w:sz w:val="18"/>
              </w:rPr>
              <w:t>Significant</w:t>
            </w:r>
          </w:p>
        </w:tc>
      </w:tr>
      <w:tr>
        <w:tc>
          <w:tcPr>
            <w:tcW w:type="dxa" w:w="2520"/>
            <w:vAlign w:val="center"/>
          </w:tcPr>
          <w:p>
            <w:r>
              <w:rPr>
                <w:sz w:val="18"/>
              </w:rPr>
            </w:r>
            <w:r>
              <w:rPr>
                <w:b w:val="0"/>
                <w:sz w:val="18"/>
              </w:rPr>
              <w:t>BMI</w:t>
            </w:r>
          </w:p>
        </w:tc>
        <w:tc>
          <w:tcPr>
            <w:tcW w:type="dxa" w:w="2520"/>
            <w:vAlign w:val="center"/>
          </w:tcPr>
          <w:p>
            <w:r>
              <w:rPr>
                <w:sz w:val="18"/>
              </w:rPr>
            </w:r>
            <w:r>
              <w:rPr>
                <w:b w:val="0"/>
                <w:sz w:val="18"/>
              </w:rPr>
              <w:t>149</w:t>
            </w:r>
          </w:p>
        </w:tc>
        <w:tc>
          <w:tcPr>
            <w:tcW w:type="dxa" w:w="2520"/>
            <w:vAlign w:val="center"/>
          </w:tcPr>
          <w:p>
            <w:r>
              <w:rPr>
                <w:sz w:val="18"/>
              </w:rPr>
            </w:r>
            <w:r>
              <w:rPr>
                <w:b w:val="0"/>
                <w:sz w:val="18"/>
              </w:rPr>
              <w:t>&lt; 2e-16</w:t>
            </w:r>
          </w:p>
        </w:tc>
        <w:tc>
          <w:tcPr>
            <w:tcW w:type="dxa" w:w="2520"/>
            <w:vAlign w:val="center"/>
          </w:tcPr>
          <w:p>
            <w:r>
              <w:rPr>
                <w:sz w:val="18"/>
              </w:rPr>
            </w:r>
            <w:r>
              <w:rPr>
                <w:b w:val="0"/>
                <w:sz w:val="18"/>
              </w:rPr>
              <w:t>Significant</w:t>
            </w:r>
          </w:p>
        </w:tc>
      </w:tr>
    </w:tbl>
    <w:p/>
    <w:p>
      <w:r>
        <w:t>Conclusion: smoking status and BMI both significantly affected insurance charges.</w:t>
      </w:r>
    </w:p>
    <w:p>
      <w:pPr>
        <w:pStyle w:val="Heading2"/>
      </w:pPr>
      <w:r>
        <w:t>8.1 ANCOVA Assumption Checks</w:t>
      </w:r>
    </w:p>
    <w:p>
      <w:r>
        <w:drawing>
          <wp:inline xmlns:a="http://schemas.openxmlformats.org/drawingml/2006/main" xmlns:pic="http://schemas.openxmlformats.org/drawingml/2006/picture">
            <wp:extent cx="5394960" cy="2965695"/>
            <wp:docPr id="9" name="Picture 9"/>
            <wp:cNvGraphicFramePr>
              <a:graphicFrameLocks noChangeAspect="1"/>
            </wp:cNvGraphicFramePr>
            <a:graphic>
              <a:graphicData uri="http://schemas.openxmlformats.org/drawingml/2006/picture">
                <pic:pic>
                  <pic:nvPicPr>
                    <pic:cNvPr id="0" name="09_ancova_resid.png"/>
                    <pic:cNvPicPr/>
                  </pic:nvPicPr>
                  <pic:blipFill>
                    <a:blip r:embed="rId17"/>
                    <a:stretch>
                      <a:fillRect/>
                    </a:stretch>
                  </pic:blipFill>
                  <pic:spPr>
                    <a:xfrm>
                      <a:off x="0" y="0"/>
                      <a:ext cx="5394960" cy="2965695"/>
                    </a:xfrm>
                    <a:prstGeom prst="rect"/>
                  </pic:spPr>
                </pic:pic>
              </a:graphicData>
            </a:graphic>
          </wp:inline>
        </w:drawing>
      </w:r>
    </w:p>
    <w:p>
      <w:pPr>
        <w:pStyle w:val="Caption"/>
        <w:jc w:val="center"/>
      </w:pPr>
      <w:r>
        <w:t>Figure 9. ANCOVA residuals versus fitted values.</w:t>
      </w:r>
    </w:p>
    <w:p>
      <w:r>
        <w:drawing>
          <wp:inline xmlns:a="http://schemas.openxmlformats.org/drawingml/2006/main" xmlns:pic="http://schemas.openxmlformats.org/drawingml/2006/picture">
            <wp:extent cx="5394960" cy="2967803"/>
            <wp:docPr id="10" name="Picture 10"/>
            <wp:cNvGraphicFramePr>
              <a:graphicFrameLocks noChangeAspect="1"/>
            </wp:cNvGraphicFramePr>
            <a:graphic>
              <a:graphicData uri="http://schemas.openxmlformats.org/drawingml/2006/picture">
                <pic:pic>
                  <pic:nvPicPr>
                    <pic:cNvPr id="0" name="10_ancova_qq.png"/>
                    <pic:cNvPicPr/>
                  </pic:nvPicPr>
                  <pic:blipFill>
                    <a:blip r:embed="rId18"/>
                    <a:stretch>
                      <a:fillRect/>
                    </a:stretch>
                  </pic:blipFill>
                  <pic:spPr>
                    <a:xfrm>
                      <a:off x="0" y="0"/>
                      <a:ext cx="5394960" cy="2967803"/>
                    </a:xfrm>
                    <a:prstGeom prst="rect"/>
                  </pic:spPr>
                </pic:pic>
              </a:graphicData>
            </a:graphic>
          </wp:inline>
        </w:drawing>
      </w:r>
    </w:p>
    <w:p>
      <w:pPr>
        <w:pStyle w:val="Caption"/>
        <w:jc w:val="center"/>
      </w:pPr>
      <w:r>
        <w:t>Figure 10. ANCOVA Q-Q residual plot.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sz w:val="18"/>
              </w:rPr>
            </w:r>
            <w:r>
              <w:rPr>
                <w:b/>
                <w:sz w:val="18"/>
              </w:rPr>
              <w:t>Assumption</w:t>
            </w:r>
          </w:p>
        </w:tc>
        <w:tc>
          <w:tcPr>
            <w:tcW w:type="dxa" w:w="3360"/>
            <w:shd w:fill="D9EAF7"/>
          </w:tcPr>
          <w:p>
            <w:r>
              <w:rPr>
                <w:sz w:val="18"/>
              </w:rPr>
            </w:r>
            <w:r>
              <w:rPr>
                <w:b/>
                <w:sz w:val="18"/>
              </w:rPr>
              <w:t>Result</w:t>
            </w:r>
          </w:p>
        </w:tc>
        <w:tc>
          <w:tcPr>
            <w:tcW w:type="dxa" w:w="3360"/>
            <w:shd w:fill="D9EAF7"/>
          </w:tcPr>
          <w:p>
            <w:r>
              <w:rPr>
                <w:sz w:val="18"/>
              </w:rPr>
            </w:r>
            <w:r>
              <w:rPr>
                <w:b/>
                <w:sz w:val="18"/>
              </w:rPr>
              <w:t>Interpretation</w:t>
            </w:r>
          </w:p>
        </w:tc>
      </w:tr>
      <w:tr>
        <w:tc>
          <w:tcPr>
            <w:tcW w:type="dxa" w:w="3360"/>
            <w:vAlign w:val="center"/>
          </w:tcPr>
          <w:p>
            <w:r>
              <w:rPr>
                <w:sz w:val="18"/>
              </w:rPr>
            </w:r>
            <w:r>
              <w:rPr>
                <w:b w:val="0"/>
                <w:sz w:val="18"/>
              </w:rPr>
              <w:t>Homogeneity of slopes</w:t>
            </w:r>
          </w:p>
        </w:tc>
        <w:tc>
          <w:tcPr>
            <w:tcW w:type="dxa" w:w="3360"/>
            <w:vAlign w:val="center"/>
          </w:tcPr>
          <w:p>
            <w:r>
              <w:rPr>
                <w:sz w:val="18"/>
              </w:rPr>
            </w:r>
            <w:r>
              <w:rPr>
                <w:b w:val="0"/>
                <w:sz w:val="18"/>
              </w:rPr>
              <w:t>Smoker x BMI interaction p &lt; 2e-16</w:t>
            </w:r>
          </w:p>
        </w:tc>
        <w:tc>
          <w:tcPr>
            <w:tcW w:type="dxa" w:w="3360"/>
            <w:vAlign w:val="center"/>
          </w:tcPr>
          <w:p>
            <w:r>
              <w:rPr>
                <w:sz w:val="18"/>
              </w:rPr>
            </w:r>
            <w:r>
              <w:rPr>
                <w:b w:val="0"/>
                <w:sz w:val="18"/>
              </w:rPr>
              <w:t>Equal slopes not met</w:t>
            </w:r>
          </w:p>
        </w:tc>
      </w:tr>
      <w:tr>
        <w:tc>
          <w:tcPr>
            <w:tcW w:type="dxa" w:w="3360"/>
            <w:vAlign w:val="center"/>
          </w:tcPr>
          <w:p>
            <w:r>
              <w:rPr>
                <w:sz w:val="18"/>
              </w:rPr>
            </w:r>
            <w:r>
              <w:rPr>
                <w:b w:val="0"/>
                <w:sz w:val="18"/>
              </w:rPr>
              <w:t>Residual pattern</w:t>
            </w:r>
          </w:p>
        </w:tc>
        <w:tc>
          <w:tcPr>
            <w:tcW w:type="dxa" w:w="3360"/>
            <w:vAlign w:val="center"/>
          </w:tcPr>
          <w:p>
            <w:r>
              <w:rPr>
                <w:sz w:val="18"/>
              </w:rPr>
            </w:r>
            <w:r>
              <w:rPr>
                <w:b w:val="0"/>
                <w:sz w:val="18"/>
              </w:rPr>
              <w:t>Pattern visible in residual plot</w:t>
            </w:r>
          </w:p>
        </w:tc>
        <w:tc>
          <w:tcPr>
            <w:tcW w:type="dxa" w:w="3360"/>
            <w:vAlign w:val="center"/>
          </w:tcPr>
          <w:p>
            <w:r>
              <w:rPr>
                <w:sz w:val="18"/>
              </w:rPr>
            </w:r>
            <w:r>
              <w:rPr>
                <w:b w:val="0"/>
                <w:sz w:val="18"/>
              </w:rPr>
              <w:t>Constant variance not fully met</w:t>
            </w:r>
          </w:p>
        </w:tc>
      </w:tr>
      <w:tr>
        <w:tc>
          <w:tcPr>
            <w:tcW w:type="dxa" w:w="3360"/>
            <w:vAlign w:val="center"/>
          </w:tcPr>
          <w:p>
            <w:r>
              <w:rPr>
                <w:sz w:val="18"/>
              </w:rPr>
            </w:r>
            <w:r>
              <w:rPr>
                <w:b w:val="0"/>
                <w:sz w:val="18"/>
              </w:rPr>
              <w:t>Normality of residuals</w:t>
            </w:r>
          </w:p>
        </w:tc>
        <w:tc>
          <w:tcPr>
            <w:tcW w:type="dxa" w:w="3360"/>
            <w:vAlign w:val="center"/>
          </w:tcPr>
          <w:p>
            <w:r>
              <w:rPr>
                <w:sz w:val="18"/>
              </w:rPr>
            </w:r>
            <w:r>
              <w:rPr>
                <w:b w:val="0"/>
                <w:sz w:val="18"/>
              </w:rPr>
              <w:t>Shapiro p &lt; 2.2e-16</w:t>
            </w:r>
          </w:p>
        </w:tc>
        <w:tc>
          <w:tcPr>
            <w:tcW w:type="dxa" w:w="3360"/>
            <w:vAlign w:val="center"/>
          </w:tcPr>
          <w:p>
            <w:r>
              <w:rPr>
                <w:sz w:val="18"/>
              </w:rPr>
            </w:r>
            <w:r>
              <w:rPr>
                <w:b w:val="0"/>
                <w:sz w:val="18"/>
              </w:rPr>
              <w:t>Not fully met</w:t>
            </w:r>
          </w:p>
        </w:tc>
      </w:tr>
    </w:tbl>
    <w:p/>
    <w:p>
      <w:r>
        <w:t>The significant smoker x BMI interaction means the relationship between BMI and charges differs between smokers and non-smokers. Therefore, the equal slopes assumption was not met, and the interaction is important to mention when interpreting the ANCOVA results.</w:t>
      </w:r>
    </w:p>
    <w:p>
      <w:pPr>
        <w:pStyle w:val="Heading1"/>
      </w:pPr>
      <w:r>
        <w:t>9. Chi-Square Test: Smoker and Region</w:t>
      </w:r>
    </w:p>
    <w:p>
      <w:r>
        <w:t>Hypotheses: H0: smoker status and region are independent. Ha: smoker status and region are related.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sz w:val="18"/>
              </w:rPr>
            </w:r>
            <w:r>
              <w:rPr>
                <w:b/>
                <w:sz w:val="18"/>
              </w:rPr>
              <w:t>Smoker</w:t>
            </w:r>
          </w:p>
        </w:tc>
        <w:tc>
          <w:tcPr>
            <w:tcW w:type="dxa" w:w="2016"/>
            <w:shd w:fill="D9EAF7"/>
          </w:tcPr>
          <w:p>
            <w:r>
              <w:rPr>
                <w:sz w:val="18"/>
              </w:rPr>
            </w:r>
            <w:r>
              <w:rPr>
                <w:b/>
                <w:sz w:val="18"/>
              </w:rPr>
              <w:t>Northeast</w:t>
            </w:r>
          </w:p>
        </w:tc>
        <w:tc>
          <w:tcPr>
            <w:tcW w:type="dxa" w:w="2016"/>
            <w:shd w:fill="D9EAF7"/>
          </w:tcPr>
          <w:p>
            <w:r>
              <w:rPr>
                <w:sz w:val="18"/>
              </w:rPr>
            </w:r>
            <w:r>
              <w:rPr>
                <w:b/>
                <w:sz w:val="18"/>
              </w:rPr>
              <w:t>Northwest</w:t>
            </w:r>
          </w:p>
        </w:tc>
        <w:tc>
          <w:tcPr>
            <w:tcW w:type="dxa" w:w="2016"/>
            <w:shd w:fill="D9EAF7"/>
          </w:tcPr>
          <w:p>
            <w:r>
              <w:rPr>
                <w:sz w:val="18"/>
              </w:rPr>
            </w:r>
            <w:r>
              <w:rPr>
                <w:b/>
                <w:sz w:val="18"/>
              </w:rPr>
              <w:t>Southeast</w:t>
            </w:r>
          </w:p>
        </w:tc>
        <w:tc>
          <w:tcPr>
            <w:tcW w:type="dxa" w:w="2016"/>
            <w:shd w:fill="D9EAF7"/>
          </w:tcPr>
          <w:p>
            <w:r>
              <w:rPr>
                <w:sz w:val="18"/>
              </w:rPr>
            </w:r>
            <w:r>
              <w:rPr>
                <w:b/>
                <w:sz w:val="18"/>
              </w:rPr>
              <w:t>Southwest</w:t>
            </w:r>
          </w:p>
        </w:tc>
      </w:tr>
      <w:tr>
        <w:tc>
          <w:tcPr>
            <w:tcW w:type="dxa" w:w="2016"/>
            <w:vAlign w:val="center"/>
          </w:tcPr>
          <w:p>
            <w:r>
              <w:rPr>
                <w:sz w:val="18"/>
              </w:rPr>
            </w:r>
            <w:r>
              <w:rPr>
                <w:b w:val="0"/>
                <w:sz w:val="18"/>
              </w:rPr>
              <w:t>no</w:t>
            </w:r>
          </w:p>
        </w:tc>
        <w:tc>
          <w:tcPr>
            <w:tcW w:type="dxa" w:w="2016"/>
            <w:vAlign w:val="center"/>
          </w:tcPr>
          <w:p>
            <w:r>
              <w:rPr>
                <w:sz w:val="18"/>
              </w:rPr>
            </w:r>
            <w:r>
              <w:rPr>
                <w:b w:val="0"/>
                <w:sz w:val="18"/>
              </w:rPr>
              <w:t>257</w:t>
            </w:r>
          </w:p>
        </w:tc>
        <w:tc>
          <w:tcPr>
            <w:tcW w:type="dxa" w:w="2016"/>
            <w:vAlign w:val="center"/>
          </w:tcPr>
          <w:p>
            <w:r>
              <w:rPr>
                <w:sz w:val="18"/>
              </w:rPr>
            </w:r>
            <w:r>
              <w:rPr>
                <w:b w:val="0"/>
                <w:sz w:val="18"/>
              </w:rPr>
              <w:t>267</w:t>
            </w:r>
          </w:p>
        </w:tc>
        <w:tc>
          <w:tcPr>
            <w:tcW w:type="dxa" w:w="2016"/>
            <w:vAlign w:val="center"/>
          </w:tcPr>
          <w:p>
            <w:r>
              <w:rPr>
                <w:sz w:val="18"/>
              </w:rPr>
            </w:r>
            <w:r>
              <w:rPr>
                <w:b w:val="0"/>
                <w:sz w:val="18"/>
              </w:rPr>
              <w:t>273</w:t>
            </w:r>
          </w:p>
        </w:tc>
        <w:tc>
          <w:tcPr>
            <w:tcW w:type="dxa" w:w="2016"/>
            <w:vAlign w:val="center"/>
          </w:tcPr>
          <w:p>
            <w:r>
              <w:rPr>
                <w:sz w:val="18"/>
              </w:rPr>
            </w:r>
            <w:r>
              <w:rPr>
                <w:b w:val="0"/>
                <w:sz w:val="18"/>
              </w:rPr>
              <w:t>267</w:t>
            </w:r>
          </w:p>
        </w:tc>
      </w:tr>
      <w:tr>
        <w:tc>
          <w:tcPr>
            <w:tcW w:type="dxa" w:w="2016"/>
            <w:vAlign w:val="center"/>
          </w:tcPr>
          <w:p>
            <w:r>
              <w:rPr>
                <w:sz w:val="18"/>
              </w:rPr>
            </w:r>
            <w:r>
              <w:rPr>
                <w:b w:val="0"/>
                <w:sz w:val="18"/>
              </w:rPr>
              <w:t>yes</w:t>
            </w:r>
          </w:p>
        </w:tc>
        <w:tc>
          <w:tcPr>
            <w:tcW w:type="dxa" w:w="2016"/>
            <w:vAlign w:val="center"/>
          </w:tcPr>
          <w:p>
            <w:r>
              <w:rPr>
                <w:sz w:val="18"/>
              </w:rPr>
            </w:r>
            <w:r>
              <w:rPr>
                <w:b w:val="0"/>
                <w:sz w:val="18"/>
              </w:rPr>
              <w:t>67</w:t>
            </w:r>
          </w:p>
        </w:tc>
        <w:tc>
          <w:tcPr>
            <w:tcW w:type="dxa" w:w="2016"/>
            <w:vAlign w:val="center"/>
          </w:tcPr>
          <w:p>
            <w:r>
              <w:rPr>
                <w:sz w:val="18"/>
              </w:rPr>
            </w:r>
            <w:r>
              <w:rPr>
                <w:b w:val="0"/>
                <w:sz w:val="18"/>
              </w:rPr>
              <w:t>58</w:t>
            </w:r>
          </w:p>
        </w:tc>
        <w:tc>
          <w:tcPr>
            <w:tcW w:type="dxa" w:w="2016"/>
            <w:vAlign w:val="center"/>
          </w:tcPr>
          <w:p>
            <w:r>
              <w:rPr>
                <w:sz w:val="18"/>
              </w:rPr>
            </w:r>
            <w:r>
              <w:rPr>
                <w:b w:val="0"/>
                <w:sz w:val="18"/>
              </w:rPr>
              <w:t>91</w:t>
            </w:r>
          </w:p>
        </w:tc>
        <w:tc>
          <w:tcPr>
            <w:tcW w:type="dxa" w:w="2016"/>
            <w:vAlign w:val="center"/>
          </w:tcPr>
          <w:p>
            <w:r>
              <w:rPr>
                <w:sz w:val="18"/>
              </w:rPr>
            </w:r>
            <w:r>
              <w:rPr>
                <w:b w:val="0"/>
                <w:sz w:val="18"/>
              </w:rPr>
              <w:t>58</w:t>
            </w:r>
          </w:p>
        </w:tc>
      </w:tr>
    </w:tbl>
    <w:p/>
    <w:p>
      <w:r>
        <w:drawing>
          <wp:inline xmlns:a="http://schemas.openxmlformats.org/drawingml/2006/main" xmlns:pic="http://schemas.openxmlformats.org/drawingml/2006/picture">
            <wp:extent cx="5394960" cy="2812989"/>
            <wp:docPr id="11" name="Picture 11"/>
            <wp:cNvGraphicFramePr>
              <a:graphicFrameLocks noChangeAspect="1"/>
            </wp:cNvGraphicFramePr>
            <a:graphic>
              <a:graphicData uri="http://schemas.openxmlformats.org/drawingml/2006/picture">
                <pic:pic>
                  <pic:nvPicPr>
                    <pic:cNvPr id="0" name="11_chi_bar.png"/>
                    <pic:cNvPicPr/>
                  </pic:nvPicPr>
                  <pic:blipFill>
                    <a:blip r:embed="rId19"/>
                    <a:stretch>
                      <a:fillRect/>
                    </a:stretch>
                  </pic:blipFill>
                  <pic:spPr>
                    <a:xfrm>
                      <a:off x="0" y="0"/>
                      <a:ext cx="5394960" cy="2812989"/>
                    </a:xfrm>
                    <a:prstGeom prst="rect"/>
                  </pic:spPr>
                </pic:pic>
              </a:graphicData>
            </a:graphic>
          </wp:inline>
        </w:drawing>
      </w:r>
    </w:p>
    <w:p>
      <w:pPr>
        <w:pStyle w:val="Caption"/>
        <w:jc w:val="center"/>
      </w:pPr>
      <w:r>
        <w:t>Figure 11. Smoking status by region.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sz w:val="18"/>
              </w:rPr>
            </w:r>
            <w:r>
              <w:rPr>
                <w:b/>
                <w:sz w:val="18"/>
              </w:rPr>
              <w:t>Test</w:t>
            </w:r>
          </w:p>
        </w:tc>
        <w:tc>
          <w:tcPr>
            <w:tcW w:type="dxa" w:w="2016"/>
            <w:shd w:fill="D9EAF7"/>
          </w:tcPr>
          <w:p>
            <w:r>
              <w:rPr>
                <w:sz w:val="18"/>
              </w:rPr>
            </w:r>
            <w:r>
              <w:rPr>
                <w:b/>
                <w:sz w:val="18"/>
              </w:rPr>
              <w:t>Statistic</w:t>
            </w:r>
          </w:p>
        </w:tc>
        <w:tc>
          <w:tcPr>
            <w:tcW w:type="dxa" w:w="2016"/>
            <w:shd w:fill="D9EAF7"/>
          </w:tcPr>
          <w:p>
            <w:r>
              <w:rPr>
                <w:sz w:val="18"/>
              </w:rPr>
            </w:r>
            <w:r>
              <w:rPr>
                <w:b/>
                <w:sz w:val="18"/>
              </w:rPr>
              <w:t>df</w:t>
            </w:r>
          </w:p>
        </w:tc>
        <w:tc>
          <w:tcPr>
            <w:tcW w:type="dxa" w:w="2016"/>
            <w:shd w:fill="D9EAF7"/>
          </w:tcPr>
          <w:p>
            <w:r>
              <w:rPr>
                <w:sz w:val="18"/>
              </w:rPr>
            </w:r>
            <w:r>
              <w:rPr>
                <w:b/>
                <w:sz w:val="18"/>
              </w:rPr>
              <w:t>p-value</w:t>
            </w:r>
          </w:p>
        </w:tc>
        <w:tc>
          <w:tcPr>
            <w:tcW w:type="dxa" w:w="2016"/>
            <w:shd w:fill="D9EAF7"/>
          </w:tcPr>
          <w:p>
            <w:r>
              <w:rPr>
                <w:sz w:val="18"/>
              </w:rPr>
            </w:r>
            <w:r>
              <w:rPr>
                <w:b/>
                <w:sz w:val="18"/>
              </w:rPr>
              <w:t>Decision</w:t>
            </w:r>
          </w:p>
        </w:tc>
      </w:tr>
      <w:tr>
        <w:tc>
          <w:tcPr>
            <w:tcW w:type="dxa" w:w="2016"/>
            <w:vAlign w:val="center"/>
          </w:tcPr>
          <w:p>
            <w:r>
              <w:rPr>
                <w:sz w:val="18"/>
              </w:rPr>
            </w:r>
            <w:r>
              <w:rPr>
                <w:b w:val="0"/>
                <w:sz w:val="18"/>
              </w:rPr>
              <w:t>Pearson chi-square test</w:t>
            </w:r>
          </w:p>
        </w:tc>
        <w:tc>
          <w:tcPr>
            <w:tcW w:type="dxa" w:w="2016"/>
            <w:vAlign w:val="center"/>
          </w:tcPr>
          <w:p>
            <w:r>
              <w:rPr>
                <w:sz w:val="18"/>
              </w:rPr>
            </w:r>
            <w:r>
              <w:rPr>
                <w:b w:val="0"/>
                <w:sz w:val="18"/>
              </w:rPr>
              <w:t>X-squared = 7.3435</w:t>
            </w:r>
          </w:p>
        </w:tc>
        <w:tc>
          <w:tcPr>
            <w:tcW w:type="dxa" w:w="2016"/>
            <w:vAlign w:val="center"/>
          </w:tcPr>
          <w:p>
            <w:r>
              <w:rPr>
                <w:sz w:val="18"/>
              </w:rPr>
            </w:r>
            <w:r>
              <w:rPr>
                <w:b w:val="0"/>
                <w:sz w:val="18"/>
              </w:rPr>
              <w:t>3</w:t>
            </w:r>
          </w:p>
        </w:tc>
        <w:tc>
          <w:tcPr>
            <w:tcW w:type="dxa" w:w="2016"/>
            <w:vAlign w:val="center"/>
          </w:tcPr>
          <w:p>
            <w:r>
              <w:rPr>
                <w:sz w:val="18"/>
              </w:rPr>
            </w:r>
            <w:r>
              <w:rPr>
                <w:b w:val="0"/>
                <w:sz w:val="18"/>
              </w:rPr>
              <w:t>0.0617</w:t>
            </w:r>
          </w:p>
        </w:tc>
        <w:tc>
          <w:tcPr>
            <w:tcW w:type="dxa" w:w="2016"/>
            <w:vAlign w:val="center"/>
          </w:tcPr>
          <w:p>
            <w:r>
              <w:rPr>
                <w:sz w:val="18"/>
              </w:rPr>
            </w:r>
            <w:r>
              <w:rPr>
                <w:b w:val="0"/>
                <w:sz w:val="18"/>
              </w:rPr>
              <w:t>Fail to reject H0</w:t>
            </w:r>
          </w:p>
        </w:tc>
      </w:tr>
    </w:tbl>
    <w:p/>
    <w:p>
      <w:r>
        <w:t>Assumption check: all expected counts were at least 5, so the chi-square expected count assumption was met.</w:t>
      </w:r>
    </w:p>
    <w:p>
      <w:r>
        <w:t>Conclusion: smoker status and region were not significantly related at the 0.05 significance level.</w:t>
      </w:r>
    </w:p>
    <w:p>
      <w:pPr>
        <w:pStyle w:val="Heading1"/>
      </w:pPr>
      <w:r>
        <w:t>10. Final Conclusion and Recommendations</w:t>
      </w:r>
    </w:p>
    <w:p>
      <w:pPr>
        <w:pStyle w:val="ListBullet"/>
      </w:pPr>
      <w:r>
        <w:t>Smoking status was strongly associated with insurance charges. Smokers had much higher average charges than non-smokers.</w:t>
      </w:r>
    </w:p>
    <w:p>
      <w:pPr>
        <w:pStyle w:val="ListBullet"/>
      </w:pPr>
      <w:r>
        <w:t>Region had a statistically significant effect on charges, with the Southeast significantly higher than the Southwest in the Tukey comparison.</w:t>
      </w:r>
    </w:p>
    <w:p>
      <w:pPr>
        <w:pStyle w:val="ListBullet"/>
      </w:pPr>
      <w:r>
        <w:t>BMI and smoking status were both significant in the ANCOVA model.</w:t>
      </w:r>
    </w:p>
    <w:p>
      <w:pPr>
        <w:pStyle w:val="ListBullet"/>
      </w:pPr>
      <w:r>
        <w:t>The significant smoker x BMI interaction suggests the effect of BMI on charges differs by smoking status.</w:t>
      </w:r>
    </w:p>
    <w:p>
      <w:pPr>
        <w:pStyle w:val="ListBullet"/>
      </w:pPr>
      <w:r>
        <w:t>Smoker status and region were not significantly related in the chi-square test.</w:t>
      </w:r>
    </w:p>
    <w:p>
      <w:r>
        <w:t>Recommendation: insurance cost prediction models should strongly consider smoking status and BMI because they were the most important risk-related factors in this portion of the analysis. Regional differences may also be relevant, but the ANOVA assumption checks suggest that the regional findings should be interpreted with caution.</w:t>
      </w:r>
    </w:p>
    <w:p>
      <w:pPr>
        <w:pStyle w:val="Heading1"/>
      </w:pPr>
      <w:r>
        <w:t>11. Notes on Assumptions</w:t>
      </w:r>
    </w:p>
    <w:p>
      <w:r>
        <w:t>Several tests showed violations of normality and equal variance assumptions. This is partly due to the strongly right-skewed distribution of insurance charges. These assumption checks do not erase the observed group differences, but they do mean the statistical results should be interpreted carefully. In a full model, transformations of charges or robust/nonparametric methods could be considered as follow-up analysis.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