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ji27kjh26df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you have the sentence: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 love machine learning today"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a </w:t>
      </w:r>
      <w:r w:rsidDel="00000000" w:rsidR="00000000" w:rsidRPr="00000000">
        <w:rPr>
          <w:b w:val="1"/>
          <w:bCs w:val="1"/>
          <w:rtl w:val="0"/>
        </w:rPr>
        <w:t xml:space="preserve">Skip-gram</w:t>
      </w:r>
      <w:r w:rsidDel="00000000" w:rsidR="00000000" w:rsidRPr="00000000">
        <w:rPr>
          <w:rtl w:val="0"/>
        </w:rPr>
        <w:t xml:space="preserve"> model with window size = 1: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are the input-target pairs generated?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word is the input when predicting "I"?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word is the input when predicting "machine"?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x1smdhh8q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Why do we use Word2Vec instead of One-Hot Encoding?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in terms of: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Dimensionality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Similarity between words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usage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sb0e2d2sv6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difference between: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CBOW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Skip-gram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one predicts context from a target word?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