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1F3864"/>
          <w:sz w:val="48"/>
          <w:szCs w:val="48"/>
        </w:rPr>
        <w:t xml:space="preserve">EXPLORATORY DATA ANALYSIS</w:t>
      </w:r>
    </w:p>
    <w:p>
      <w:pPr>
        <w:spacing w:after="100" w:before="120"/>
        <w:jc w:val="center"/>
      </w:pPr>
      <w:r>
        <w:rPr>
          <w:b/>
          <w:bCs/>
          <w:color w:val="2E75B6"/>
          <w:sz w:val="34"/>
          <w:szCs w:val="34"/>
        </w:rPr>
        <w:t xml:space="preserve">E-Commerce Order Dataset</w:t>
      </w:r>
    </w:p>
    <w:p>
      <w:pPr>
        <w:spacing w:after="600" w:before="100"/>
        <w:jc w:val="center"/>
      </w:pPr>
      <w:r>
        <w:rPr>
          <w:i/>
          <w:iCs/>
          <w:color w:val="595959"/>
          <w:sz w:val="26"/>
          <w:szCs w:val="26"/>
        </w:rPr>
        <w:t xml:space="preserve">Data Analytics Internship – Project 2</w:t>
      </w:r>
    </w:p>
    <w:p>
      <w:pPr>
        <w:spacing w:before="1400"/>
        <w:jc w:val="center"/>
      </w:pPr>
      <w:r>
        <w:rPr>
          <w:sz w:val="22"/>
          <w:szCs w:val="22"/>
        </w:rPr>
        <w:t xml:space="preserve">Dataset File: Cleaned_Dataset.xlsx</w:t>
      </w:r>
    </w:p>
    <w:p>
      <w:pPr>
        <w:spacing w:before="100"/>
        <w:jc w:val="center"/>
      </w:pPr>
      <w:r>
        <w:rPr>
          <w:sz w:val="22"/>
          <w:szCs w:val="22"/>
        </w:rPr>
        <w:t xml:space="preserve">Prepared by: Data Analytics Intern</w:t>
      </w:r>
    </w:p>
    <w:p>
      <w:pPr>
        <w:spacing w:before="100"/>
        <w:jc w:val="center"/>
      </w:pPr>
      <w:r>
        <w:rPr>
          <w:sz w:val="22"/>
          <w:szCs w:val="22"/>
        </w:rPr>
        <w:t xml:space="preserve">Tools Used: Python (Pandas, NumPy, Matplotlib, Seaborn)</w:t>
      </w:r>
    </w:p>
    <w:p>
      <w:pPr>
        <w:spacing w:after="2000" w:before="100"/>
        <w:jc w:val="center"/>
      </w:pPr>
      <w:r>
        <w:rPr>
          <w:sz w:val="22"/>
          <w:szCs w:val="22"/>
        </w:rPr>
        <w:t xml:space="preserve">Submission Date: July 2026</w:t>
      </w:r>
    </w:p>
    <w:p>
      <w:r>
        <w:br w:type="page"/>
      </w:r>
    </w:p>
    <w:p>
      <w:pPr>
        <w:pStyle w:val="Heading1"/>
        <w:pBdr>
          <w:bottom w:val="single" w:color="2E75B6" w:sz="6" w:space="4"/>
        </w:pBdr>
        <w:spacing w:after="200" w:before="400"/>
      </w:pPr>
      <w:r>
        <w:rPr>
          <w:b/>
          <w:bCs/>
          <w:color w:val="1F3864"/>
          <w:sz w:val="30"/>
          <w:szCs w:val="30"/>
        </w:rPr>
        <w:t xml:space="preserve">1. Project Objective</w:t>
      </w:r>
    </w:p>
    <w:p>
      <w:pPr>
        <w:spacing w:after="160" w:line="300"/>
      </w:pPr>
      <w:r>
        <w:rPr>
          <w:sz w:val="22"/>
          <w:szCs w:val="22"/>
        </w:rPr>
        <w:t xml:space="preserve">The objective of this project is to perform a structured Exploratory Data Analysis (EDA) on a cleaned e-commerce order dataset. The analysis aims to understand the structure, quality, distribution, and relationships within the data, identify trends and outliers, and translate the findings into practical business insights and recommendations.</w:t>
      </w:r>
    </w:p>
    <w:p>
      <w:pPr>
        <w:pStyle w:val="Heading1"/>
        <w:pBdr>
          <w:bottom w:val="single" w:color="2E75B6" w:sz="6" w:space="4"/>
        </w:pBdr>
        <w:spacing w:after="200" w:before="400"/>
      </w:pPr>
      <w:r>
        <w:rPr>
          <w:b/>
          <w:bCs/>
          <w:color w:val="1F3864"/>
          <w:sz w:val="30"/>
          <w:szCs w:val="30"/>
        </w:rPr>
        <w:t xml:space="preserve">2. Dataset Overview</w:t>
      </w:r>
    </w:p>
    <w:p>
      <w:pPr>
        <w:spacing w:after="160" w:line="300"/>
      </w:pPr>
      <w:r>
        <w:rPr>
          <w:sz w:val="22"/>
          <w:szCs w:val="22"/>
        </w:rPr>
        <w:t xml:space="preserve">The dataset used for this analysis is Cleaned_Dataset.xlsx, an order-level e-commerce dataset covering the period from January 2023 to June 2025.</w:t>
      </w:r>
    </w:p>
    <w:p>
      <w:pPr>
        <w:pStyle w:val="Heading2"/>
        <w:spacing w:after="140" w:before="260"/>
      </w:pPr>
      <w:r>
        <w:rPr>
          <w:b/>
          <w:bCs/>
          <w:color w:val="2E75B6"/>
          <w:sz w:val="24"/>
          <w:szCs w:val="24"/>
        </w:rPr>
        <w:t xml:space="preserve">2.1 Dataset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color="auto" w:val="clear"/>
            <w:tcMar>
              <w:top w:type="dxa" w:w="80"/>
              <w:left w:type="dxa" w:w="120"/>
              <w:bottom w:type="dxa" w:w="80"/>
              <w:right w:type="dxa" w:w="120"/>
            </w:tcMar>
            <w:vAlign w:val="center"/>
          </w:tcPr>
          <w:p>
            <w:r>
              <w:rPr>
                <w:b/>
                <w:bCs/>
                <w:color w:val="FFFFFF"/>
                <w:sz w:val="20"/>
                <w:szCs w:val="20"/>
              </w:rPr>
              <w:t xml:space="preserve">Attribute</w:t>
            </w:r>
          </w:p>
        </w:tc>
        <w:tc>
          <w:tcPr>
            <w:tcW w:type="dxa" w:w="4680"/>
            <w:shd w:fill="1F3864" w:color="auto" w:val="clear"/>
            <w:tcMar>
              <w:top w:type="dxa" w:w="80"/>
              <w:left w:type="dxa" w:w="120"/>
              <w:bottom w:type="dxa" w:w="80"/>
              <w:right w:type="dxa" w:w="120"/>
            </w:tcMar>
            <w:vAlign w:val="center"/>
          </w:tcPr>
          <w:p>
            <w:r>
              <w:rPr>
                <w:b/>
                <w:bCs/>
                <w:color w:val="FFFFFF"/>
                <w:sz w:val="20"/>
                <w:szCs w:val="20"/>
              </w:rPr>
              <w:t xml:space="preserve">Value</w:t>
            </w:r>
          </w:p>
        </w:tc>
      </w:tr>
      <w:tr>
        <w:tc>
          <w:tcPr>
            <w:tcW w:type="dxa" w:w="4680"/>
            <w:shd w:fill="FFFFFF" w:color="auto" w:val="clear"/>
            <w:tcMar>
              <w:top w:type="dxa" w:w="70"/>
              <w:left w:type="dxa" w:w="120"/>
              <w:bottom w:type="dxa" w:w="70"/>
              <w:right w:type="dxa" w:w="120"/>
            </w:tcMar>
            <w:vAlign w:val="center"/>
          </w:tcPr>
          <w:p>
            <w:r>
              <w:rPr>
                <w:sz w:val="20"/>
                <w:szCs w:val="20"/>
              </w:rPr>
              <w:t xml:space="preserve">Total Records (Rows)</w:t>
            </w:r>
          </w:p>
        </w:tc>
        <w:tc>
          <w:tcPr>
            <w:tcW w:type="dxa" w:w="4680"/>
            <w:shd w:fill="FFFFFF" w:color="auto" w:val="clear"/>
            <w:tcMar>
              <w:top w:type="dxa" w:w="70"/>
              <w:left w:type="dxa" w:w="120"/>
              <w:bottom w:type="dxa" w:w="70"/>
              <w:right w:type="dxa" w:w="120"/>
            </w:tcMar>
            <w:vAlign w:val="center"/>
          </w:tcPr>
          <w:p>
            <w:r>
              <w:rPr>
                <w:sz w:val="20"/>
                <w:szCs w:val="20"/>
              </w:rPr>
              <w:t xml:space="preserve">1,200</w:t>
            </w:r>
          </w:p>
        </w:tc>
      </w:tr>
      <w:tr>
        <w:tc>
          <w:tcPr>
            <w:tcW w:type="dxa" w:w="4680"/>
            <w:shd w:fill="F2F2F2" w:color="auto" w:val="clear"/>
            <w:tcMar>
              <w:top w:type="dxa" w:w="70"/>
              <w:left w:type="dxa" w:w="120"/>
              <w:bottom w:type="dxa" w:w="70"/>
              <w:right w:type="dxa" w:w="120"/>
            </w:tcMar>
            <w:vAlign w:val="center"/>
          </w:tcPr>
          <w:p>
            <w:r>
              <w:rPr>
                <w:sz w:val="20"/>
                <w:szCs w:val="20"/>
              </w:rPr>
              <w:t xml:space="preserve">Total Columns</w:t>
            </w:r>
          </w:p>
        </w:tc>
        <w:tc>
          <w:tcPr>
            <w:tcW w:type="dxa" w:w="4680"/>
            <w:shd w:fill="F2F2F2" w:color="auto" w:val="clear"/>
            <w:tcMar>
              <w:top w:type="dxa" w:w="70"/>
              <w:left w:type="dxa" w:w="120"/>
              <w:bottom w:type="dxa" w:w="70"/>
              <w:right w:type="dxa" w:w="120"/>
            </w:tcMar>
            <w:vAlign w:val="center"/>
          </w:tcPr>
          <w:p>
            <w:r>
              <w:rPr>
                <w:sz w:val="20"/>
                <w:szCs w:val="20"/>
              </w:rPr>
              <w:t xml:space="preserve">14</w:t>
            </w:r>
          </w:p>
        </w:tc>
      </w:tr>
      <w:tr>
        <w:tc>
          <w:tcPr>
            <w:tcW w:type="dxa" w:w="4680"/>
            <w:shd w:fill="FFFFFF" w:color="auto" w:val="clear"/>
            <w:tcMar>
              <w:top w:type="dxa" w:w="70"/>
              <w:left w:type="dxa" w:w="120"/>
              <w:bottom w:type="dxa" w:w="70"/>
              <w:right w:type="dxa" w:w="120"/>
            </w:tcMar>
            <w:vAlign w:val="center"/>
          </w:tcPr>
          <w:p>
            <w:r>
              <w:rPr>
                <w:sz w:val="20"/>
                <w:szCs w:val="20"/>
              </w:rPr>
              <w:t xml:space="preserve">Time Period Covered</w:t>
            </w:r>
          </w:p>
        </w:tc>
        <w:tc>
          <w:tcPr>
            <w:tcW w:type="dxa" w:w="4680"/>
            <w:shd w:fill="FFFFFF" w:color="auto" w:val="clear"/>
            <w:tcMar>
              <w:top w:type="dxa" w:w="70"/>
              <w:left w:type="dxa" w:w="120"/>
              <w:bottom w:type="dxa" w:w="70"/>
              <w:right w:type="dxa" w:w="120"/>
            </w:tcMar>
            <w:vAlign w:val="center"/>
          </w:tcPr>
          <w:p>
            <w:r>
              <w:rPr>
                <w:sz w:val="20"/>
                <w:szCs w:val="20"/>
              </w:rPr>
              <w:t xml:space="preserve">January 2023 – June 2025</w:t>
            </w:r>
          </w:p>
        </w:tc>
      </w:tr>
      <w:tr>
        <w:tc>
          <w:tcPr>
            <w:tcW w:type="dxa" w:w="4680"/>
            <w:shd w:fill="F2F2F2" w:color="auto" w:val="clear"/>
            <w:tcMar>
              <w:top w:type="dxa" w:w="70"/>
              <w:left w:type="dxa" w:w="120"/>
              <w:bottom w:type="dxa" w:w="70"/>
              <w:right w:type="dxa" w:w="120"/>
            </w:tcMar>
            <w:vAlign w:val="center"/>
          </w:tcPr>
          <w:p>
            <w:r>
              <w:rPr>
                <w:sz w:val="20"/>
                <w:szCs w:val="20"/>
              </w:rPr>
              <w:t xml:space="preserve">Record Type</w:t>
            </w:r>
          </w:p>
        </w:tc>
        <w:tc>
          <w:tcPr>
            <w:tcW w:type="dxa" w:w="4680"/>
            <w:shd w:fill="F2F2F2" w:color="auto" w:val="clear"/>
            <w:tcMar>
              <w:top w:type="dxa" w:w="70"/>
              <w:left w:type="dxa" w:w="120"/>
              <w:bottom w:type="dxa" w:w="70"/>
              <w:right w:type="dxa" w:w="120"/>
            </w:tcMar>
            <w:vAlign w:val="center"/>
          </w:tcPr>
          <w:p>
            <w:r>
              <w:rPr>
                <w:sz w:val="20"/>
                <w:szCs w:val="20"/>
              </w:rPr>
              <w:t xml:space="preserve">One row per customer order</w:t>
            </w:r>
          </w:p>
        </w:tc>
      </w:tr>
    </w:tbl>
    <w:p>
      <w:pPr>
        <w:spacing w:before="240"/>
      </w:pPr>
    </w:p>
    <w:p>
      <w:pPr>
        <w:pStyle w:val="Heading2"/>
        <w:spacing w:after="140" w:before="260"/>
      </w:pPr>
      <w:r>
        <w:rPr>
          <w:b/>
          <w:bCs/>
          <w:color w:val="2E75B6"/>
          <w:sz w:val="24"/>
          <w:szCs w:val="24"/>
        </w:rPr>
        <w:t xml:space="preserve">2.2 Column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shd w:fill="1F3864" w:color="auto" w:val="clear"/>
            <w:tcMar>
              <w:top w:type="dxa" w:w="80"/>
              <w:left w:type="dxa" w:w="120"/>
              <w:bottom w:type="dxa" w:w="80"/>
              <w:right w:type="dxa" w:w="120"/>
            </w:tcMar>
            <w:vAlign w:val="center"/>
          </w:tcPr>
          <w:p>
            <w:r>
              <w:rPr>
                <w:b/>
                <w:bCs/>
                <w:color w:val="FFFFFF"/>
                <w:sz w:val="20"/>
                <w:szCs w:val="20"/>
              </w:rPr>
              <w:t xml:space="preserve">Column</w:t>
            </w:r>
          </w:p>
        </w:tc>
        <w:tc>
          <w:tcPr>
            <w:tcW w:type="dxa" w:w="6560"/>
            <w:shd w:fill="1F3864" w:color="auto" w:val="clear"/>
            <w:tcMar>
              <w:top w:type="dxa" w:w="80"/>
              <w:left w:type="dxa" w:w="120"/>
              <w:bottom w:type="dxa" w:w="80"/>
              <w:right w:type="dxa" w:w="120"/>
            </w:tcMar>
            <w:vAlign w:val="center"/>
          </w:tcPr>
          <w:p>
            <w:r>
              <w:rPr>
                <w:b/>
                <w:bCs/>
                <w:color w:val="FFFFFF"/>
                <w:sz w:val="20"/>
                <w:szCs w:val="20"/>
              </w:rPr>
              <w:t xml:space="preserve">Description</w:t>
            </w:r>
          </w:p>
        </w:tc>
      </w:tr>
      <w:tr>
        <w:tc>
          <w:tcPr>
            <w:tcW w:type="dxa" w:w="2800"/>
            <w:shd w:fill="FFFFFF" w:color="auto" w:val="clear"/>
            <w:tcMar>
              <w:top w:type="dxa" w:w="70"/>
              <w:left w:type="dxa" w:w="120"/>
              <w:bottom w:type="dxa" w:w="70"/>
              <w:right w:type="dxa" w:w="120"/>
            </w:tcMar>
            <w:vAlign w:val="center"/>
          </w:tcPr>
          <w:p>
            <w:r>
              <w:rPr>
                <w:sz w:val="20"/>
                <w:szCs w:val="20"/>
              </w:rPr>
              <w:t xml:space="preserve">OrderID</w:t>
            </w:r>
          </w:p>
        </w:tc>
        <w:tc>
          <w:tcPr>
            <w:tcW w:type="dxa" w:w="6560"/>
            <w:shd w:fill="FFFFFF" w:color="auto" w:val="clear"/>
            <w:tcMar>
              <w:top w:type="dxa" w:w="70"/>
              <w:left w:type="dxa" w:w="120"/>
              <w:bottom w:type="dxa" w:w="70"/>
              <w:right w:type="dxa" w:w="120"/>
            </w:tcMar>
            <w:vAlign w:val="center"/>
          </w:tcPr>
          <w:p>
            <w:r>
              <w:rPr>
                <w:sz w:val="20"/>
                <w:szCs w:val="20"/>
              </w:rPr>
              <w:t xml:space="preserve">Unique identifier for each order</w:t>
            </w:r>
          </w:p>
        </w:tc>
      </w:tr>
      <w:tr>
        <w:tc>
          <w:tcPr>
            <w:tcW w:type="dxa" w:w="2800"/>
            <w:shd w:fill="F2F2F2" w:color="auto" w:val="clear"/>
            <w:tcMar>
              <w:top w:type="dxa" w:w="70"/>
              <w:left w:type="dxa" w:w="120"/>
              <w:bottom w:type="dxa" w:w="70"/>
              <w:right w:type="dxa" w:w="120"/>
            </w:tcMar>
            <w:vAlign w:val="center"/>
          </w:tcPr>
          <w:p>
            <w:r>
              <w:rPr>
                <w:sz w:val="20"/>
                <w:szCs w:val="20"/>
              </w:rPr>
              <w:t xml:space="preserve">Date</w:t>
            </w:r>
          </w:p>
        </w:tc>
        <w:tc>
          <w:tcPr>
            <w:tcW w:type="dxa" w:w="6560"/>
            <w:shd w:fill="F2F2F2" w:color="auto" w:val="clear"/>
            <w:tcMar>
              <w:top w:type="dxa" w:w="70"/>
              <w:left w:type="dxa" w:w="120"/>
              <w:bottom w:type="dxa" w:w="70"/>
              <w:right w:type="dxa" w:w="120"/>
            </w:tcMar>
            <w:vAlign w:val="center"/>
          </w:tcPr>
          <w:p>
            <w:r>
              <w:rPr>
                <w:sz w:val="20"/>
                <w:szCs w:val="20"/>
              </w:rPr>
              <w:t xml:space="preserve">Date the order was placed</w:t>
            </w:r>
          </w:p>
        </w:tc>
      </w:tr>
      <w:tr>
        <w:tc>
          <w:tcPr>
            <w:tcW w:type="dxa" w:w="2800"/>
            <w:shd w:fill="FFFFFF" w:color="auto" w:val="clear"/>
            <w:tcMar>
              <w:top w:type="dxa" w:w="70"/>
              <w:left w:type="dxa" w:w="120"/>
              <w:bottom w:type="dxa" w:w="70"/>
              <w:right w:type="dxa" w:w="120"/>
            </w:tcMar>
            <w:vAlign w:val="center"/>
          </w:tcPr>
          <w:p>
            <w:r>
              <w:rPr>
                <w:sz w:val="20"/>
                <w:szCs w:val="20"/>
              </w:rPr>
              <w:t xml:space="preserve">CustomerID</w:t>
            </w:r>
          </w:p>
        </w:tc>
        <w:tc>
          <w:tcPr>
            <w:tcW w:type="dxa" w:w="6560"/>
            <w:shd w:fill="FFFFFF" w:color="auto" w:val="clear"/>
            <w:tcMar>
              <w:top w:type="dxa" w:w="70"/>
              <w:left w:type="dxa" w:w="120"/>
              <w:bottom w:type="dxa" w:w="70"/>
              <w:right w:type="dxa" w:w="120"/>
            </w:tcMar>
            <w:vAlign w:val="center"/>
          </w:tcPr>
          <w:p>
            <w:r>
              <w:rPr>
                <w:sz w:val="20"/>
                <w:szCs w:val="20"/>
              </w:rPr>
              <w:t xml:space="preserve">Unique identifier for each customer</w:t>
            </w:r>
          </w:p>
        </w:tc>
      </w:tr>
      <w:tr>
        <w:tc>
          <w:tcPr>
            <w:tcW w:type="dxa" w:w="2800"/>
            <w:shd w:fill="F2F2F2" w:color="auto" w:val="clear"/>
            <w:tcMar>
              <w:top w:type="dxa" w:w="70"/>
              <w:left w:type="dxa" w:w="120"/>
              <w:bottom w:type="dxa" w:w="70"/>
              <w:right w:type="dxa" w:w="120"/>
            </w:tcMar>
            <w:vAlign w:val="center"/>
          </w:tcPr>
          <w:p>
            <w:r>
              <w:rPr>
                <w:sz w:val="20"/>
                <w:szCs w:val="20"/>
              </w:rPr>
              <w:t xml:space="preserve">Product</w:t>
            </w:r>
          </w:p>
        </w:tc>
        <w:tc>
          <w:tcPr>
            <w:tcW w:type="dxa" w:w="6560"/>
            <w:shd w:fill="F2F2F2" w:color="auto" w:val="clear"/>
            <w:tcMar>
              <w:top w:type="dxa" w:w="70"/>
              <w:left w:type="dxa" w:w="120"/>
              <w:bottom w:type="dxa" w:w="70"/>
              <w:right w:type="dxa" w:w="120"/>
            </w:tcMar>
            <w:vAlign w:val="center"/>
          </w:tcPr>
          <w:p>
            <w:r>
              <w:rPr>
                <w:sz w:val="20"/>
                <w:szCs w:val="20"/>
              </w:rPr>
              <w:t xml:space="preserve">Product category purchased</w:t>
            </w:r>
          </w:p>
        </w:tc>
      </w:tr>
      <w:tr>
        <w:tc>
          <w:tcPr>
            <w:tcW w:type="dxa" w:w="2800"/>
            <w:shd w:fill="FFFFFF" w:color="auto" w:val="clear"/>
            <w:tcMar>
              <w:top w:type="dxa" w:w="70"/>
              <w:left w:type="dxa" w:w="120"/>
              <w:bottom w:type="dxa" w:w="70"/>
              <w:right w:type="dxa" w:w="120"/>
            </w:tcMar>
            <w:vAlign w:val="center"/>
          </w:tcPr>
          <w:p>
            <w:r>
              <w:rPr>
                <w:sz w:val="20"/>
                <w:szCs w:val="20"/>
              </w:rPr>
              <w:t xml:space="preserve">Quantity</w:t>
            </w:r>
          </w:p>
        </w:tc>
        <w:tc>
          <w:tcPr>
            <w:tcW w:type="dxa" w:w="6560"/>
            <w:shd w:fill="FFFFFF" w:color="auto" w:val="clear"/>
            <w:tcMar>
              <w:top w:type="dxa" w:w="70"/>
              <w:left w:type="dxa" w:w="120"/>
              <w:bottom w:type="dxa" w:w="70"/>
              <w:right w:type="dxa" w:w="120"/>
            </w:tcMar>
            <w:vAlign w:val="center"/>
          </w:tcPr>
          <w:p>
            <w:r>
              <w:rPr>
                <w:sz w:val="20"/>
                <w:szCs w:val="20"/>
              </w:rPr>
              <w:t xml:space="preserve">Number of units purchased</w:t>
            </w:r>
          </w:p>
        </w:tc>
      </w:tr>
      <w:tr>
        <w:tc>
          <w:tcPr>
            <w:tcW w:type="dxa" w:w="2800"/>
            <w:shd w:fill="F2F2F2" w:color="auto" w:val="clear"/>
            <w:tcMar>
              <w:top w:type="dxa" w:w="70"/>
              <w:left w:type="dxa" w:w="120"/>
              <w:bottom w:type="dxa" w:w="70"/>
              <w:right w:type="dxa" w:w="120"/>
            </w:tcMar>
            <w:vAlign w:val="center"/>
          </w:tcPr>
          <w:p>
            <w:r>
              <w:rPr>
                <w:sz w:val="20"/>
                <w:szCs w:val="20"/>
              </w:rPr>
              <w:t xml:space="preserve">UnitPrice</w:t>
            </w:r>
          </w:p>
        </w:tc>
        <w:tc>
          <w:tcPr>
            <w:tcW w:type="dxa" w:w="6560"/>
            <w:shd w:fill="F2F2F2" w:color="auto" w:val="clear"/>
            <w:tcMar>
              <w:top w:type="dxa" w:w="70"/>
              <w:left w:type="dxa" w:w="120"/>
              <w:bottom w:type="dxa" w:w="70"/>
              <w:right w:type="dxa" w:w="120"/>
            </w:tcMar>
            <w:vAlign w:val="center"/>
          </w:tcPr>
          <w:p>
            <w:r>
              <w:rPr>
                <w:sz w:val="20"/>
                <w:szCs w:val="20"/>
              </w:rPr>
              <w:t xml:space="preserve">Price per unit</w:t>
            </w:r>
          </w:p>
        </w:tc>
      </w:tr>
      <w:tr>
        <w:tc>
          <w:tcPr>
            <w:tcW w:type="dxa" w:w="2800"/>
            <w:shd w:fill="FFFFFF" w:color="auto" w:val="clear"/>
            <w:tcMar>
              <w:top w:type="dxa" w:w="70"/>
              <w:left w:type="dxa" w:w="120"/>
              <w:bottom w:type="dxa" w:w="70"/>
              <w:right w:type="dxa" w:w="120"/>
            </w:tcMar>
            <w:vAlign w:val="center"/>
          </w:tcPr>
          <w:p>
            <w:r>
              <w:rPr>
                <w:sz w:val="20"/>
                <w:szCs w:val="20"/>
              </w:rPr>
              <w:t xml:space="preserve">ShippingAddress</w:t>
            </w:r>
          </w:p>
        </w:tc>
        <w:tc>
          <w:tcPr>
            <w:tcW w:type="dxa" w:w="6560"/>
            <w:shd w:fill="FFFFFF" w:color="auto" w:val="clear"/>
            <w:tcMar>
              <w:top w:type="dxa" w:w="70"/>
              <w:left w:type="dxa" w:w="120"/>
              <w:bottom w:type="dxa" w:w="70"/>
              <w:right w:type="dxa" w:w="120"/>
            </w:tcMar>
            <w:vAlign w:val="center"/>
          </w:tcPr>
          <w:p>
            <w:r>
              <w:rPr>
                <w:sz w:val="20"/>
                <w:szCs w:val="20"/>
              </w:rPr>
              <w:t xml:space="preserve">Delivery address for the order</w:t>
            </w:r>
          </w:p>
        </w:tc>
      </w:tr>
      <w:tr>
        <w:tc>
          <w:tcPr>
            <w:tcW w:type="dxa" w:w="2800"/>
            <w:shd w:fill="F2F2F2" w:color="auto" w:val="clear"/>
            <w:tcMar>
              <w:top w:type="dxa" w:w="70"/>
              <w:left w:type="dxa" w:w="120"/>
              <w:bottom w:type="dxa" w:w="70"/>
              <w:right w:type="dxa" w:w="120"/>
            </w:tcMar>
            <w:vAlign w:val="center"/>
          </w:tcPr>
          <w:p>
            <w:r>
              <w:rPr>
                <w:sz w:val="20"/>
                <w:szCs w:val="20"/>
              </w:rPr>
              <w:t xml:space="preserve">PaymentMethod</w:t>
            </w:r>
          </w:p>
        </w:tc>
        <w:tc>
          <w:tcPr>
            <w:tcW w:type="dxa" w:w="6560"/>
            <w:shd w:fill="F2F2F2" w:color="auto" w:val="clear"/>
            <w:tcMar>
              <w:top w:type="dxa" w:w="70"/>
              <w:left w:type="dxa" w:w="120"/>
              <w:bottom w:type="dxa" w:w="70"/>
              <w:right w:type="dxa" w:w="120"/>
            </w:tcMar>
            <w:vAlign w:val="center"/>
          </w:tcPr>
          <w:p>
            <w:r>
              <w:rPr>
                <w:sz w:val="20"/>
                <w:szCs w:val="20"/>
              </w:rPr>
              <w:t xml:space="preserve">Method used to pay for the order</w:t>
            </w:r>
          </w:p>
        </w:tc>
      </w:tr>
      <w:tr>
        <w:tc>
          <w:tcPr>
            <w:tcW w:type="dxa" w:w="2800"/>
            <w:shd w:fill="FFFFFF" w:color="auto" w:val="clear"/>
            <w:tcMar>
              <w:top w:type="dxa" w:w="70"/>
              <w:left w:type="dxa" w:w="120"/>
              <w:bottom w:type="dxa" w:w="70"/>
              <w:right w:type="dxa" w:w="120"/>
            </w:tcMar>
            <w:vAlign w:val="center"/>
          </w:tcPr>
          <w:p>
            <w:r>
              <w:rPr>
                <w:sz w:val="20"/>
                <w:szCs w:val="20"/>
              </w:rPr>
              <w:t xml:space="preserve">OrderStatus</w:t>
            </w:r>
          </w:p>
        </w:tc>
        <w:tc>
          <w:tcPr>
            <w:tcW w:type="dxa" w:w="6560"/>
            <w:shd w:fill="FFFFFF" w:color="auto" w:val="clear"/>
            <w:tcMar>
              <w:top w:type="dxa" w:w="70"/>
              <w:left w:type="dxa" w:w="120"/>
              <w:bottom w:type="dxa" w:w="70"/>
              <w:right w:type="dxa" w:w="120"/>
            </w:tcMar>
            <w:vAlign w:val="center"/>
          </w:tcPr>
          <w:p>
            <w:r>
              <w:rPr>
                <w:sz w:val="20"/>
                <w:szCs w:val="20"/>
              </w:rPr>
              <w:t xml:space="preserve">Current status of the order</w:t>
            </w:r>
          </w:p>
        </w:tc>
      </w:tr>
      <w:tr>
        <w:tc>
          <w:tcPr>
            <w:tcW w:type="dxa" w:w="2800"/>
            <w:shd w:fill="F2F2F2" w:color="auto" w:val="clear"/>
            <w:tcMar>
              <w:top w:type="dxa" w:w="70"/>
              <w:left w:type="dxa" w:w="120"/>
              <w:bottom w:type="dxa" w:w="70"/>
              <w:right w:type="dxa" w:w="120"/>
            </w:tcMar>
            <w:vAlign w:val="center"/>
          </w:tcPr>
          <w:p>
            <w:r>
              <w:rPr>
                <w:sz w:val="20"/>
                <w:szCs w:val="20"/>
              </w:rPr>
              <w:t xml:space="preserve">TrackingNumber</w:t>
            </w:r>
          </w:p>
        </w:tc>
        <w:tc>
          <w:tcPr>
            <w:tcW w:type="dxa" w:w="6560"/>
            <w:shd w:fill="F2F2F2" w:color="auto" w:val="clear"/>
            <w:tcMar>
              <w:top w:type="dxa" w:w="70"/>
              <w:left w:type="dxa" w:w="120"/>
              <w:bottom w:type="dxa" w:w="70"/>
              <w:right w:type="dxa" w:w="120"/>
            </w:tcMar>
            <w:vAlign w:val="center"/>
          </w:tcPr>
          <w:p>
            <w:r>
              <w:rPr>
                <w:sz w:val="20"/>
                <w:szCs w:val="20"/>
              </w:rPr>
              <w:t xml:space="preserve">Shipment tracking reference</w:t>
            </w:r>
          </w:p>
        </w:tc>
      </w:tr>
      <w:tr>
        <w:tc>
          <w:tcPr>
            <w:tcW w:type="dxa" w:w="2800"/>
            <w:shd w:fill="FFFFFF" w:color="auto" w:val="clear"/>
            <w:tcMar>
              <w:top w:type="dxa" w:w="70"/>
              <w:left w:type="dxa" w:w="120"/>
              <w:bottom w:type="dxa" w:w="70"/>
              <w:right w:type="dxa" w:w="120"/>
            </w:tcMar>
            <w:vAlign w:val="center"/>
          </w:tcPr>
          <w:p>
            <w:r>
              <w:rPr>
                <w:sz w:val="20"/>
                <w:szCs w:val="20"/>
              </w:rPr>
              <w:t xml:space="preserve">ItemsInCart</w:t>
            </w:r>
          </w:p>
        </w:tc>
        <w:tc>
          <w:tcPr>
            <w:tcW w:type="dxa" w:w="6560"/>
            <w:shd w:fill="FFFFFF" w:color="auto" w:val="clear"/>
            <w:tcMar>
              <w:top w:type="dxa" w:w="70"/>
              <w:left w:type="dxa" w:w="120"/>
              <w:bottom w:type="dxa" w:w="70"/>
              <w:right w:type="dxa" w:w="120"/>
            </w:tcMar>
            <w:vAlign w:val="center"/>
          </w:tcPr>
          <w:p>
            <w:r>
              <w:rPr>
                <w:sz w:val="20"/>
                <w:szCs w:val="20"/>
              </w:rPr>
              <w:t xml:space="preserve">Number of items in the cart at checkout</w:t>
            </w:r>
          </w:p>
        </w:tc>
      </w:tr>
      <w:tr>
        <w:tc>
          <w:tcPr>
            <w:tcW w:type="dxa" w:w="2800"/>
            <w:shd w:fill="F2F2F2" w:color="auto" w:val="clear"/>
            <w:tcMar>
              <w:top w:type="dxa" w:w="70"/>
              <w:left w:type="dxa" w:w="120"/>
              <w:bottom w:type="dxa" w:w="70"/>
              <w:right w:type="dxa" w:w="120"/>
            </w:tcMar>
            <w:vAlign w:val="center"/>
          </w:tcPr>
          <w:p>
            <w:r>
              <w:rPr>
                <w:sz w:val="20"/>
                <w:szCs w:val="20"/>
              </w:rPr>
              <w:t xml:space="preserve">CouponCode</w:t>
            </w:r>
          </w:p>
        </w:tc>
        <w:tc>
          <w:tcPr>
            <w:tcW w:type="dxa" w:w="6560"/>
            <w:shd w:fill="F2F2F2" w:color="auto" w:val="clear"/>
            <w:tcMar>
              <w:top w:type="dxa" w:w="70"/>
              <w:left w:type="dxa" w:w="120"/>
              <w:bottom w:type="dxa" w:w="70"/>
              <w:right w:type="dxa" w:w="120"/>
            </w:tcMar>
            <w:vAlign w:val="center"/>
          </w:tcPr>
          <w:p>
            <w:r>
              <w:rPr>
                <w:sz w:val="20"/>
                <w:szCs w:val="20"/>
              </w:rPr>
              <w:t xml:space="preserve">Coupon applied to the order, if any</w:t>
            </w:r>
          </w:p>
        </w:tc>
      </w:tr>
      <w:tr>
        <w:tc>
          <w:tcPr>
            <w:tcW w:type="dxa" w:w="2800"/>
            <w:shd w:fill="FFFFFF" w:color="auto" w:val="clear"/>
            <w:tcMar>
              <w:top w:type="dxa" w:w="70"/>
              <w:left w:type="dxa" w:w="120"/>
              <w:bottom w:type="dxa" w:w="70"/>
              <w:right w:type="dxa" w:w="120"/>
            </w:tcMar>
            <w:vAlign w:val="center"/>
          </w:tcPr>
          <w:p>
            <w:r>
              <w:rPr>
                <w:sz w:val="20"/>
                <w:szCs w:val="20"/>
              </w:rPr>
              <w:t xml:space="preserve">ReferralSource</w:t>
            </w:r>
          </w:p>
        </w:tc>
        <w:tc>
          <w:tcPr>
            <w:tcW w:type="dxa" w:w="6560"/>
            <w:shd w:fill="FFFFFF" w:color="auto" w:val="clear"/>
            <w:tcMar>
              <w:top w:type="dxa" w:w="70"/>
              <w:left w:type="dxa" w:w="120"/>
              <w:bottom w:type="dxa" w:w="70"/>
              <w:right w:type="dxa" w:w="120"/>
            </w:tcMar>
            <w:vAlign w:val="center"/>
          </w:tcPr>
          <w:p>
            <w:r>
              <w:rPr>
                <w:sz w:val="20"/>
                <w:szCs w:val="20"/>
              </w:rPr>
              <w:t xml:space="preserve">Channel that referred the customer</w:t>
            </w:r>
          </w:p>
        </w:tc>
      </w:tr>
      <w:tr>
        <w:tc>
          <w:tcPr>
            <w:tcW w:type="dxa" w:w="2800"/>
            <w:shd w:fill="F2F2F2" w:color="auto" w:val="clear"/>
            <w:tcMar>
              <w:top w:type="dxa" w:w="70"/>
              <w:left w:type="dxa" w:w="120"/>
              <w:bottom w:type="dxa" w:w="70"/>
              <w:right w:type="dxa" w:w="120"/>
            </w:tcMar>
            <w:vAlign w:val="center"/>
          </w:tcPr>
          <w:p>
            <w:r>
              <w:rPr>
                <w:sz w:val="20"/>
                <w:szCs w:val="20"/>
              </w:rPr>
              <w:t xml:space="preserve">TotalPrice</w:t>
            </w:r>
          </w:p>
        </w:tc>
        <w:tc>
          <w:tcPr>
            <w:tcW w:type="dxa" w:w="6560"/>
            <w:shd w:fill="F2F2F2" w:color="auto" w:val="clear"/>
            <w:tcMar>
              <w:top w:type="dxa" w:w="70"/>
              <w:left w:type="dxa" w:w="120"/>
              <w:bottom w:type="dxa" w:w="70"/>
              <w:right w:type="dxa" w:w="120"/>
            </w:tcMar>
            <w:vAlign w:val="center"/>
          </w:tcPr>
          <w:p>
            <w:r>
              <w:rPr>
                <w:sz w:val="20"/>
                <w:szCs w:val="20"/>
              </w:rPr>
              <w:t xml:space="preserve">Final order value (Quantity × UnitPrice)</w:t>
            </w:r>
          </w:p>
        </w:tc>
      </w:tr>
    </w:tbl>
    <w:p>
      <w:pPr>
        <w:pStyle w:val="Heading1"/>
        <w:pBdr>
          <w:bottom w:val="single" w:color="2E75B6" w:sz="6" w:space="4"/>
        </w:pBdr>
        <w:spacing w:after="200" w:before="400"/>
      </w:pPr>
      <w:r>
        <w:rPr>
          <w:b/>
          <w:bCs/>
          <w:color w:val="1F3864"/>
          <w:sz w:val="30"/>
          <w:szCs w:val="30"/>
        </w:rPr>
        <w:t xml:space="preserve">3. Tools and Technologies Used</w:t>
      </w:r>
    </w:p>
    <w:p>
      <w:pPr>
        <w:pStyle w:val="ListParagraph"/>
        <w:numPr>
          <w:ilvl w:val="0"/>
          <w:numId w:val="1"/>
        </w:numPr>
        <w:spacing w:after="90" w:line="280"/>
      </w:pPr>
      <w:r>
        <w:rPr>
          <w:sz w:val="22"/>
          <w:szCs w:val="22"/>
        </w:rPr>
        <w:t xml:space="preserve">Python – core programming language for the analysis</w:t>
      </w:r>
    </w:p>
    <w:p>
      <w:pPr>
        <w:pStyle w:val="ListParagraph"/>
        <w:numPr>
          <w:ilvl w:val="0"/>
          <w:numId w:val="1"/>
        </w:numPr>
        <w:spacing w:after="90" w:line="280"/>
      </w:pPr>
      <w:r>
        <w:rPr>
          <w:sz w:val="22"/>
          <w:szCs w:val="22"/>
        </w:rPr>
        <w:t xml:space="preserve">Pandas – data loading, cleaning checks, and aggregation</w:t>
      </w:r>
    </w:p>
    <w:p>
      <w:pPr>
        <w:pStyle w:val="ListParagraph"/>
        <w:numPr>
          <w:ilvl w:val="0"/>
          <w:numId w:val="1"/>
        </w:numPr>
        <w:spacing w:after="90" w:line="280"/>
      </w:pPr>
      <w:r>
        <w:rPr>
          <w:sz w:val="22"/>
          <w:szCs w:val="22"/>
        </w:rPr>
        <w:t xml:space="preserve">NumPy – numerical computations</w:t>
      </w:r>
    </w:p>
    <w:p>
      <w:pPr>
        <w:pStyle w:val="ListParagraph"/>
        <w:numPr>
          <w:ilvl w:val="0"/>
          <w:numId w:val="1"/>
        </w:numPr>
        <w:spacing w:after="90" w:line="280"/>
      </w:pPr>
      <w:r>
        <w:rPr>
          <w:sz w:val="22"/>
          <w:szCs w:val="22"/>
        </w:rPr>
        <w:t xml:space="preserve">Matplotlib – chart plotting and figure formatting</w:t>
      </w:r>
    </w:p>
    <w:p>
      <w:pPr>
        <w:pStyle w:val="ListParagraph"/>
        <w:numPr>
          <w:ilvl w:val="0"/>
          <w:numId w:val="1"/>
        </w:numPr>
        <w:spacing w:after="90" w:line="280"/>
      </w:pPr>
      <w:r>
        <w:rPr>
          <w:sz w:val="22"/>
          <w:szCs w:val="22"/>
        </w:rPr>
        <w:t xml:space="preserve">Seaborn – statistical visualizations (histograms, boxplots, heatmap, pairplot, count plots)</w:t>
      </w:r>
    </w:p>
    <w:p>
      <w:pPr>
        <w:pStyle w:val="ListParagraph"/>
        <w:numPr>
          <w:ilvl w:val="0"/>
          <w:numId w:val="1"/>
        </w:numPr>
        <w:spacing w:after="90" w:line="280"/>
      </w:pPr>
      <w:r>
        <w:rPr>
          <w:sz w:val="22"/>
          <w:szCs w:val="22"/>
        </w:rPr>
        <w:t xml:space="preserve">Microsoft Excel (.xlsx) – source data format, read using pandas</w:t>
      </w:r>
    </w:p>
    <w:p>
      <w:pPr>
        <w:pStyle w:val="Heading1"/>
        <w:pBdr>
          <w:bottom w:val="single" w:color="2E75B6" w:sz="6" w:space="4"/>
        </w:pBdr>
        <w:spacing w:after="200" w:before="400"/>
      </w:pPr>
      <w:r>
        <w:rPr>
          <w:b/>
          <w:bCs/>
          <w:color w:val="1F3864"/>
          <w:sz w:val="30"/>
          <w:szCs w:val="30"/>
        </w:rPr>
        <w:t xml:space="preserve">4. Data Quality Assessment</w:t>
      </w:r>
    </w:p>
    <w:p>
      <w:pPr>
        <w:spacing w:after="160" w:line="300"/>
      </w:pPr>
      <w:r>
        <w:rPr>
          <w:sz w:val="22"/>
          <w:szCs w:val="22"/>
        </w:rPr>
        <w:t xml:space="preserve">Before performing statistical and visual analysis, the dataset was checked for missing values and duplicate records to confirm data 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color="auto" w:val="clear"/>
            <w:tcMar>
              <w:top w:type="dxa" w:w="80"/>
              <w:left w:type="dxa" w:w="120"/>
              <w:bottom w:type="dxa" w:w="80"/>
              <w:right w:type="dxa" w:w="120"/>
            </w:tcMar>
            <w:vAlign w:val="center"/>
          </w:tcPr>
          <w:p>
            <w:r>
              <w:rPr>
                <w:b/>
                <w:bCs/>
                <w:color w:val="FFFFFF"/>
                <w:sz w:val="20"/>
                <w:szCs w:val="20"/>
              </w:rPr>
              <w:t xml:space="preserve">Check</w:t>
            </w:r>
          </w:p>
        </w:tc>
        <w:tc>
          <w:tcPr>
            <w:tcW w:type="dxa" w:w="4680"/>
            <w:shd w:fill="1F3864" w:color="auto" w:val="clear"/>
            <w:tcMar>
              <w:top w:type="dxa" w:w="80"/>
              <w:left w:type="dxa" w:w="120"/>
              <w:bottom w:type="dxa" w:w="80"/>
              <w:right w:type="dxa" w:w="120"/>
            </w:tcMar>
            <w:vAlign w:val="center"/>
          </w:tcPr>
          <w:p>
            <w:r>
              <w:rPr>
                <w:b/>
                <w:bCs/>
                <w:color w:val="FFFFFF"/>
                <w:sz w:val="20"/>
                <w:szCs w:val="20"/>
              </w:rPr>
              <w:t xml:space="preserve">Result</w:t>
            </w:r>
          </w:p>
        </w:tc>
      </w:tr>
      <w:tr>
        <w:tc>
          <w:tcPr>
            <w:tcW w:type="dxa" w:w="4680"/>
            <w:shd w:fill="FFFFFF" w:color="auto" w:val="clear"/>
            <w:tcMar>
              <w:top w:type="dxa" w:w="70"/>
              <w:left w:type="dxa" w:w="120"/>
              <w:bottom w:type="dxa" w:w="70"/>
              <w:right w:type="dxa" w:w="120"/>
            </w:tcMar>
            <w:vAlign w:val="center"/>
          </w:tcPr>
          <w:p>
            <w:r>
              <w:rPr>
                <w:sz w:val="20"/>
                <w:szCs w:val="20"/>
              </w:rPr>
              <w:t xml:space="preserve">Missing values (any column)</w:t>
            </w:r>
          </w:p>
        </w:tc>
        <w:tc>
          <w:tcPr>
            <w:tcW w:type="dxa" w:w="4680"/>
            <w:shd w:fill="FFFFFF" w:color="auto" w:val="clear"/>
            <w:tcMar>
              <w:top w:type="dxa" w:w="70"/>
              <w:left w:type="dxa" w:w="120"/>
              <w:bottom w:type="dxa" w:w="70"/>
              <w:right w:type="dxa" w:w="120"/>
            </w:tcMar>
            <w:vAlign w:val="center"/>
          </w:tcPr>
          <w:p>
            <w:r>
              <w:rPr>
                <w:sz w:val="20"/>
                <w:szCs w:val="20"/>
              </w:rPr>
              <w:t xml:space="preserve">0 – no missing values found</w:t>
            </w:r>
          </w:p>
        </w:tc>
      </w:tr>
      <w:tr>
        <w:tc>
          <w:tcPr>
            <w:tcW w:type="dxa" w:w="4680"/>
            <w:shd w:fill="F2F2F2" w:color="auto" w:val="clear"/>
            <w:tcMar>
              <w:top w:type="dxa" w:w="70"/>
              <w:left w:type="dxa" w:w="120"/>
              <w:bottom w:type="dxa" w:w="70"/>
              <w:right w:type="dxa" w:w="120"/>
            </w:tcMar>
            <w:vAlign w:val="center"/>
          </w:tcPr>
          <w:p>
            <w:r>
              <w:rPr>
                <w:sz w:val="20"/>
                <w:szCs w:val="20"/>
              </w:rPr>
              <w:t xml:space="preserve">Duplicate rows</w:t>
            </w:r>
          </w:p>
        </w:tc>
        <w:tc>
          <w:tcPr>
            <w:tcW w:type="dxa" w:w="4680"/>
            <w:shd w:fill="F2F2F2" w:color="auto" w:val="clear"/>
            <w:tcMar>
              <w:top w:type="dxa" w:w="70"/>
              <w:left w:type="dxa" w:w="120"/>
              <w:bottom w:type="dxa" w:w="70"/>
              <w:right w:type="dxa" w:w="120"/>
            </w:tcMar>
            <w:vAlign w:val="center"/>
          </w:tcPr>
          <w:p>
            <w:r>
              <w:rPr>
                <w:sz w:val="20"/>
                <w:szCs w:val="20"/>
              </w:rPr>
              <w:t xml:space="preserve">0 – no duplicate records found</w:t>
            </w:r>
          </w:p>
        </w:tc>
      </w:tr>
    </w:tbl>
    <w:p>
      <w:pPr>
        <w:spacing w:before="200"/>
      </w:pPr>
    </w:p>
    <w:p>
      <w:pPr>
        <w:spacing w:after="160" w:line="300"/>
      </w:pPr>
      <w:r>
        <w:rPr>
          <w:sz w:val="22"/>
          <w:szCs w:val="22"/>
        </w:rPr>
        <w:t xml:space="preserve">The dataset required no additional cleaning and was suitable for direct analysis.</w:t>
      </w:r>
    </w:p>
    <w:p>
      <w:pPr>
        <w:pStyle w:val="Heading1"/>
        <w:pBdr>
          <w:bottom w:val="single" w:color="2E75B6" w:sz="6" w:space="4"/>
        </w:pBdr>
        <w:spacing w:after="200" w:before="400"/>
      </w:pPr>
      <w:r>
        <w:rPr>
          <w:b/>
          <w:bCs/>
          <w:color w:val="1F3864"/>
          <w:sz w:val="30"/>
          <w:szCs w:val="30"/>
        </w:rPr>
        <w:t xml:space="preserve">5. Descriptive Statistics Summary</w:t>
      </w:r>
    </w:p>
    <w:p>
      <w:pPr>
        <w:spacing w:after="160" w:line="300"/>
      </w:pPr>
      <w:r>
        <w:rPr>
          <w:sz w:val="22"/>
          <w:szCs w:val="22"/>
        </w:rPr>
        <w:t xml:space="preserve">Descriptive statistics were calculated for the four numerical columns: Quantity, UnitPrice, ItemsInCart, and TotalPrice.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c>
          <w:tcPr>
            <w:tcW w:type="dxa" w:w="2400"/>
            <w:shd w:fill="1F3864" w:color="auto" w:val="clear"/>
            <w:tcMar>
              <w:top w:type="dxa" w:w="80"/>
              <w:left w:type="dxa" w:w="120"/>
              <w:bottom w:type="dxa" w:w="80"/>
              <w:right w:type="dxa" w:w="120"/>
            </w:tcMar>
            <w:vAlign w:val="center"/>
          </w:tcPr>
          <w:p>
            <w:pPr>
              <w:jc w:val="left"/>
            </w:pPr>
            <w:r>
              <w:rPr>
                <w:b/>
                <w:bCs/>
                <w:color w:val="FFFFFF"/>
                <w:sz w:val="20"/>
                <w:szCs w:val="20"/>
              </w:rPr>
              <w:t xml:space="preserve">Statistic</w:t>
            </w:r>
          </w:p>
        </w:tc>
        <w:tc>
          <w:tcPr>
            <w:tcW w:type="dxa" w:w="1740"/>
            <w:shd w:fill="1F3864" w:color="auto" w:val="clear"/>
            <w:tcMar>
              <w:top w:type="dxa" w:w="80"/>
              <w:left w:type="dxa" w:w="120"/>
              <w:bottom w:type="dxa" w:w="80"/>
              <w:right w:type="dxa" w:w="120"/>
            </w:tcMar>
            <w:vAlign w:val="center"/>
          </w:tcPr>
          <w:p>
            <w:pPr>
              <w:jc w:val="center"/>
            </w:pPr>
            <w:r>
              <w:rPr>
                <w:b/>
                <w:bCs/>
                <w:color w:val="FFFFFF"/>
                <w:sz w:val="20"/>
                <w:szCs w:val="20"/>
              </w:rPr>
              <w:t xml:space="preserve">Quantity</w:t>
            </w:r>
          </w:p>
        </w:tc>
        <w:tc>
          <w:tcPr>
            <w:tcW w:type="dxa" w:w="1740"/>
            <w:shd w:fill="1F3864" w:color="auto" w:val="clear"/>
            <w:tcMar>
              <w:top w:type="dxa" w:w="80"/>
              <w:left w:type="dxa" w:w="120"/>
              <w:bottom w:type="dxa" w:w="80"/>
              <w:right w:type="dxa" w:w="120"/>
            </w:tcMar>
            <w:vAlign w:val="center"/>
          </w:tcPr>
          <w:p>
            <w:pPr>
              <w:jc w:val="center"/>
            </w:pPr>
            <w:r>
              <w:rPr>
                <w:b/>
                <w:bCs/>
                <w:color w:val="FFFFFF"/>
                <w:sz w:val="20"/>
                <w:szCs w:val="20"/>
              </w:rPr>
              <w:t xml:space="preserve">UnitPrice</w:t>
            </w:r>
          </w:p>
        </w:tc>
        <w:tc>
          <w:tcPr>
            <w:tcW w:type="dxa" w:w="1740"/>
            <w:shd w:fill="1F3864" w:color="auto" w:val="clear"/>
            <w:tcMar>
              <w:top w:type="dxa" w:w="80"/>
              <w:left w:type="dxa" w:w="120"/>
              <w:bottom w:type="dxa" w:w="80"/>
              <w:right w:type="dxa" w:w="120"/>
            </w:tcMar>
            <w:vAlign w:val="center"/>
          </w:tcPr>
          <w:p>
            <w:pPr>
              <w:jc w:val="center"/>
            </w:pPr>
            <w:r>
              <w:rPr>
                <w:b/>
                <w:bCs/>
                <w:color w:val="FFFFFF"/>
                <w:sz w:val="20"/>
                <w:szCs w:val="20"/>
              </w:rPr>
              <w:t xml:space="preserve">ItemsInCart</w:t>
            </w:r>
          </w:p>
        </w:tc>
        <w:tc>
          <w:tcPr>
            <w:tcW w:type="dxa" w:w="1740"/>
            <w:shd w:fill="1F3864" w:color="auto" w:val="clear"/>
            <w:tcMar>
              <w:top w:type="dxa" w:w="80"/>
              <w:left w:type="dxa" w:w="120"/>
              <w:bottom w:type="dxa" w:w="80"/>
              <w:right w:type="dxa" w:w="120"/>
            </w:tcMar>
            <w:vAlign w:val="center"/>
          </w:tcPr>
          <w:p>
            <w:pPr>
              <w:jc w:val="center"/>
            </w:pPr>
            <w:r>
              <w:rPr>
                <w:b/>
                <w:bCs/>
                <w:color w:val="FFFFFF"/>
                <w:sz w:val="20"/>
                <w:szCs w:val="20"/>
              </w:rPr>
              <w:t xml:space="preserve">TotalPrice</w:t>
            </w:r>
          </w:p>
        </w:tc>
      </w:tr>
      <w:tr>
        <w:tc>
          <w:tcPr>
            <w:tcW w:type="dxa" w:w="2400"/>
            <w:shd w:fill="F2F2F2" w:color="auto" w:val="clear"/>
            <w:tcMar>
              <w:top w:type="dxa" w:w="80"/>
              <w:left w:type="dxa" w:w="120"/>
              <w:bottom w:type="dxa" w:w="80"/>
              <w:right w:type="dxa" w:w="120"/>
            </w:tcMar>
            <w:vAlign w:val="center"/>
          </w:tcPr>
          <w:p>
            <w:pPr>
              <w:jc w:val="left"/>
            </w:pPr>
            <w:r>
              <w:rPr>
                <w:b/>
                <w:bCs/>
                <w:color w:val="000000"/>
                <w:sz w:val="20"/>
                <w:szCs w:val="20"/>
              </w:rPr>
              <w:t xml:space="preserve">Count</w:t>
            </w:r>
          </w:p>
        </w:tc>
        <w:tc>
          <w:tcPr>
            <w:tcW w:type="dxa" w:w="1740"/>
            <w:tcMar>
              <w:top w:type="dxa" w:w="80"/>
              <w:left w:type="dxa" w:w="120"/>
              <w:bottom w:type="dxa" w:w="80"/>
              <w:right w:type="dxa" w:w="120"/>
            </w:tcMar>
            <w:vAlign w:val="center"/>
          </w:tcPr>
          <w:p>
            <w:pPr>
              <w:jc w:val="center"/>
            </w:pPr>
            <w:r>
              <w:rPr>
                <w:b w:val="false"/>
                <w:bCs w:val="false"/>
                <w:color w:val="000000"/>
                <w:sz w:val="20"/>
                <w:szCs w:val="20"/>
              </w:rPr>
              <w:t xml:space="preserve">1200</w:t>
            </w:r>
          </w:p>
        </w:tc>
        <w:tc>
          <w:tcPr>
            <w:tcW w:type="dxa" w:w="1740"/>
            <w:tcMar>
              <w:top w:type="dxa" w:w="80"/>
              <w:left w:type="dxa" w:w="120"/>
              <w:bottom w:type="dxa" w:w="80"/>
              <w:right w:type="dxa" w:w="120"/>
            </w:tcMar>
            <w:vAlign w:val="center"/>
          </w:tcPr>
          <w:p>
            <w:pPr>
              <w:jc w:val="center"/>
            </w:pPr>
            <w:r>
              <w:rPr>
                <w:b w:val="false"/>
                <w:bCs w:val="false"/>
                <w:color w:val="000000"/>
                <w:sz w:val="20"/>
                <w:szCs w:val="20"/>
              </w:rPr>
              <w:t xml:space="preserve">1200</w:t>
            </w:r>
          </w:p>
        </w:tc>
        <w:tc>
          <w:tcPr>
            <w:tcW w:type="dxa" w:w="1740"/>
            <w:tcMar>
              <w:top w:type="dxa" w:w="80"/>
              <w:left w:type="dxa" w:w="120"/>
              <w:bottom w:type="dxa" w:w="80"/>
              <w:right w:type="dxa" w:w="120"/>
            </w:tcMar>
            <w:vAlign w:val="center"/>
          </w:tcPr>
          <w:p>
            <w:pPr>
              <w:jc w:val="center"/>
            </w:pPr>
            <w:r>
              <w:rPr>
                <w:b w:val="false"/>
                <w:bCs w:val="false"/>
                <w:color w:val="000000"/>
                <w:sz w:val="20"/>
                <w:szCs w:val="20"/>
              </w:rPr>
              <w:t xml:space="preserve">1200</w:t>
            </w:r>
          </w:p>
        </w:tc>
        <w:tc>
          <w:tcPr>
            <w:tcW w:type="dxa" w:w="1740"/>
            <w:tcMar>
              <w:top w:type="dxa" w:w="80"/>
              <w:left w:type="dxa" w:w="120"/>
              <w:bottom w:type="dxa" w:w="80"/>
              <w:right w:type="dxa" w:w="120"/>
            </w:tcMar>
            <w:vAlign w:val="center"/>
          </w:tcPr>
          <w:p>
            <w:pPr>
              <w:jc w:val="center"/>
            </w:pPr>
            <w:r>
              <w:rPr>
                <w:b w:val="false"/>
                <w:bCs w:val="false"/>
                <w:color w:val="000000"/>
                <w:sz w:val="20"/>
                <w:szCs w:val="20"/>
              </w:rPr>
              <w:t xml:space="preserve">1200</w:t>
            </w:r>
          </w:p>
        </w:tc>
      </w:tr>
      <w:tr>
        <w:tc>
          <w:tcPr>
            <w:tcW w:type="dxa" w:w="2400"/>
            <w:shd w:fill="F2F2F2" w:color="auto" w:val="clear"/>
            <w:tcMar>
              <w:top w:type="dxa" w:w="80"/>
              <w:left w:type="dxa" w:w="120"/>
              <w:bottom w:type="dxa" w:w="80"/>
              <w:right w:type="dxa" w:w="120"/>
            </w:tcMar>
            <w:vAlign w:val="center"/>
          </w:tcPr>
          <w:p>
            <w:pPr>
              <w:jc w:val="left"/>
            </w:pPr>
            <w:r>
              <w:rPr>
                <w:b/>
                <w:bCs/>
                <w:color w:val="000000"/>
                <w:sz w:val="20"/>
                <w:szCs w:val="20"/>
              </w:rPr>
              <w:t xml:space="preserve">Mean</w:t>
            </w:r>
          </w:p>
        </w:tc>
        <w:tc>
          <w:tcPr>
            <w:tcW w:type="dxa" w:w="1740"/>
            <w:tcMar>
              <w:top w:type="dxa" w:w="80"/>
              <w:left w:type="dxa" w:w="120"/>
              <w:bottom w:type="dxa" w:w="80"/>
              <w:right w:type="dxa" w:w="120"/>
            </w:tcMar>
            <w:vAlign w:val="center"/>
          </w:tcPr>
          <w:p>
            <w:pPr>
              <w:jc w:val="center"/>
            </w:pPr>
            <w:r>
              <w:rPr>
                <w:b w:val="false"/>
                <w:bCs w:val="false"/>
                <w:color w:val="000000"/>
                <w:sz w:val="20"/>
                <w:szCs w:val="20"/>
              </w:rPr>
              <w:t xml:space="preserve">2.95</w:t>
            </w:r>
          </w:p>
        </w:tc>
        <w:tc>
          <w:tcPr>
            <w:tcW w:type="dxa" w:w="1740"/>
            <w:tcMar>
              <w:top w:type="dxa" w:w="80"/>
              <w:left w:type="dxa" w:w="120"/>
              <w:bottom w:type="dxa" w:w="80"/>
              <w:right w:type="dxa" w:w="120"/>
            </w:tcMar>
            <w:vAlign w:val="center"/>
          </w:tcPr>
          <w:p>
            <w:pPr>
              <w:jc w:val="center"/>
            </w:pPr>
            <w:r>
              <w:rPr>
                <w:b w:val="false"/>
                <w:bCs w:val="false"/>
                <w:color w:val="000000"/>
                <w:sz w:val="20"/>
                <w:szCs w:val="20"/>
              </w:rPr>
              <w:t xml:space="preserve">356.41</w:t>
            </w:r>
          </w:p>
        </w:tc>
        <w:tc>
          <w:tcPr>
            <w:tcW w:type="dxa" w:w="1740"/>
            <w:tcMar>
              <w:top w:type="dxa" w:w="80"/>
              <w:left w:type="dxa" w:w="120"/>
              <w:bottom w:type="dxa" w:w="80"/>
              <w:right w:type="dxa" w:w="120"/>
            </w:tcMar>
            <w:vAlign w:val="center"/>
          </w:tcPr>
          <w:p>
            <w:pPr>
              <w:jc w:val="center"/>
            </w:pPr>
            <w:r>
              <w:rPr>
                <w:b w:val="false"/>
                <w:bCs w:val="false"/>
                <w:color w:val="000000"/>
                <w:sz w:val="20"/>
                <w:szCs w:val="20"/>
              </w:rPr>
              <w:t xml:space="preserve">5.49</w:t>
            </w:r>
          </w:p>
        </w:tc>
        <w:tc>
          <w:tcPr>
            <w:tcW w:type="dxa" w:w="1740"/>
            <w:tcMar>
              <w:top w:type="dxa" w:w="80"/>
              <w:left w:type="dxa" w:w="120"/>
              <w:bottom w:type="dxa" w:w="80"/>
              <w:right w:type="dxa" w:w="120"/>
            </w:tcMar>
            <w:vAlign w:val="center"/>
          </w:tcPr>
          <w:p>
            <w:pPr>
              <w:jc w:val="center"/>
            </w:pPr>
            <w:r>
              <w:rPr>
                <w:b w:val="false"/>
                <w:bCs w:val="false"/>
                <w:color w:val="000000"/>
                <w:sz w:val="20"/>
                <w:szCs w:val="20"/>
              </w:rPr>
              <w:t xml:space="preserve">1053.97</w:t>
            </w:r>
          </w:p>
        </w:tc>
      </w:tr>
      <w:tr>
        <w:tc>
          <w:tcPr>
            <w:tcW w:type="dxa" w:w="2400"/>
            <w:shd w:fill="F2F2F2" w:color="auto" w:val="clear"/>
            <w:tcMar>
              <w:top w:type="dxa" w:w="80"/>
              <w:left w:type="dxa" w:w="120"/>
              <w:bottom w:type="dxa" w:w="80"/>
              <w:right w:type="dxa" w:w="120"/>
            </w:tcMar>
            <w:vAlign w:val="center"/>
          </w:tcPr>
          <w:p>
            <w:pPr>
              <w:jc w:val="left"/>
            </w:pPr>
            <w:r>
              <w:rPr>
                <w:b/>
                <w:bCs/>
                <w:color w:val="000000"/>
                <w:sz w:val="20"/>
                <w:szCs w:val="20"/>
              </w:rPr>
              <w:t xml:space="preserve">Median</w:t>
            </w:r>
          </w:p>
        </w:tc>
        <w:tc>
          <w:tcPr>
            <w:tcW w:type="dxa" w:w="1740"/>
            <w:tcMar>
              <w:top w:type="dxa" w:w="80"/>
              <w:left w:type="dxa" w:w="120"/>
              <w:bottom w:type="dxa" w:w="80"/>
              <w:right w:type="dxa" w:w="120"/>
            </w:tcMar>
            <w:vAlign w:val="center"/>
          </w:tcPr>
          <w:p>
            <w:pPr>
              <w:jc w:val="center"/>
            </w:pPr>
            <w:r>
              <w:rPr>
                <w:b w:val="false"/>
                <w:bCs w:val="false"/>
                <w:color w:val="000000"/>
                <w:sz w:val="20"/>
                <w:szCs w:val="20"/>
              </w:rPr>
              <w:t xml:space="preserve">3</w:t>
            </w:r>
          </w:p>
        </w:tc>
        <w:tc>
          <w:tcPr>
            <w:tcW w:type="dxa" w:w="1740"/>
            <w:tcMar>
              <w:top w:type="dxa" w:w="80"/>
              <w:left w:type="dxa" w:w="120"/>
              <w:bottom w:type="dxa" w:w="80"/>
              <w:right w:type="dxa" w:w="120"/>
            </w:tcMar>
            <w:vAlign w:val="center"/>
          </w:tcPr>
          <w:p>
            <w:pPr>
              <w:jc w:val="center"/>
            </w:pPr>
            <w:r>
              <w:rPr>
                <w:b w:val="false"/>
                <w:bCs w:val="false"/>
                <w:color w:val="000000"/>
                <w:sz w:val="20"/>
                <w:szCs w:val="20"/>
              </w:rPr>
              <w:t xml:space="preserve">364.21</w:t>
            </w:r>
          </w:p>
        </w:tc>
        <w:tc>
          <w:tcPr>
            <w:tcW w:type="dxa" w:w="1740"/>
            <w:tcMar>
              <w:top w:type="dxa" w:w="80"/>
              <w:left w:type="dxa" w:w="120"/>
              <w:bottom w:type="dxa" w:w="80"/>
              <w:right w:type="dxa" w:w="120"/>
            </w:tcMar>
            <w:vAlign w:val="center"/>
          </w:tcPr>
          <w:p>
            <w:pPr>
              <w:jc w:val="center"/>
            </w:pPr>
            <w:r>
              <w:rPr>
                <w:b w:val="false"/>
                <w:bCs w:val="false"/>
                <w:color w:val="000000"/>
                <w:sz w:val="20"/>
                <w:szCs w:val="20"/>
              </w:rPr>
              <w:t xml:space="preserve">5</w:t>
            </w:r>
          </w:p>
        </w:tc>
        <w:tc>
          <w:tcPr>
            <w:tcW w:type="dxa" w:w="1740"/>
            <w:tcMar>
              <w:top w:type="dxa" w:w="80"/>
              <w:left w:type="dxa" w:w="120"/>
              <w:bottom w:type="dxa" w:w="80"/>
              <w:right w:type="dxa" w:w="120"/>
            </w:tcMar>
            <w:vAlign w:val="center"/>
          </w:tcPr>
          <w:p>
            <w:pPr>
              <w:jc w:val="center"/>
            </w:pPr>
            <w:r>
              <w:rPr>
                <w:b w:val="false"/>
                <w:bCs w:val="false"/>
                <w:color w:val="000000"/>
                <w:sz w:val="20"/>
                <w:szCs w:val="20"/>
              </w:rPr>
              <w:t xml:space="preserve">823.62</w:t>
            </w:r>
          </w:p>
        </w:tc>
      </w:tr>
      <w:tr>
        <w:tc>
          <w:tcPr>
            <w:tcW w:type="dxa" w:w="2400"/>
            <w:shd w:fill="F2F2F2" w:color="auto" w:val="clear"/>
            <w:tcMar>
              <w:top w:type="dxa" w:w="80"/>
              <w:left w:type="dxa" w:w="120"/>
              <w:bottom w:type="dxa" w:w="80"/>
              <w:right w:type="dxa" w:w="120"/>
            </w:tcMar>
            <w:vAlign w:val="center"/>
          </w:tcPr>
          <w:p>
            <w:pPr>
              <w:jc w:val="left"/>
            </w:pPr>
            <w:r>
              <w:rPr>
                <w:b/>
                <w:bCs/>
                <w:color w:val="000000"/>
                <w:sz w:val="20"/>
                <w:szCs w:val="20"/>
              </w:rPr>
              <w:t xml:space="preserve">Std. Deviation</w:t>
            </w:r>
          </w:p>
        </w:tc>
        <w:tc>
          <w:tcPr>
            <w:tcW w:type="dxa" w:w="1740"/>
            <w:tcMar>
              <w:top w:type="dxa" w:w="80"/>
              <w:left w:type="dxa" w:w="120"/>
              <w:bottom w:type="dxa" w:w="80"/>
              <w:right w:type="dxa" w:w="120"/>
            </w:tcMar>
            <w:vAlign w:val="center"/>
          </w:tcPr>
          <w:p>
            <w:pPr>
              <w:jc w:val="center"/>
            </w:pPr>
            <w:r>
              <w:rPr>
                <w:b w:val="false"/>
                <w:bCs w:val="false"/>
                <w:color w:val="000000"/>
                <w:sz w:val="20"/>
                <w:szCs w:val="20"/>
              </w:rPr>
              <w:t xml:space="preserve">1.41</w:t>
            </w:r>
          </w:p>
        </w:tc>
        <w:tc>
          <w:tcPr>
            <w:tcW w:type="dxa" w:w="1740"/>
            <w:tcMar>
              <w:top w:type="dxa" w:w="80"/>
              <w:left w:type="dxa" w:w="120"/>
              <w:bottom w:type="dxa" w:w="80"/>
              <w:right w:type="dxa" w:w="120"/>
            </w:tcMar>
            <w:vAlign w:val="center"/>
          </w:tcPr>
          <w:p>
            <w:pPr>
              <w:jc w:val="center"/>
            </w:pPr>
            <w:r>
              <w:rPr>
                <w:b w:val="false"/>
                <w:bCs w:val="false"/>
                <w:color w:val="000000"/>
                <w:sz w:val="20"/>
                <w:szCs w:val="20"/>
              </w:rPr>
              <w:t xml:space="preserve">197.18</w:t>
            </w:r>
          </w:p>
        </w:tc>
        <w:tc>
          <w:tcPr>
            <w:tcW w:type="dxa" w:w="1740"/>
            <w:tcMar>
              <w:top w:type="dxa" w:w="80"/>
              <w:left w:type="dxa" w:w="120"/>
              <w:bottom w:type="dxa" w:w="80"/>
              <w:right w:type="dxa" w:w="120"/>
            </w:tcMar>
            <w:vAlign w:val="center"/>
          </w:tcPr>
          <w:p>
            <w:pPr>
              <w:jc w:val="center"/>
            </w:pPr>
            <w:r>
              <w:rPr>
                <w:b w:val="false"/>
                <w:bCs w:val="false"/>
                <w:color w:val="000000"/>
                <w:sz w:val="20"/>
                <w:szCs w:val="20"/>
              </w:rPr>
              <w:t xml:space="preserve">2.28</w:t>
            </w:r>
          </w:p>
        </w:tc>
        <w:tc>
          <w:tcPr>
            <w:tcW w:type="dxa" w:w="1740"/>
            <w:tcMar>
              <w:top w:type="dxa" w:w="80"/>
              <w:left w:type="dxa" w:w="120"/>
              <w:bottom w:type="dxa" w:w="80"/>
              <w:right w:type="dxa" w:w="120"/>
            </w:tcMar>
            <w:vAlign w:val="center"/>
          </w:tcPr>
          <w:p>
            <w:pPr>
              <w:jc w:val="center"/>
            </w:pPr>
            <w:r>
              <w:rPr>
                <w:b w:val="false"/>
                <w:bCs w:val="false"/>
                <w:color w:val="000000"/>
                <w:sz w:val="20"/>
                <w:szCs w:val="20"/>
              </w:rPr>
              <w:t xml:space="preserve">819.86</w:t>
            </w:r>
          </w:p>
        </w:tc>
      </w:tr>
      <w:tr>
        <w:tc>
          <w:tcPr>
            <w:tcW w:type="dxa" w:w="2400"/>
            <w:shd w:fill="F2F2F2" w:color="auto" w:val="clear"/>
            <w:tcMar>
              <w:top w:type="dxa" w:w="80"/>
              <w:left w:type="dxa" w:w="120"/>
              <w:bottom w:type="dxa" w:w="80"/>
              <w:right w:type="dxa" w:w="120"/>
            </w:tcMar>
            <w:vAlign w:val="center"/>
          </w:tcPr>
          <w:p>
            <w:pPr>
              <w:jc w:val="left"/>
            </w:pPr>
            <w:r>
              <w:rPr>
                <w:b/>
                <w:bCs/>
                <w:color w:val="000000"/>
                <w:sz w:val="20"/>
                <w:szCs w:val="20"/>
              </w:rPr>
              <w:t xml:space="preserve">Minimum</w:t>
            </w:r>
          </w:p>
        </w:tc>
        <w:tc>
          <w:tcPr>
            <w:tcW w:type="dxa" w:w="1740"/>
            <w:tcMar>
              <w:top w:type="dxa" w:w="80"/>
              <w:left w:type="dxa" w:w="120"/>
              <w:bottom w:type="dxa" w:w="80"/>
              <w:right w:type="dxa" w:w="120"/>
            </w:tcMar>
            <w:vAlign w:val="center"/>
          </w:tcPr>
          <w:p>
            <w:pPr>
              <w:jc w:val="center"/>
            </w:pPr>
            <w:r>
              <w:rPr>
                <w:b w:val="false"/>
                <w:bCs w:val="false"/>
                <w:color w:val="000000"/>
                <w:sz w:val="20"/>
                <w:szCs w:val="20"/>
              </w:rPr>
              <w:t xml:space="preserve">1</w:t>
            </w:r>
          </w:p>
        </w:tc>
        <w:tc>
          <w:tcPr>
            <w:tcW w:type="dxa" w:w="1740"/>
            <w:tcMar>
              <w:top w:type="dxa" w:w="80"/>
              <w:left w:type="dxa" w:w="120"/>
              <w:bottom w:type="dxa" w:w="80"/>
              <w:right w:type="dxa" w:w="120"/>
            </w:tcMar>
            <w:vAlign w:val="center"/>
          </w:tcPr>
          <w:p>
            <w:pPr>
              <w:jc w:val="center"/>
            </w:pPr>
            <w:r>
              <w:rPr>
                <w:b w:val="false"/>
                <w:bCs w:val="false"/>
                <w:color w:val="000000"/>
                <w:sz w:val="20"/>
                <w:szCs w:val="20"/>
              </w:rPr>
              <w:t xml:space="preserve">11.39</w:t>
            </w:r>
          </w:p>
        </w:tc>
        <w:tc>
          <w:tcPr>
            <w:tcW w:type="dxa" w:w="1740"/>
            <w:tcMar>
              <w:top w:type="dxa" w:w="80"/>
              <w:left w:type="dxa" w:w="120"/>
              <w:bottom w:type="dxa" w:w="80"/>
              <w:right w:type="dxa" w:w="120"/>
            </w:tcMar>
            <w:vAlign w:val="center"/>
          </w:tcPr>
          <w:p>
            <w:pPr>
              <w:jc w:val="center"/>
            </w:pPr>
            <w:r>
              <w:rPr>
                <w:b w:val="false"/>
                <w:bCs w:val="false"/>
                <w:color w:val="000000"/>
                <w:sz w:val="20"/>
                <w:szCs w:val="20"/>
              </w:rPr>
              <w:t xml:space="preserve">1</w:t>
            </w:r>
          </w:p>
        </w:tc>
        <w:tc>
          <w:tcPr>
            <w:tcW w:type="dxa" w:w="1740"/>
            <w:tcMar>
              <w:top w:type="dxa" w:w="80"/>
              <w:left w:type="dxa" w:w="120"/>
              <w:bottom w:type="dxa" w:w="80"/>
              <w:right w:type="dxa" w:w="120"/>
            </w:tcMar>
            <w:vAlign w:val="center"/>
          </w:tcPr>
          <w:p>
            <w:pPr>
              <w:jc w:val="center"/>
            </w:pPr>
            <w:r>
              <w:rPr>
                <w:b w:val="false"/>
                <w:bCs w:val="false"/>
                <w:color w:val="000000"/>
                <w:sz w:val="20"/>
                <w:szCs w:val="20"/>
              </w:rPr>
              <w:t xml:space="preserve">11.39</w:t>
            </w:r>
          </w:p>
        </w:tc>
      </w:tr>
      <w:tr>
        <w:tc>
          <w:tcPr>
            <w:tcW w:type="dxa" w:w="2400"/>
            <w:shd w:fill="F2F2F2" w:color="auto" w:val="clear"/>
            <w:tcMar>
              <w:top w:type="dxa" w:w="80"/>
              <w:left w:type="dxa" w:w="120"/>
              <w:bottom w:type="dxa" w:w="80"/>
              <w:right w:type="dxa" w:w="120"/>
            </w:tcMar>
            <w:vAlign w:val="center"/>
          </w:tcPr>
          <w:p>
            <w:pPr>
              <w:jc w:val="left"/>
            </w:pPr>
            <w:r>
              <w:rPr>
                <w:b/>
                <w:bCs/>
                <w:color w:val="000000"/>
                <w:sz w:val="20"/>
                <w:szCs w:val="20"/>
              </w:rPr>
              <w:t xml:space="preserve">25th Percentile (Q1)</w:t>
            </w:r>
          </w:p>
        </w:tc>
        <w:tc>
          <w:tcPr>
            <w:tcW w:type="dxa" w:w="1740"/>
            <w:tcMar>
              <w:top w:type="dxa" w:w="80"/>
              <w:left w:type="dxa" w:w="120"/>
              <w:bottom w:type="dxa" w:w="80"/>
              <w:right w:type="dxa" w:w="120"/>
            </w:tcMar>
            <w:vAlign w:val="center"/>
          </w:tcPr>
          <w:p>
            <w:pPr>
              <w:jc w:val="center"/>
            </w:pPr>
            <w:r>
              <w:rPr>
                <w:b w:val="false"/>
                <w:bCs w:val="false"/>
                <w:color w:val="000000"/>
                <w:sz w:val="20"/>
                <w:szCs w:val="20"/>
              </w:rPr>
              <w:t xml:space="preserve">2</w:t>
            </w:r>
          </w:p>
        </w:tc>
        <w:tc>
          <w:tcPr>
            <w:tcW w:type="dxa" w:w="1740"/>
            <w:tcMar>
              <w:top w:type="dxa" w:w="80"/>
              <w:left w:type="dxa" w:w="120"/>
              <w:bottom w:type="dxa" w:w="80"/>
              <w:right w:type="dxa" w:w="120"/>
            </w:tcMar>
            <w:vAlign w:val="center"/>
          </w:tcPr>
          <w:p>
            <w:pPr>
              <w:jc w:val="center"/>
            </w:pPr>
            <w:r>
              <w:rPr>
                <w:b w:val="false"/>
                <w:bCs w:val="false"/>
                <w:color w:val="000000"/>
                <w:sz w:val="20"/>
                <w:szCs w:val="20"/>
              </w:rPr>
              <w:t xml:space="preserve">186.06</w:t>
            </w:r>
          </w:p>
        </w:tc>
        <w:tc>
          <w:tcPr>
            <w:tcW w:type="dxa" w:w="1740"/>
            <w:tcMar>
              <w:top w:type="dxa" w:w="80"/>
              <w:left w:type="dxa" w:w="120"/>
              <w:bottom w:type="dxa" w:w="80"/>
              <w:right w:type="dxa" w:w="120"/>
            </w:tcMar>
            <w:vAlign w:val="center"/>
          </w:tcPr>
          <w:p>
            <w:pPr>
              <w:jc w:val="center"/>
            </w:pPr>
            <w:r>
              <w:rPr>
                <w:b w:val="false"/>
                <w:bCs w:val="false"/>
                <w:color w:val="000000"/>
                <w:sz w:val="20"/>
                <w:szCs w:val="20"/>
              </w:rPr>
              <w:t xml:space="preserve">4</w:t>
            </w:r>
          </w:p>
        </w:tc>
        <w:tc>
          <w:tcPr>
            <w:tcW w:type="dxa" w:w="1740"/>
            <w:tcMar>
              <w:top w:type="dxa" w:w="80"/>
              <w:left w:type="dxa" w:w="120"/>
              <w:bottom w:type="dxa" w:w="80"/>
              <w:right w:type="dxa" w:w="120"/>
            </w:tcMar>
            <w:vAlign w:val="center"/>
          </w:tcPr>
          <w:p>
            <w:pPr>
              <w:jc w:val="center"/>
            </w:pPr>
            <w:r>
              <w:rPr>
                <w:b w:val="false"/>
                <w:bCs w:val="false"/>
                <w:color w:val="000000"/>
                <w:sz w:val="20"/>
                <w:szCs w:val="20"/>
              </w:rPr>
              <w:t xml:space="preserve">410.52</w:t>
            </w:r>
          </w:p>
        </w:tc>
      </w:tr>
      <w:tr>
        <w:tc>
          <w:tcPr>
            <w:tcW w:type="dxa" w:w="2400"/>
            <w:shd w:fill="F2F2F2" w:color="auto" w:val="clear"/>
            <w:tcMar>
              <w:top w:type="dxa" w:w="80"/>
              <w:left w:type="dxa" w:w="120"/>
              <w:bottom w:type="dxa" w:w="80"/>
              <w:right w:type="dxa" w:w="120"/>
            </w:tcMar>
            <w:vAlign w:val="center"/>
          </w:tcPr>
          <w:p>
            <w:pPr>
              <w:jc w:val="left"/>
            </w:pPr>
            <w:r>
              <w:rPr>
                <w:b/>
                <w:bCs/>
                <w:color w:val="000000"/>
                <w:sz w:val="20"/>
                <w:szCs w:val="20"/>
              </w:rPr>
              <w:t xml:space="preserve">75th Percentile (Q3)</w:t>
            </w:r>
          </w:p>
        </w:tc>
        <w:tc>
          <w:tcPr>
            <w:tcW w:type="dxa" w:w="1740"/>
            <w:tcMar>
              <w:top w:type="dxa" w:w="80"/>
              <w:left w:type="dxa" w:w="120"/>
              <w:bottom w:type="dxa" w:w="80"/>
              <w:right w:type="dxa" w:w="120"/>
            </w:tcMar>
            <w:vAlign w:val="center"/>
          </w:tcPr>
          <w:p>
            <w:pPr>
              <w:jc w:val="center"/>
            </w:pPr>
            <w:r>
              <w:rPr>
                <w:b w:val="false"/>
                <w:bCs w:val="false"/>
                <w:color w:val="000000"/>
                <w:sz w:val="20"/>
                <w:szCs w:val="20"/>
              </w:rPr>
              <w:t xml:space="preserve">4</w:t>
            </w:r>
          </w:p>
        </w:tc>
        <w:tc>
          <w:tcPr>
            <w:tcW w:type="dxa" w:w="1740"/>
            <w:tcMar>
              <w:top w:type="dxa" w:w="80"/>
              <w:left w:type="dxa" w:w="120"/>
              <w:bottom w:type="dxa" w:w="80"/>
              <w:right w:type="dxa" w:w="120"/>
            </w:tcMar>
            <w:vAlign w:val="center"/>
          </w:tcPr>
          <w:p>
            <w:pPr>
              <w:jc w:val="center"/>
            </w:pPr>
            <w:r>
              <w:rPr>
                <w:b w:val="false"/>
                <w:bCs w:val="false"/>
                <w:color w:val="000000"/>
                <w:sz w:val="20"/>
                <w:szCs w:val="20"/>
              </w:rPr>
              <w:t xml:space="preserve">521.57</w:t>
            </w:r>
          </w:p>
        </w:tc>
        <w:tc>
          <w:tcPr>
            <w:tcW w:type="dxa" w:w="1740"/>
            <w:tcMar>
              <w:top w:type="dxa" w:w="80"/>
              <w:left w:type="dxa" w:w="120"/>
              <w:bottom w:type="dxa" w:w="80"/>
              <w:right w:type="dxa" w:w="120"/>
            </w:tcMar>
            <w:vAlign w:val="center"/>
          </w:tcPr>
          <w:p>
            <w:pPr>
              <w:jc w:val="center"/>
            </w:pPr>
            <w:r>
              <w:rPr>
                <w:b w:val="false"/>
                <w:bCs w:val="false"/>
                <w:color w:val="000000"/>
                <w:sz w:val="20"/>
                <w:szCs w:val="20"/>
              </w:rPr>
              <w:t xml:space="preserve">7</w:t>
            </w:r>
          </w:p>
        </w:tc>
        <w:tc>
          <w:tcPr>
            <w:tcW w:type="dxa" w:w="1740"/>
            <w:tcMar>
              <w:top w:type="dxa" w:w="80"/>
              <w:left w:type="dxa" w:w="120"/>
              <w:bottom w:type="dxa" w:w="80"/>
              <w:right w:type="dxa" w:w="120"/>
            </w:tcMar>
            <w:vAlign w:val="center"/>
          </w:tcPr>
          <w:p>
            <w:pPr>
              <w:jc w:val="center"/>
            </w:pPr>
            <w:r>
              <w:rPr>
                <w:b w:val="false"/>
                <w:bCs w:val="false"/>
                <w:color w:val="000000"/>
                <w:sz w:val="20"/>
                <w:szCs w:val="20"/>
              </w:rPr>
              <w:t xml:space="preserve">1578.48</w:t>
            </w:r>
          </w:p>
        </w:tc>
      </w:tr>
      <w:tr>
        <w:tc>
          <w:tcPr>
            <w:tcW w:type="dxa" w:w="2400"/>
            <w:shd w:fill="F2F2F2" w:color="auto" w:val="clear"/>
            <w:tcMar>
              <w:top w:type="dxa" w:w="80"/>
              <w:left w:type="dxa" w:w="120"/>
              <w:bottom w:type="dxa" w:w="80"/>
              <w:right w:type="dxa" w:w="120"/>
            </w:tcMar>
            <w:vAlign w:val="center"/>
          </w:tcPr>
          <w:p>
            <w:pPr>
              <w:jc w:val="left"/>
            </w:pPr>
            <w:r>
              <w:rPr>
                <w:b/>
                <w:bCs/>
                <w:color w:val="000000"/>
                <w:sz w:val="20"/>
                <w:szCs w:val="20"/>
              </w:rPr>
              <w:t xml:space="preserve">Maximum</w:t>
            </w:r>
          </w:p>
        </w:tc>
        <w:tc>
          <w:tcPr>
            <w:tcW w:type="dxa" w:w="1740"/>
            <w:tcMar>
              <w:top w:type="dxa" w:w="80"/>
              <w:left w:type="dxa" w:w="120"/>
              <w:bottom w:type="dxa" w:w="80"/>
              <w:right w:type="dxa" w:w="120"/>
            </w:tcMar>
            <w:vAlign w:val="center"/>
          </w:tcPr>
          <w:p>
            <w:pPr>
              <w:jc w:val="center"/>
            </w:pPr>
            <w:r>
              <w:rPr>
                <w:b w:val="false"/>
                <w:bCs w:val="false"/>
                <w:color w:val="000000"/>
                <w:sz w:val="20"/>
                <w:szCs w:val="20"/>
              </w:rPr>
              <w:t xml:space="preserve">5</w:t>
            </w:r>
          </w:p>
        </w:tc>
        <w:tc>
          <w:tcPr>
            <w:tcW w:type="dxa" w:w="1740"/>
            <w:tcMar>
              <w:top w:type="dxa" w:w="80"/>
              <w:left w:type="dxa" w:w="120"/>
              <w:bottom w:type="dxa" w:w="80"/>
              <w:right w:type="dxa" w:w="120"/>
            </w:tcMar>
            <w:vAlign w:val="center"/>
          </w:tcPr>
          <w:p>
            <w:pPr>
              <w:jc w:val="center"/>
            </w:pPr>
            <w:r>
              <w:rPr>
                <w:b w:val="false"/>
                <w:bCs w:val="false"/>
                <w:color w:val="000000"/>
                <w:sz w:val="20"/>
                <w:szCs w:val="20"/>
              </w:rPr>
              <w:t xml:space="preserve">699.93</w:t>
            </w:r>
          </w:p>
        </w:tc>
        <w:tc>
          <w:tcPr>
            <w:tcW w:type="dxa" w:w="1740"/>
            <w:tcMar>
              <w:top w:type="dxa" w:w="80"/>
              <w:left w:type="dxa" w:w="120"/>
              <w:bottom w:type="dxa" w:w="80"/>
              <w:right w:type="dxa" w:w="120"/>
            </w:tcMar>
            <w:vAlign w:val="center"/>
          </w:tcPr>
          <w:p>
            <w:pPr>
              <w:jc w:val="center"/>
            </w:pPr>
            <w:r>
              <w:rPr>
                <w:b w:val="false"/>
                <w:bCs w:val="false"/>
                <w:color w:val="000000"/>
                <w:sz w:val="20"/>
                <w:szCs w:val="20"/>
              </w:rPr>
              <w:t xml:space="preserve">10</w:t>
            </w:r>
          </w:p>
        </w:tc>
        <w:tc>
          <w:tcPr>
            <w:tcW w:type="dxa" w:w="1740"/>
            <w:tcMar>
              <w:top w:type="dxa" w:w="80"/>
              <w:left w:type="dxa" w:w="120"/>
              <w:bottom w:type="dxa" w:w="80"/>
              <w:right w:type="dxa" w:w="120"/>
            </w:tcMar>
            <w:vAlign w:val="center"/>
          </w:tcPr>
          <w:p>
            <w:pPr>
              <w:jc w:val="center"/>
            </w:pPr>
            <w:r>
              <w:rPr>
                <w:b w:val="false"/>
                <w:bCs w:val="false"/>
                <w:color w:val="000000"/>
                <w:sz w:val="20"/>
                <w:szCs w:val="20"/>
              </w:rPr>
              <w:t xml:space="preserve">3456.4</w:t>
            </w:r>
          </w:p>
        </w:tc>
      </w:tr>
    </w:tbl>
    <w:p>
      <w:pPr>
        <w:spacing w:before="240"/>
      </w:pPr>
    </w:p>
    <w:p>
      <w:pPr>
        <w:spacing w:after="160" w:line="300"/>
      </w:pPr>
      <w:r>
        <w:rPr>
          <w:sz w:val="22"/>
          <w:szCs w:val="22"/>
        </w:rPr>
        <w:t xml:space="preserve">Observation: The mean TotalPrice (₹1,053.97) is noticeably higher than the median (₹823.62), indicating a right-skewed distribution where a smaller number of high-value orders pull the average upward. Quantity, UnitPrice, and ItemsInCart show mean and median values that are close to each other, indicating relatively balanced distributions.</w:t>
      </w:r>
    </w:p>
    <w:p>
      <w:r>
        <w:br w:type="page"/>
      </w:r>
    </w:p>
    <w:p>
      <w:pPr>
        <w:pStyle w:val="Heading1"/>
        <w:pBdr>
          <w:bottom w:val="single" w:color="2E75B6" w:sz="6" w:space="4"/>
        </w:pBdr>
        <w:spacing w:after="200" w:before="400"/>
      </w:pPr>
      <w:r>
        <w:rPr>
          <w:b/>
          <w:bCs/>
          <w:color w:val="1F3864"/>
          <w:sz w:val="30"/>
          <w:szCs w:val="30"/>
        </w:rPr>
        <w:t xml:space="preserve">6. Exploratory Data Analysis</w:t>
      </w:r>
    </w:p>
    <w:p>
      <w:pPr>
        <w:spacing w:after="160" w:line="300"/>
      </w:pPr>
      <w:r>
        <w:rPr>
          <w:sz w:val="22"/>
          <w:szCs w:val="22"/>
        </w:rPr>
        <w:t xml:space="preserve">This section presents and explains each visualization generated during the analysis, describing the distributions, relationships, trends, and outliers observed in the dataset.</w:t>
      </w:r>
    </w:p>
    <w:p>
      <w:pPr>
        <w:pStyle w:val="Heading2"/>
        <w:spacing w:after="140" w:before="260"/>
      </w:pPr>
      <w:r>
        <w:rPr>
          <w:b/>
          <w:bCs/>
          <w:color w:val="2E75B6"/>
          <w:sz w:val="24"/>
          <w:szCs w:val="24"/>
        </w:rPr>
        <w:t xml:space="preserve">6.1 Histograms of Numerical Columns</w:t>
      </w:r>
    </w:p>
    <w:p>
      <w:pPr>
        <w:spacing w:after="80" w:before="120"/>
        <w:jc w:val="center"/>
      </w:pPr>
      <w:r>
        <w:drawing>
          <wp:inline distT="0" distB="0" distL="0" distR="0">
            <wp:extent cx="5524500" cy="391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914775"/>
                    </a:xfrm>
                    <a:prstGeom prst="rect">
                      <a:avLst/>
                    </a:prstGeom>
                  </pic:spPr>
                </pic:pic>
              </a:graphicData>
            </a:graphic>
          </wp:inline>
        </w:drawing>
      </w:r>
    </w:p>
    <w:p>
      <w:pPr>
        <w:spacing w:after="300"/>
        <w:jc w:val="center"/>
      </w:pPr>
      <w:r>
        <w:rPr>
          <w:i/>
          <w:iCs/>
          <w:color w:val="595959"/>
          <w:sz w:val="20"/>
          <w:szCs w:val="20"/>
        </w:rPr>
        <w:t xml:space="preserve">Figure 1: Distribution of Quantity, UnitPrice, ItemsInCart, and TotalPrice</w:t>
      </w:r>
    </w:p>
    <w:p>
      <w:pPr>
        <w:pStyle w:val="ListParagraph"/>
        <w:numPr>
          <w:ilvl w:val="0"/>
          <w:numId w:val="1"/>
        </w:numPr>
        <w:spacing w:after="90" w:line="280"/>
      </w:pPr>
      <w:r>
        <w:rPr>
          <w:sz w:val="22"/>
          <w:szCs w:val="22"/>
        </w:rPr>
        <w:t xml:space="preserve">Quantity takes only whole values from 1 to 5, each occurring with roughly similar frequency (no single quantity dominates).</w:t>
      </w:r>
    </w:p>
    <w:p>
      <w:pPr>
        <w:pStyle w:val="ListParagraph"/>
        <w:numPr>
          <w:ilvl w:val="0"/>
          <w:numId w:val="1"/>
        </w:numPr>
        <w:spacing w:after="90" w:line="280"/>
      </w:pPr>
      <w:r>
        <w:rPr>
          <w:sz w:val="22"/>
          <w:szCs w:val="22"/>
        </w:rPr>
        <w:t xml:space="preserve">UnitPrice is spread broadly and fairly evenly from about ₹11 to ₹700, with no single dominant price band.</w:t>
      </w:r>
    </w:p>
    <w:p>
      <w:pPr>
        <w:pStyle w:val="ListParagraph"/>
        <w:numPr>
          <w:ilvl w:val="0"/>
          <w:numId w:val="1"/>
        </w:numPr>
        <w:spacing w:after="90" w:line="280"/>
      </w:pPr>
      <w:r>
        <w:rPr>
          <w:sz w:val="22"/>
          <w:szCs w:val="22"/>
        </w:rPr>
        <w:t xml:space="preserve">ItemsInCart follows a roughly bell-shaped pattern, peaking around 5–6 items per cart.</w:t>
      </w:r>
    </w:p>
    <w:p>
      <w:pPr>
        <w:pStyle w:val="ListParagraph"/>
        <w:numPr>
          <w:ilvl w:val="0"/>
          <w:numId w:val="1"/>
        </w:numPr>
        <w:spacing w:after="90" w:line="280"/>
      </w:pPr>
      <w:r>
        <w:rPr>
          <w:sz w:val="22"/>
          <w:szCs w:val="22"/>
        </w:rPr>
        <w:t xml:space="preserve">TotalPrice is clearly right-skewed: most orders fall in the lower range (under ₹1,000), with a long tail of fewer, higher-value orders extending up to about ₹3,456.</w:t>
      </w:r>
    </w:p>
    <w:p>
      <w:pPr>
        <w:spacing w:after="160"/>
      </w:pPr>
    </w:p>
    <w:p>
      <w:pPr>
        <w:pStyle w:val="Heading2"/>
        <w:spacing w:after="140" w:before="260"/>
      </w:pPr>
      <w:r>
        <w:rPr>
          <w:b/>
          <w:bCs/>
          <w:color w:val="2E75B6"/>
          <w:sz w:val="24"/>
          <w:szCs w:val="24"/>
        </w:rPr>
        <w:t xml:space="preserve">6.2 Boxplots for Outlier Detection</w:t>
      </w:r>
    </w:p>
    <w:p>
      <w:pPr>
        <w:spacing w:after="80" w:before="120"/>
        <w:jc w:val="center"/>
      </w:pPr>
      <w:r>
        <w:drawing>
          <wp:inline distT="0" distB="0" distL="0" distR="0">
            <wp:extent cx="55245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133725"/>
                    </a:xfrm>
                    <a:prstGeom prst="rect">
                      <a:avLst/>
                    </a:prstGeom>
                  </pic:spPr>
                </pic:pic>
              </a:graphicData>
            </a:graphic>
          </wp:inline>
        </w:drawing>
      </w:r>
    </w:p>
    <w:p>
      <w:pPr>
        <w:spacing w:after="300"/>
        <w:jc w:val="center"/>
      </w:pPr>
      <w:r>
        <w:rPr>
          <w:i/>
          <w:iCs/>
          <w:color w:val="595959"/>
          <w:sz w:val="20"/>
          <w:szCs w:val="20"/>
        </w:rPr>
        <w:t xml:space="preserve">Figure 2: Boxplots of Quantity, UnitPrice, ItemsInCart, and TotalPrice</w:t>
      </w:r>
    </w:p>
    <w:p>
      <w:pPr>
        <w:pStyle w:val="ListParagraph"/>
        <w:numPr>
          <w:ilvl w:val="0"/>
          <w:numId w:val="1"/>
        </w:numPr>
        <w:spacing w:after="90" w:line="280"/>
      </w:pPr>
      <w:r>
        <w:rPr>
          <w:sz w:val="22"/>
          <w:szCs w:val="22"/>
        </w:rPr>
        <w:t xml:space="preserve">Quantity, UnitPrice, and ItemsInCart show no visible outlier points — all values stay within the whisker range.</w:t>
      </w:r>
    </w:p>
    <w:p>
      <w:pPr>
        <w:pStyle w:val="ListParagraph"/>
        <w:numPr>
          <w:ilvl w:val="0"/>
          <w:numId w:val="1"/>
        </w:numPr>
        <w:spacing w:after="90" w:line="280"/>
      </w:pPr>
      <w:r>
        <w:rPr>
          <w:sz w:val="22"/>
          <w:szCs w:val="22"/>
        </w:rPr>
        <w:t xml:space="preserve">TotalPrice is the only column showing outlier points, visible as small circles beyond the right whisker, corresponding to a small number of high-value orders (approximately 3,300 and above).</w:t>
      </w:r>
    </w:p>
    <w:p>
      <w:pPr>
        <w:pStyle w:val="ListParagraph"/>
        <w:numPr>
          <w:ilvl w:val="0"/>
          <w:numId w:val="1"/>
        </w:numPr>
        <w:spacing w:after="90" w:line="280"/>
      </w:pPr>
      <w:r>
        <w:rPr>
          <w:sz w:val="22"/>
          <w:szCs w:val="22"/>
        </w:rPr>
        <w:t xml:space="preserve">The interquartile range (box width) for TotalPrice is wider than the other variables, consistent with its right-skewed distribution seen in the histogram.</w:t>
      </w:r>
    </w:p>
    <w:p>
      <w:pPr>
        <w:spacing w:after="160"/>
      </w:pPr>
    </w:p>
    <w:p>
      <w:pPr>
        <w:pStyle w:val="Heading2"/>
        <w:spacing w:after="140" w:before="260"/>
      </w:pPr>
      <w:r>
        <w:rPr>
          <w:b/>
          <w:bCs/>
          <w:color w:val="2E75B6"/>
          <w:sz w:val="24"/>
          <w:szCs w:val="24"/>
        </w:rPr>
        <w:t xml:space="preserve">6.3 Correlation Heatmap</w:t>
      </w:r>
    </w:p>
    <w:p>
      <w:pPr>
        <w:spacing w:after="80" w:before="120"/>
        <w:jc w:val="center"/>
      </w:pPr>
      <w:r>
        <w:drawing>
          <wp:inline distT="0" distB="0" distL="0" distR="0">
            <wp:extent cx="4572000" cy="3676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676650"/>
                    </a:xfrm>
                    <a:prstGeom prst="rect">
                      <a:avLst/>
                    </a:prstGeom>
                  </pic:spPr>
                </pic:pic>
              </a:graphicData>
            </a:graphic>
          </wp:inline>
        </w:drawing>
      </w:r>
    </w:p>
    <w:p>
      <w:pPr>
        <w:spacing w:after="300"/>
        <w:jc w:val="center"/>
      </w:pPr>
      <w:r>
        <w:rPr>
          <w:i/>
          <w:iCs/>
          <w:color w:val="595959"/>
          <w:sz w:val="20"/>
          <w:szCs w:val="20"/>
        </w:rPr>
        <w:t xml:space="preserve">Figure 3: Correlation Heatmap of Numerical Features</w:t>
      </w:r>
    </w:p>
    <w:p>
      <w:pPr>
        <w:pStyle w:val="ListParagraph"/>
        <w:numPr>
          <w:ilvl w:val="0"/>
          <w:numId w:val="1"/>
        </w:numPr>
        <w:spacing w:after="90" w:line="280"/>
      </w:pPr>
      <w:r>
        <w:rPr>
          <w:sz w:val="22"/>
          <w:szCs w:val="22"/>
        </w:rPr>
        <w:t xml:space="preserve">TotalPrice has a strong positive correlation with UnitPrice (0.72) and a moderately strong positive correlation with Quantity (0.62), which is expected since TotalPrice is derived from these two fields.</w:t>
      </w:r>
    </w:p>
    <w:p>
      <w:pPr>
        <w:pStyle w:val="ListParagraph"/>
        <w:numPr>
          <w:ilvl w:val="0"/>
          <w:numId w:val="1"/>
        </w:numPr>
        <w:spacing w:after="90" w:line="280"/>
      </w:pPr>
      <w:r>
        <w:rPr>
          <w:sz w:val="22"/>
          <w:szCs w:val="22"/>
        </w:rPr>
        <w:t xml:space="preserve">Quantity and ItemsInCart show a moderate positive correlation (0.65).</w:t>
      </w:r>
    </w:p>
    <w:p>
      <w:pPr>
        <w:pStyle w:val="ListParagraph"/>
        <w:numPr>
          <w:ilvl w:val="0"/>
          <w:numId w:val="1"/>
        </w:numPr>
        <w:spacing w:after="90" w:line="280"/>
      </w:pPr>
      <w:r>
        <w:rPr>
          <w:sz w:val="22"/>
          <w:szCs w:val="22"/>
        </w:rPr>
        <w:t xml:space="preserve">UnitPrice has almost no correlation with Quantity (0.01) or ItemsInCart (0.00), meaning the price of a product does not influence how many units or cart items a customer selects.</w:t>
      </w:r>
    </w:p>
    <w:p>
      <w:pPr>
        <w:pStyle w:val="ListParagraph"/>
        <w:numPr>
          <w:ilvl w:val="0"/>
          <w:numId w:val="1"/>
        </w:numPr>
        <w:spacing w:after="90" w:line="280"/>
      </w:pPr>
      <w:r>
        <w:rPr>
          <w:sz w:val="22"/>
          <w:szCs w:val="22"/>
        </w:rPr>
        <w:t xml:space="preserve">ItemsInCart shows a weaker correlation with TotalPrice (0.39) compared to Quantity and UnitPrice, indicating cart size is a less important driver of final order value.</w:t>
      </w:r>
    </w:p>
    <w:p>
      <w:pPr>
        <w:spacing w:after="160"/>
      </w:pPr>
    </w:p>
    <w:p>
      <w:pPr>
        <w:pStyle w:val="Heading2"/>
        <w:spacing w:after="140" w:before="260"/>
      </w:pPr>
      <w:r>
        <w:rPr>
          <w:b/>
          <w:bCs/>
          <w:color w:val="2E75B6"/>
          <w:sz w:val="24"/>
          <w:szCs w:val="24"/>
        </w:rPr>
        <w:t xml:space="preserve">6.4 Pairplot of Numerical Variables</w:t>
      </w:r>
    </w:p>
    <w:p>
      <w:pPr>
        <w:spacing w:after="80" w:before="120"/>
        <w:jc w:val="center"/>
      </w:pPr>
      <w:r>
        <w:drawing>
          <wp:inline distT="0" distB="0" distL="0" distR="0">
            <wp:extent cx="4381500" cy="454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4543425"/>
                    </a:xfrm>
                    <a:prstGeom prst="rect">
                      <a:avLst/>
                    </a:prstGeom>
                  </pic:spPr>
                </pic:pic>
              </a:graphicData>
            </a:graphic>
          </wp:inline>
        </w:drawing>
      </w:r>
    </w:p>
    <w:p>
      <w:pPr>
        <w:spacing w:after="300"/>
        <w:jc w:val="center"/>
      </w:pPr>
      <w:r>
        <w:rPr>
          <w:i/>
          <w:iCs/>
          <w:color w:val="595959"/>
          <w:sz w:val="20"/>
          <w:szCs w:val="20"/>
        </w:rPr>
        <w:t xml:space="preserve">Figure 4: Pairplot Showing Pairwise Relationships Between Numerical Variables</w:t>
      </w:r>
    </w:p>
    <w:p>
      <w:pPr>
        <w:pStyle w:val="ListParagraph"/>
        <w:numPr>
          <w:ilvl w:val="0"/>
          <w:numId w:val="1"/>
        </w:numPr>
        <w:spacing w:after="90" w:line="280"/>
      </w:pPr>
      <w:r>
        <w:rPr>
          <w:sz w:val="22"/>
          <w:szCs w:val="22"/>
        </w:rPr>
        <w:t xml:space="preserve">The scatter plots of Quantity vs. TotalPrice and UnitPrice vs. TotalPrice show clear diagonal, fan-shaped patterns, confirming the positive linear relationships also seen in the correlation heatmap.</w:t>
      </w:r>
    </w:p>
    <w:p>
      <w:pPr>
        <w:pStyle w:val="ListParagraph"/>
        <w:numPr>
          <w:ilvl w:val="0"/>
          <w:numId w:val="1"/>
        </w:numPr>
        <w:spacing w:after="90" w:line="280"/>
      </w:pPr>
      <w:r>
        <w:rPr>
          <w:sz w:val="22"/>
          <w:szCs w:val="22"/>
        </w:rPr>
        <w:t xml:space="preserve">The UnitPrice vs. TotalPrice scatter shows distinct diagonal bands, each corresponding to a fixed Quantity value (1 to 5), which visually explains how TotalPrice is built from Quantity × UnitPrice.</w:t>
      </w:r>
    </w:p>
    <w:p>
      <w:pPr>
        <w:pStyle w:val="ListParagraph"/>
        <w:numPr>
          <w:ilvl w:val="0"/>
          <w:numId w:val="1"/>
        </w:numPr>
        <w:spacing w:after="90" w:line="280"/>
      </w:pPr>
      <w:r>
        <w:rPr>
          <w:sz w:val="22"/>
          <w:szCs w:val="22"/>
        </w:rPr>
        <w:t xml:space="preserve">ItemsInCart does not show a clear linear pattern against the other variables, reinforcing that it behaves largely independently of order value.</w:t>
      </w:r>
    </w:p>
    <w:p>
      <w:pPr>
        <w:pStyle w:val="ListParagraph"/>
        <w:numPr>
          <w:ilvl w:val="0"/>
          <w:numId w:val="1"/>
        </w:numPr>
        <w:spacing w:after="90" w:line="280"/>
      </w:pPr>
      <w:r>
        <w:rPr>
          <w:sz w:val="22"/>
          <w:szCs w:val="22"/>
        </w:rPr>
        <w:t xml:space="preserve">The diagonal density plots confirm the distribution shapes already seen in the histograms: TotalPrice is right-skewed, while Quantity, UnitPrice, and ItemsInCart are more evenly spread.</w:t>
      </w:r>
    </w:p>
    <w:p>
      <w:pPr>
        <w:spacing w:after="160"/>
      </w:pPr>
    </w:p>
    <w:p>
      <w:pPr>
        <w:pStyle w:val="Heading2"/>
        <w:spacing w:after="140" w:before="260"/>
      </w:pPr>
      <w:r>
        <w:rPr>
          <w:b/>
          <w:bCs/>
          <w:color w:val="2E75B6"/>
          <w:sz w:val="24"/>
          <w:szCs w:val="24"/>
        </w:rPr>
        <w:t xml:space="preserve">6.5 Count Plots for Categorical Columns</w:t>
      </w:r>
    </w:p>
    <w:p>
      <w:pPr>
        <w:spacing w:after="80" w:before="120"/>
        <w:jc w:val="center"/>
      </w:pPr>
      <w:r>
        <w:drawing>
          <wp:inline distT="0" distB="0" distL="0" distR="0">
            <wp:extent cx="5334000" cy="493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4933950"/>
                    </a:xfrm>
                    <a:prstGeom prst="rect">
                      <a:avLst/>
                    </a:prstGeom>
                  </pic:spPr>
                </pic:pic>
              </a:graphicData>
            </a:graphic>
          </wp:inline>
        </w:drawing>
      </w:r>
    </w:p>
    <w:p>
      <w:pPr>
        <w:spacing w:after="300"/>
        <w:jc w:val="center"/>
      </w:pPr>
      <w:r>
        <w:rPr>
          <w:i/>
          <w:iCs/>
          <w:color w:val="595959"/>
          <w:sz w:val="20"/>
          <w:szCs w:val="20"/>
        </w:rPr>
        <w:t xml:space="preserve">Figure 5: Count Plots of Product, PaymentMethod, OrderStatus, CouponCode, and ReferralSource</w:t>
      </w:r>
    </w:p>
    <w:p>
      <w:pPr>
        <w:pStyle w:val="ListParagraph"/>
        <w:numPr>
          <w:ilvl w:val="0"/>
          <w:numId w:val="1"/>
        </w:numPr>
        <w:spacing w:after="90" w:line="280"/>
      </w:pPr>
      <w:r>
        <w:rPr>
          <w:sz w:val="22"/>
          <w:szCs w:val="22"/>
        </w:rPr>
        <w:t xml:space="preserve">Product: Sales are fairly evenly distributed across the seven product categories. Printer (181), Tablet (179), and Chair (178) are the top three by order count, while Phone (156) has the fewest orders.</w:t>
      </w:r>
    </w:p>
    <w:p>
      <w:pPr>
        <w:pStyle w:val="ListParagraph"/>
        <w:numPr>
          <w:ilvl w:val="0"/>
          <w:numId w:val="1"/>
        </w:numPr>
        <w:spacing w:after="90" w:line="280"/>
      </w:pPr>
      <w:r>
        <w:rPr>
          <w:sz w:val="22"/>
          <w:szCs w:val="22"/>
        </w:rPr>
        <w:t xml:space="preserve">PaymentMethod: Online (258) is the most used payment method, followed closely by Cash (246), Credit Card (234), Debit Card (232), and Gift Card (230) — all five methods are used at broadly similar rates.</w:t>
      </w:r>
    </w:p>
    <w:p>
      <w:pPr>
        <w:pStyle w:val="ListParagraph"/>
        <w:numPr>
          <w:ilvl w:val="0"/>
          <w:numId w:val="1"/>
        </w:numPr>
        <w:spacing w:after="90" w:line="280"/>
      </w:pPr>
      <w:r>
        <w:rPr>
          <w:sz w:val="22"/>
          <w:szCs w:val="22"/>
        </w:rPr>
        <w:t xml:space="preserve">OrderStatus: The five statuses (Cancelled: 250, Returned: 247, Pending: 237, Shipped: 235, Delivered: 231) are almost evenly split, meaning a large share of orders do not reach successful delivery.</w:t>
      </w:r>
    </w:p>
    <w:p>
      <w:pPr>
        <w:pStyle w:val="ListParagraph"/>
        <w:numPr>
          <w:ilvl w:val="0"/>
          <w:numId w:val="1"/>
        </w:numPr>
        <w:spacing w:after="90" w:line="280"/>
      </w:pPr>
      <w:r>
        <w:rPr>
          <w:sz w:val="22"/>
          <w:szCs w:val="22"/>
        </w:rPr>
        <w:t xml:space="preserve">CouponCode: FREESHIP (313) and No Coupon (309) are used most often, followed by WINTER15 (292) and SAVE10 (286) — coupon usage is fairly balanced across all options.</w:t>
      </w:r>
    </w:p>
    <w:p>
      <w:pPr>
        <w:pStyle w:val="ListParagraph"/>
        <w:numPr>
          <w:ilvl w:val="0"/>
          <w:numId w:val="1"/>
        </w:numPr>
        <w:spacing w:after="90" w:line="280"/>
      </w:pPr>
      <w:r>
        <w:rPr>
          <w:sz w:val="22"/>
          <w:szCs w:val="22"/>
        </w:rPr>
        <w:t xml:space="preserve">ReferralSource: Instagram (259) is the leading referral source, followed by Email (250), Google (241), Facebook (228), and Referral (222).</w:t>
      </w:r>
    </w:p>
    <w:p>
      <w:pPr>
        <w:spacing w:after="160"/>
      </w:pPr>
    </w:p>
    <w:p>
      <w:pPr>
        <w:pStyle w:val="Heading2"/>
        <w:spacing w:after="140" w:before="260"/>
      </w:pPr>
      <w:r>
        <w:rPr>
          <w:b/>
          <w:bCs/>
          <w:color w:val="2E75B6"/>
          <w:sz w:val="24"/>
          <w:szCs w:val="24"/>
        </w:rPr>
        <w:t xml:space="preserve">6.6 Average Total Price by Product</w:t>
      </w:r>
    </w:p>
    <w:p>
      <w:pPr>
        <w:spacing w:after="80" w:before="120"/>
        <w:jc w:val="center"/>
      </w:pPr>
      <w:r>
        <w:drawing>
          <wp:inline distT="0" distB="0" distL="0" distR="0">
            <wp:extent cx="533400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181350"/>
                    </a:xfrm>
                    <a:prstGeom prst="rect">
                      <a:avLst/>
                    </a:prstGeom>
                  </pic:spPr>
                </pic:pic>
              </a:graphicData>
            </a:graphic>
          </wp:inline>
        </w:drawing>
      </w:r>
    </w:p>
    <w:p>
      <w:pPr>
        <w:spacing w:after="300"/>
        <w:jc w:val="center"/>
      </w:pPr>
      <w:r>
        <w:rPr>
          <w:i/>
          <w:iCs/>
          <w:color w:val="595959"/>
          <w:sz w:val="20"/>
          <w:szCs w:val="20"/>
        </w:rPr>
        <w:t xml:space="preserve">Figure 6: Average TotalPrice per Order by Product Category</w:t>
      </w:r>
    </w:p>
    <w:p>
      <w:pPr>
        <w:pStyle w:val="ListParagraph"/>
        <w:numPr>
          <w:ilvl w:val="0"/>
          <w:numId w:val="1"/>
        </w:numPr>
        <w:spacing w:after="90" w:line="280"/>
      </w:pPr>
      <w:r>
        <w:rPr>
          <w:sz w:val="22"/>
          <w:szCs w:val="22"/>
        </w:rPr>
        <w:t xml:space="preserve">Laptop has the highest average order value (≈ ₹1,111), followed closely by Chair (≈ ₹1,099) and Printer (≈ ₹1,081).</w:t>
      </w:r>
    </w:p>
    <w:p>
      <w:pPr>
        <w:pStyle w:val="ListParagraph"/>
        <w:numPr>
          <w:ilvl w:val="0"/>
          <w:numId w:val="1"/>
        </w:numPr>
        <w:spacing w:after="90" w:line="280"/>
      </w:pPr>
      <w:r>
        <w:rPr>
          <w:sz w:val="22"/>
          <w:szCs w:val="22"/>
        </w:rPr>
        <w:t xml:space="preserve">Monitor (≈ ₹1,078) and Tablet (≈ ₹1,042) fall in the middle range.</w:t>
      </w:r>
    </w:p>
    <w:p>
      <w:pPr>
        <w:pStyle w:val="ListParagraph"/>
        <w:numPr>
          <w:ilvl w:val="0"/>
          <w:numId w:val="1"/>
        </w:numPr>
        <w:spacing w:after="90" w:line="280"/>
      </w:pPr>
      <w:r>
        <w:rPr>
          <w:sz w:val="22"/>
          <w:szCs w:val="22"/>
        </w:rPr>
        <w:t xml:space="preserve">Desk (≈ ₹985) and Phone (≈ ₹973) generate the lowest average order value among the seven product categories.</w:t>
      </w:r>
    </w:p>
    <w:p>
      <w:pPr>
        <w:pStyle w:val="ListParagraph"/>
        <w:numPr>
          <w:ilvl w:val="0"/>
          <w:numId w:val="1"/>
        </w:numPr>
        <w:spacing w:after="90" w:line="280"/>
      </w:pPr>
      <w:r>
        <w:rPr>
          <w:sz w:val="22"/>
          <w:szCs w:val="22"/>
        </w:rPr>
        <w:t xml:space="preserve">The gap between the highest (Laptop) and lowest (Phone) average order value is roughly ₹138, showing product category has a moderate influence on order value.</w:t>
      </w:r>
    </w:p>
    <w:p>
      <w:pPr>
        <w:spacing w:after="160"/>
      </w:pPr>
    </w:p>
    <w:p>
      <w:pPr>
        <w:pStyle w:val="Heading2"/>
        <w:spacing w:after="140" w:before="260"/>
      </w:pPr>
      <w:r>
        <w:rPr>
          <w:b/>
          <w:bCs/>
          <w:color w:val="2E75B6"/>
          <w:sz w:val="24"/>
          <w:szCs w:val="24"/>
        </w:rPr>
        <w:t xml:space="preserve">6.7 Order Status Breakdown by Payment Method</w:t>
      </w:r>
    </w:p>
    <w:p>
      <w:pPr>
        <w:spacing w:after="80" w:before="120"/>
        <w:jc w:val="center"/>
      </w:pPr>
      <w:r>
        <w:drawing>
          <wp:inline distT="0" distB="0" distL="0" distR="0">
            <wp:extent cx="533400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638425"/>
                    </a:xfrm>
                    <a:prstGeom prst="rect">
                      <a:avLst/>
                    </a:prstGeom>
                  </pic:spPr>
                </pic:pic>
              </a:graphicData>
            </a:graphic>
          </wp:inline>
        </w:drawing>
      </w:r>
    </w:p>
    <w:p>
      <w:pPr>
        <w:spacing w:after="300"/>
        <w:jc w:val="center"/>
      </w:pPr>
      <w:r>
        <w:rPr>
          <w:i/>
          <w:iCs/>
          <w:color w:val="595959"/>
          <w:sz w:val="20"/>
          <w:szCs w:val="20"/>
        </w:rPr>
        <w:t xml:space="preserve">Figure 7: Stacked Bar Chart of OrderStatus by PaymentMethod</w:t>
      </w:r>
    </w:p>
    <w:p>
      <w:pPr>
        <w:pStyle w:val="ListParagraph"/>
        <w:numPr>
          <w:ilvl w:val="0"/>
          <w:numId w:val="1"/>
        </w:numPr>
        <w:spacing w:after="90" w:line="280"/>
      </w:pPr>
      <w:r>
        <w:rPr>
          <w:sz w:val="22"/>
          <w:szCs w:val="22"/>
        </w:rPr>
        <w:t xml:space="preserve">Each payment method shows a similar internal split across the five order statuses (Cancelled, Delivered, Pending, Returned, Shipped).</w:t>
      </w:r>
    </w:p>
    <w:p>
      <w:pPr>
        <w:pStyle w:val="ListParagraph"/>
        <w:numPr>
          <w:ilvl w:val="0"/>
          <w:numId w:val="1"/>
        </w:numPr>
        <w:spacing w:after="90" w:line="280"/>
      </w:pPr>
      <w:r>
        <w:rPr>
          <w:sz w:val="22"/>
          <w:szCs w:val="22"/>
        </w:rPr>
        <w:t xml:space="preserve">Online payments have the highest total order count among all methods, consistent with the count plot in Figure 5.</w:t>
      </w:r>
    </w:p>
    <w:p>
      <w:pPr>
        <w:pStyle w:val="ListParagraph"/>
        <w:numPr>
          <w:ilvl w:val="0"/>
          <w:numId w:val="1"/>
        </w:numPr>
        <w:spacing w:after="90" w:line="280"/>
      </w:pPr>
      <w:r>
        <w:rPr>
          <w:sz w:val="22"/>
          <w:szCs w:val="22"/>
        </w:rPr>
        <w:t xml:space="preserve">No single payment method stands out with a disproportionately higher or lower share of Cancelled or Returned orders — the pattern of order outcomes looks broadly consistent regardless of how the customer paid.</w:t>
      </w:r>
    </w:p>
    <w:p>
      <w:pPr>
        <w:spacing w:after="160"/>
      </w:pPr>
    </w:p>
    <w:p>
      <w:pPr>
        <w:pStyle w:val="Heading2"/>
        <w:spacing w:after="140" w:before="260"/>
      </w:pPr>
      <w:r>
        <w:rPr>
          <w:b/>
          <w:bCs/>
          <w:color w:val="2E75B6"/>
          <w:sz w:val="24"/>
          <w:szCs w:val="24"/>
        </w:rPr>
        <w:t xml:space="preserve">6.8 Monthly Order Volume and Revenue Trend</w:t>
      </w:r>
    </w:p>
    <w:p>
      <w:pPr>
        <w:spacing w:after="80" w:before="120"/>
        <w:jc w:val="center"/>
      </w:pPr>
      <w:r>
        <w:drawing>
          <wp:inline distT="0" distB="0" distL="0" distR="0">
            <wp:extent cx="55245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2333625"/>
                    </a:xfrm>
                    <a:prstGeom prst="rect">
                      <a:avLst/>
                    </a:prstGeom>
                  </pic:spPr>
                </pic:pic>
              </a:graphicData>
            </a:graphic>
          </wp:inline>
        </w:drawing>
      </w:r>
    </w:p>
    <w:p>
      <w:pPr>
        <w:spacing w:after="300"/>
        <w:jc w:val="center"/>
      </w:pPr>
      <w:r>
        <w:rPr>
          <w:i/>
          <w:iCs/>
          <w:color w:val="595959"/>
          <w:sz w:val="20"/>
          <w:szCs w:val="20"/>
        </w:rPr>
        <w:t xml:space="preserve">Figure 8: Monthly Order Count and Revenue, January 2023 – June 2025</w:t>
      </w:r>
    </w:p>
    <w:p>
      <w:pPr>
        <w:pStyle w:val="ListParagraph"/>
        <w:numPr>
          <w:ilvl w:val="0"/>
          <w:numId w:val="1"/>
        </w:numPr>
        <w:spacing w:after="90" w:line="280"/>
      </w:pPr>
      <w:r>
        <w:rPr>
          <w:sz w:val="22"/>
          <w:szCs w:val="22"/>
        </w:rPr>
        <w:t xml:space="preserve">Both order volume and revenue fluctuate month to month rather than showing a steady upward or downward trend over the full period.</w:t>
      </w:r>
    </w:p>
    <w:p>
      <w:pPr>
        <w:pStyle w:val="ListParagraph"/>
        <w:numPr>
          <w:ilvl w:val="0"/>
          <w:numId w:val="1"/>
        </w:numPr>
        <w:spacing w:after="90" w:line="280"/>
      </w:pPr>
      <w:r>
        <w:rPr>
          <w:sz w:val="22"/>
          <w:szCs w:val="22"/>
        </w:rPr>
        <w:t xml:space="preserve">Order count and revenue move closely together in most months — months with more orders generally also show higher revenue, consistent with the strong correlation between Quantity/UnitPrice and TotalPrice.</w:t>
      </w:r>
    </w:p>
    <w:p>
      <w:pPr>
        <w:pStyle w:val="ListParagraph"/>
        <w:numPr>
          <w:ilvl w:val="0"/>
          <w:numId w:val="1"/>
        </w:numPr>
        <w:spacing w:after="90" w:line="280"/>
      </w:pPr>
      <w:r>
        <w:rPr>
          <w:sz w:val="22"/>
          <w:szCs w:val="22"/>
        </w:rPr>
        <w:t xml:space="preserve">The chart shows a visible dip around September 2023 and April/August 2024, where both order count and revenue drop noticeably, followed by recovery in the following months.</w:t>
      </w:r>
    </w:p>
    <w:p>
      <w:pPr>
        <w:pStyle w:val="ListParagraph"/>
        <w:numPr>
          <w:ilvl w:val="0"/>
          <w:numId w:val="1"/>
        </w:numPr>
        <w:spacing w:after="90" w:line="280"/>
      </w:pPr>
      <w:r>
        <w:rPr>
          <w:sz w:val="22"/>
          <w:szCs w:val="22"/>
        </w:rPr>
        <w:t xml:space="preserve">A peak in order volume and revenue is visible around mid-2024 (June), followed by another rise toward June 2025, suggesting order activity is variable rather than seasonal in a single fixed pattern.</w:t>
      </w:r>
    </w:p>
    <w:p>
      <w:pPr>
        <w:spacing w:after="160"/>
      </w:pPr>
    </w:p>
    <w:p>
      <w:pPr>
        <w:pStyle w:val="Heading1"/>
        <w:pBdr>
          <w:bottom w:val="single" w:color="2E75B6" w:sz="6" w:space="4"/>
        </w:pBdr>
        <w:spacing w:after="200" w:before="400"/>
      </w:pPr>
      <w:r>
        <w:rPr>
          <w:b/>
          <w:bCs/>
          <w:color w:val="1F3864"/>
          <w:sz w:val="30"/>
          <w:szCs w:val="30"/>
        </w:rPr>
        <w:t xml:space="preserve">7. Key Findings</w:t>
      </w:r>
    </w:p>
    <w:p>
      <w:pPr>
        <w:pStyle w:val="ListParagraph"/>
        <w:numPr>
          <w:ilvl w:val="0"/>
          <w:numId w:val="1"/>
        </w:numPr>
        <w:spacing w:after="90" w:line="280"/>
      </w:pPr>
      <w:r>
        <w:rPr>
          <w:sz w:val="22"/>
          <w:szCs w:val="22"/>
        </w:rPr>
        <w:t xml:space="preserve">The dataset is complete and clean: 1,200 records, 14 columns, zero missing values, and zero duplicate rows.</w:t>
      </w:r>
    </w:p>
    <w:p>
      <w:pPr>
        <w:pStyle w:val="ListParagraph"/>
        <w:numPr>
          <w:ilvl w:val="0"/>
          <w:numId w:val="1"/>
        </w:numPr>
        <w:spacing w:after="90" w:line="280"/>
      </w:pPr>
      <w:r>
        <w:rPr>
          <w:sz w:val="22"/>
          <w:szCs w:val="22"/>
        </w:rPr>
        <w:t xml:space="preserve">TotalPrice is right-skewed (mean ₹1,053.97 vs. median ₹823.62), with a small number of high-value orders pulling the average upward.</w:t>
      </w:r>
    </w:p>
    <w:p>
      <w:pPr>
        <w:pStyle w:val="ListParagraph"/>
        <w:numPr>
          <w:ilvl w:val="0"/>
          <w:numId w:val="1"/>
        </w:numPr>
        <w:spacing w:after="90" w:line="280"/>
      </w:pPr>
      <w:r>
        <w:rPr>
          <w:sz w:val="22"/>
          <w:szCs w:val="22"/>
        </w:rPr>
        <w:t xml:space="preserve">Outliers are minimal: only TotalPrice shows outlier points (via the IQR method), while Quantity, UnitPrice, and ItemsInCart show none.</w:t>
      </w:r>
    </w:p>
    <w:p>
      <w:pPr>
        <w:pStyle w:val="ListParagraph"/>
        <w:numPr>
          <w:ilvl w:val="0"/>
          <w:numId w:val="1"/>
        </w:numPr>
        <w:spacing w:after="90" w:line="280"/>
      </w:pPr>
      <w:r>
        <w:rPr>
          <w:sz w:val="22"/>
          <w:szCs w:val="22"/>
        </w:rPr>
        <w:t xml:space="preserve">TotalPrice is most strongly correlated with UnitPrice (0.72) and Quantity (0.62); ItemsInCart has a weaker link to order value (0.39).</w:t>
      </w:r>
    </w:p>
    <w:p>
      <w:pPr>
        <w:pStyle w:val="ListParagraph"/>
        <w:numPr>
          <w:ilvl w:val="0"/>
          <w:numId w:val="1"/>
        </w:numPr>
        <w:spacing w:after="90" w:line="280"/>
      </w:pPr>
      <w:r>
        <w:rPr>
          <w:sz w:val="22"/>
          <w:szCs w:val="22"/>
        </w:rPr>
        <w:t xml:space="preserve">UnitPrice and Quantity are essentially uncorrelated with each other (0.01), meaning higher-priced products are not systematically bought in larger or smaller quantities.</w:t>
      </w:r>
    </w:p>
    <w:p>
      <w:pPr>
        <w:pStyle w:val="ListParagraph"/>
        <w:numPr>
          <w:ilvl w:val="0"/>
          <w:numId w:val="1"/>
        </w:numPr>
        <w:spacing w:after="90" w:line="280"/>
      </w:pPr>
      <w:r>
        <w:rPr>
          <w:sz w:val="22"/>
          <w:szCs w:val="22"/>
        </w:rPr>
        <w:t xml:space="preserve">Product categories, payment methods, coupon codes, and referral sources are all fairly evenly distributed, with no single category dominating the dataset.</w:t>
      </w:r>
    </w:p>
    <w:p>
      <w:pPr>
        <w:pStyle w:val="ListParagraph"/>
        <w:numPr>
          <w:ilvl w:val="0"/>
          <w:numId w:val="1"/>
        </w:numPr>
        <w:spacing w:after="90" w:line="280"/>
      </w:pPr>
      <w:r>
        <w:rPr>
          <w:sz w:val="22"/>
          <w:szCs w:val="22"/>
        </w:rPr>
        <w:t xml:space="preserve">Order status is nearly evenly split across five outcomes, with Cancelled (250) and Returned (247) together accounting for roughly 41% of all orders.</w:t>
      </w:r>
    </w:p>
    <w:p>
      <w:pPr>
        <w:pStyle w:val="ListParagraph"/>
        <w:numPr>
          <w:ilvl w:val="0"/>
          <w:numId w:val="1"/>
        </w:numPr>
        <w:spacing w:after="90" w:line="280"/>
      </w:pPr>
      <w:r>
        <w:rPr>
          <w:sz w:val="22"/>
          <w:szCs w:val="22"/>
        </w:rPr>
        <w:t xml:space="preserve">Laptop has the highest average order value (≈ ₹1,111) while Phone has the lowest (≈ ₹973).</w:t>
      </w:r>
    </w:p>
    <w:p>
      <w:pPr>
        <w:pStyle w:val="ListParagraph"/>
        <w:numPr>
          <w:ilvl w:val="0"/>
          <w:numId w:val="1"/>
        </w:numPr>
        <w:spacing w:after="90" w:line="280"/>
      </w:pPr>
      <w:r>
        <w:rPr>
          <w:sz w:val="22"/>
          <w:szCs w:val="22"/>
        </w:rPr>
        <w:t xml:space="preserve">Order status outcomes look similar across all payment methods, suggesting payment method alone does not explain cancellations or returns.</w:t>
      </w:r>
    </w:p>
    <w:p>
      <w:pPr>
        <w:pStyle w:val="ListParagraph"/>
        <w:numPr>
          <w:ilvl w:val="0"/>
          <w:numId w:val="1"/>
        </w:numPr>
        <w:spacing w:after="90" w:line="280"/>
      </w:pPr>
      <w:r>
        <w:rPr>
          <w:sz w:val="22"/>
          <w:szCs w:val="22"/>
        </w:rPr>
        <w:t xml:space="preserve">Monthly order volume and revenue move together but fluctuate over the observed period rather than trending steadily up or down.</w:t>
      </w:r>
    </w:p>
    <w:p>
      <w:pPr>
        <w:pStyle w:val="Heading1"/>
        <w:pBdr>
          <w:bottom w:val="single" w:color="2E75B6" w:sz="6" w:space="4"/>
        </w:pBdr>
        <w:spacing w:after="200" w:before="400"/>
      </w:pPr>
      <w:r>
        <w:rPr>
          <w:b/>
          <w:bCs/>
          <w:color w:val="1F3864"/>
          <w:sz w:val="30"/>
          <w:szCs w:val="30"/>
        </w:rPr>
        <w:t xml:space="preserve">8. Business Insights and Recommendations</w:t>
      </w:r>
    </w:p>
    <w:p>
      <w:pPr>
        <w:pStyle w:val="ListParagraph"/>
        <w:numPr>
          <w:ilvl w:val="0"/>
          <w:numId w:val="1"/>
        </w:numPr>
        <w:spacing w:after="90" w:line="280"/>
      </w:pPr>
      <w:r>
        <w:rPr>
          <w:sz w:val="22"/>
          <w:szCs w:val="22"/>
        </w:rPr>
        <w:t xml:space="preserve">The combined Cancelled + Returned rate (≈ 41%) is the most significant pattern in the dataset and warrants closer investigation into checkout, delivery, or product-fit issues, since it affects a large share of all orders.</w:t>
      </w:r>
    </w:p>
    <w:p>
      <w:pPr>
        <w:pStyle w:val="ListParagraph"/>
        <w:numPr>
          <w:ilvl w:val="0"/>
          <w:numId w:val="1"/>
        </w:numPr>
        <w:spacing w:after="90" w:line="280"/>
      </w:pPr>
      <w:r>
        <w:rPr>
          <w:sz w:val="22"/>
          <w:szCs w:val="22"/>
        </w:rPr>
        <w:t xml:space="preserve">Since ItemsInCart correlates only weakly with TotalPrice, strategies that simply encourage adding more items to the cart may not meaningfully increase order value; pricing or product-mix strategies may be more effective.</w:t>
      </w:r>
    </w:p>
    <w:p>
      <w:pPr>
        <w:pStyle w:val="ListParagraph"/>
        <w:numPr>
          <w:ilvl w:val="0"/>
          <w:numId w:val="1"/>
        </w:numPr>
        <w:spacing w:after="90" w:line="280"/>
      </w:pPr>
      <w:r>
        <w:rPr>
          <w:sz w:val="22"/>
          <w:szCs w:val="22"/>
        </w:rPr>
        <w:t xml:space="preserve">Laptop and Chair categories generate the highest average order value and may be good candidates for promotional focus or premium bundling.</w:t>
      </w:r>
    </w:p>
    <w:p>
      <w:pPr>
        <w:pStyle w:val="ListParagraph"/>
        <w:numPr>
          <w:ilvl w:val="0"/>
          <w:numId w:val="1"/>
        </w:numPr>
        <w:spacing w:after="90" w:line="280"/>
      </w:pPr>
      <w:r>
        <w:rPr>
          <w:sz w:val="22"/>
          <w:szCs w:val="22"/>
        </w:rPr>
        <w:t xml:space="preserve">Instagram and Email are the top two referral sources and could be prioritized for marketing spend, given their higher share of incoming orders.</w:t>
      </w:r>
    </w:p>
    <w:p>
      <w:pPr>
        <w:pStyle w:val="ListParagraph"/>
        <w:numPr>
          <w:ilvl w:val="0"/>
          <w:numId w:val="1"/>
        </w:numPr>
        <w:spacing w:after="90" w:line="280"/>
      </w:pPr>
      <w:r>
        <w:rPr>
          <w:sz w:val="22"/>
          <w:szCs w:val="22"/>
        </w:rPr>
        <w:t xml:space="preserve">Because coupon usage (FREESHIP, WINTER15, SAVE10, No Coupon) is fairly evenly distributed, no single coupon type is currently dominating customer behavior, which may present an opportunity to test more targeted or higher-incentive offers.</w:t>
      </w:r>
    </w:p>
    <w:p>
      <w:pPr>
        <w:pStyle w:val="ListParagraph"/>
        <w:numPr>
          <w:ilvl w:val="0"/>
          <w:numId w:val="1"/>
        </w:numPr>
        <w:spacing w:after="90" w:line="280"/>
      </w:pPr>
      <w:r>
        <w:rPr>
          <w:sz w:val="22"/>
          <w:szCs w:val="22"/>
        </w:rPr>
        <w:t xml:space="preserve">Since order outcomes are similar across all payment methods, efforts to reduce cancellations/returns should look beyond payment method toward other factors not captured directly in this dataset (e.g., delivery experience, product expectations).</w:t>
      </w:r>
    </w:p>
    <w:p>
      <w:pPr>
        <w:pStyle w:val="Heading1"/>
        <w:pBdr>
          <w:bottom w:val="single" w:color="2E75B6" w:sz="6" w:space="4"/>
        </w:pBdr>
        <w:spacing w:after="200" w:before="400"/>
      </w:pPr>
      <w:r>
        <w:rPr>
          <w:b/>
          <w:bCs/>
          <w:color w:val="1F3864"/>
          <w:sz w:val="30"/>
          <w:szCs w:val="30"/>
        </w:rPr>
        <w:t xml:space="preserve">9. Conclusion</w:t>
      </w:r>
    </w:p>
    <w:p>
      <w:pPr>
        <w:spacing w:after="160" w:line="300"/>
      </w:pPr>
      <w:r>
        <w:rPr>
          <w:sz w:val="22"/>
          <w:szCs w:val="22"/>
        </w:rPr>
        <w:t xml:space="preserve">This exploratory data analysis of the Cleaned_Dataset.xlsx e-commerce order data confirmed a clean, well-structured dataset of 1,200 orders with no missing values or duplicates. The analysis revealed a right-skewed order value distribution, strong relationships between TotalPrice and its underlying drivers (Quantity and UnitPrice), fairly even distribution across product, payment, coupon, and referral categories, and a notably high combined cancellation and return rate of approximately 41%. These findings provide a solid, data-driven foundation for further investigation into order fulfillment issues and for shaping targeted marketing and pricing strategies.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EDA Report – Cleaned_Dataset.xlsx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783e5110f0b7cf09607460faed0c957cd4b4fef.png"/><Relationship Id="rId10" Type="http://schemas.openxmlformats.org/officeDocument/2006/relationships/image" Target="media/e4fa50c559bd717bfddc15f46add8a853fca33a1.png"/><Relationship Id="rId11" Type="http://schemas.openxmlformats.org/officeDocument/2006/relationships/image" Target="media/4551beb0e866410db03ab1f74ebdf1c601fff77f.png"/><Relationship Id="rId12" Type="http://schemas.openxmlformats.org/officeDocument/2006/relationships/image" Target="media/554fdb2f0878ef90bd04e7af15aa92bd37d1349f.png"/><Relationship Id="rId13" Type="http://schemas.openxmlformats.org/officeDocument/2006/relationships/image" Target="media/63ddf8771665ea36ddc3f744ad96752c818d55e6.png"/><Relationship Id="rId14" Type="http://schemas.openxmlformats.org/officeDocument/2006/relationships/image" Target="media/a5204ae54302c7e4d65374cf9e3a33b9808afee0.png"/><Relationship Id="rId15" Type="http://schemas.openxmlformats.org/officeDocument/2006/relationships/image" Target="media/7563d6d878e2fd10809906ef5ddecd0740729c0c.png"/><Relationship Id="rId16" Type="http://schemas.openxmlformats.org/officeDocument/2006/relationships/image" Target="media/4d51775b4c69c02c5492afe9394540be4d1195f4.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2026-07-13T09:18:56.137Z</dcterms:created>
  <dcterms:modified xsi:type="dcterms:W3CDTF">2026-07-13T09:18:56.154Z</dcterms:modified>
</cp:coreProperties>
</file>

<file path=docProps/custom.xml><?xml version="1.0" encoding="utf-8"?>
<Properties xmlns="http://schemas.openxmlformats.org/officeDocument/2006/custom-properties" xmlns:vt="http://schemas.openxmlformats.org/officeDocument/2006/docPropsVTypes"/>
</file>