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2.jpg"/>
            <a:graphic>
              <a:graphicData uri="http://schemas.openxmlformats.org/drawingml/2006/picture">
                <pic:pic>
                  <pic:nvPicPr>
                    <pic:cNvPr descr="Placeholder image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Our Very First Minesweeper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01.12.2022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Elaine, Jing Fang, Melvin, Sean, Yan Qi, Ye Chuan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Sum Uni Kids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(Please think of better name)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Your City, ST 12345</w:t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will be making a simple minesweeper game.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Game Design Document (GDD) will be used as a guide to make sure we are all on the same page throughout the project.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this is a collaborative project, we will need to discuss how to split the project up into smaller tasks, and assign the person-in-charge for each task.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More than anything, this is supposed to be a learning experience for all of us, so let’s try not to be disheartened when things get difficult :&gt;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Learn more about how to build an actual project, and get familiar with using objects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Get into the habit of following good coding practices and standards :D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fully functioning minesweeper game of course!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e4fa8nnuxieb" w:id="5"/>
      <w:bookmarkEnd w:id="5"/>
      <w:r w:rsidDel="00000000" w:rsidR="00000000" w:rsidRPr="00000000">
        <w:rPr>
          <w:rtl w:val="0"/>
        </w:rPr>
        <w:t xml:space="preserve">Coding Standards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know coding standards can be a little turn off because “everyone has their own coding style” but c’mon let’s all agree that good code also means consistent code.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Nobody really cares how you test or write your code in private, but I think it’s fair to expect that eventually, all code that gets pushed up into our repository must be consistent with the same style.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Bigger teams usually have everyone install linters to check their coding styles, but it’s just a few of us here so let’s not go through that trouble yeah, anyways it’s good practice to practice these anyways.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Some of these are subjective so we can always discuss if anyone wants a change.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However, most of these standards here are according to Python’s </w:t>
      </w:r>
      <w:r w:rsidDel="00000000" w:rsidR="00000000" w:rsidRPr="00000000">
        <w:rPr>
          <w:rtl w:val="0"/>
        </w:rPr>
        <w:t xml:space="preserve">Official Style Guide,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PEP8</w:t>
        </w:r>
      </w:hyperlink>
      <w:r w:rsidDel="00000000" w:rsidR="00000000" w:rsidRPr="00000000">
        <w:rPr>
          <w:rtl w:val="0"/>
        </w:rPr>
        <w:t xml:space="preserve">, and is generally adhered to industry-wide so we should really stick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utx17p9kcox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qhxvfud87lzf" w:id="7"/>
      <w:bookmarkEnd w:id="7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Double Quotation </w:t>
      </w:r>
      <w:r w:rsidDel="00000000" w:rsidR="00000000" w:rsidRPr="00000000">
        <w:rPr>
          <w:rtl w:val="0"/>
        </w:rPr>
        <w:t xml:space="preserve">“ for all strings (like in C :&gt;)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yyvzoghp2wk6" w:id="8"/>
      <w:bookmarkEnd w:id="8"/>
      <w:r w:rsidDel="00000000" w:rsidR="00000000" w:rsidRPr="00000000">
        <w:rPr>
          <w:rtl w:val="0"/>
        </w:rPr>
        <w:t xml:space="preserve">Identifiers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Variables / Objects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snake_case</w:t>
      </w:r>
      <w:r w:rsidDel="00000000" w:rsidR="00000000" w:rsidRPr="00000000">
        <w:rPr>
          <w:rtl w:val="0"/>
        </w:rPr>
        <w:t xml:space="preserve"> (as per PEP8 + Pygame Standard)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Constants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CAPITALISED</w:t>
      </w:r>
      <w:r w:rsidDel="00000000" w:rsidR="00000000" w:rsidRPr="00000000">
        <w:rPr>
          <w:rtl w:val="0"/>
        </w:rPr>
        <w:t xml:space="preserve"> (as per PEP8 + Pygame Standard)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snake_case</w:t>
      </w:r>
      <w:r w:rsidDel="00000000" w:rsidR="00000000" w:rsidRPr="00000000">
        <w:rPr>
          <w:rtl w:val="0"/>
        </w:rPr>
        <w:t xml:space="preserve"> (as per PEP8 + Pygame Standard)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PascalCase</w:t>
      </w:r>
      <w:r w:rsidDel="00000000" w:rsidR="00000000" w:rsidRPr="00000000">
        <w:rPr>
          <w:rtl w:val="0"/>
        </w:rPr>
        <w:t xml:space="preserve"> (as per PEP8 + Pygame Standard)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Private Variables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_leading_underscore</w:t>
      </w:r>
      <w:r w:rsidDel="00000000" w:rsidR="00000000" w:rsidRPr="00000000">
        <w:rPr>
          <w:rtl w:val="0"/>
        </w:rPr>
        <w:t xml:space="preserve"> (as per PEP8)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813090d6jarz" w:id="9"/>
      <w:bookmarkEnd w:id="9"/>
      <w:r w:rsidDel="00000000" w:rsidR="00000000" w:rsidRPr="00000000">
        <w:rPr>
          <w:rtl w:val="0"/>
        </w:rPr>
        <w:t xml:space="preserve">Layout / Spaces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Indentation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 spaces (most code editor allows for Tab to mean 4 spaces, IDLE doesn’t tho)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Always start comments with 1 space after the #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# This is a comment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Argument/Parameter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 space after the comma, none before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Keyword arguments &amp; Default Arguments: no spaces around their =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my_func(arg1</w:t>
      </w:r>
      <w:r w:rsidDel="00000000" w:rsidR="00000000" w:rsidRPr="00000000">
        <w:rPr>
          <w:rFonts w:ascii="Courier New" w:cs="Courier New" w:eastAsia="Courier New" w:hAnsi="Courier New"/>
          <w:color w:val="66cc6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arg2</w:t>
      </w:r>
      <w:r w:rsidDel="00000000" w:rsidR="00000000" w:rsidRPr="00000000">
        <w:rPr>
          <w:rFonts w:ascii="Courier New" w:cs="Courier New" w:eastAsia="Courier New" w:hAnsi="Courier New"/>
          <w:color w:val="66cc6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kwarg1</w:t>
      </w:r>
      <w:r w:rsidDel="00000000" w:rsidR="00000000" w:rsidRPr="00000000">
        <w:rPr>
          <w:rFonts w:ascii="Courier New" w:cs="Courier New" w:eastAsia="Courier New" w:hAnsi="Courier New"/>
          <w:color w:val="66cc6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83d8b"/>
          <w:rtl w:val="0"/>
        </w:rPr>
        <w:t xml:space="preserve">"somestr"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(Type-Hinting not shown here, we will decide if we want to Type Hint)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Assignments / Comparators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 space before and after the =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var1 </w:t>
      </w:r>
      <w:r w:rsidDel="00000000" w:rsidR="00000000" w:rsidRPr="00000000">
        <w:rPr>
          <w:rFonts w:ascii="Courier New" w:cs="Courier New" w:eastAsia="Courier New" w:hAnsi="Courier New"/>
          <w:color w:val="66cc6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“value”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var1 </w:t>
      </w:r>
      <w:r w:rsidDel="00000000" w:rsidR="00000000" w:rsidRPr="00000000">
        <w:rPr>
          <w:rFonts w:ascii="Courier New" w:cs="Courier New" w:eastAsia="Courier New" w:hAnsi="Courier New"/>
          <w:color w:val="66cc66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var2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Operator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Generally have 1 space on both sides of the operator.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However, for more complex expressions, it’s good to break the standard for readability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66cc6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450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ff450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450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ff450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f450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is preferred over the general rule: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66cc6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ff450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ff450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ff450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ff450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ff450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 Length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There’s also a general rule to keep lines </w:t>
      </w:r>
      <w:r w:rsidDel="00000000" w:rsidR="00000000" w:rsidRPr="00000000">
        <w:rPr>
          <w:b w:val="1"/>
          <w:rtl w:val="0"/>
        </w:rPr>
        <w:t xml:space="preserve">up to 79 characters</w:t>
      </w:r>
      <w:r w:rsidDel="00000000" w:rsidR="00000000" w:rsidRPr="00000000">
        <w:rPr>
          <w:rtl w:val="0"/>
        </w:rPr>
        <w:t xml:space="preserve">, this is so that we don’t need to side scroll.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To achieve this we can break longer expressions into multiple lines using parenthesis continuation, or a \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However, I wouldn’t set this as a hard limit, going over a little every now and then is fine.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dqqx7xnep16e" w:id="10"/>
      <w:bookmarkEnd w:id="10"/>
      <w:r w:rsidDel="00000000" w:rsidR="00000000" w:rsidRPr="00000000">
        <w:rPr>
          <w:rtl w:val="0"/>
        </w:rPr>
        <w:t xml:space="preserve">Type Hinting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We will decide if we want to type-hint.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8glcatf53qzt" w:id="11"/>
      <w:bookmarkEnd w:id="11"/>
      <w:r w:rsidDel="00000000" w:rsidR="00000000" w:rsidRPr="00000000">
        <w:rPr>
          <w:rtl w:val="0"/>
        </w:rPr>
        <w:t xml:space="preserve">Docstring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Docstrings are crucial when collaborating. Since Python didn’t really standardize docstring format, we will use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Google Python Style Guide</w:t>
        </w:r>
      </w:hyperlink>
      <w:r w:rsidDel="00000000" w:rsidR="00000000" w:rsidRPr="00000000">
        <w:rPr>
          <w:rtl w:val="0"/>
        </w:rPr>
        <w:t xml:space="preserve"> which Google Devs follow.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All functions must have a docstring unless it fulfills ALL of the following: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externally visible (say a nested function, or a private method)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short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obvious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The point is that anyone else using your function should be able to use it without having to read the actual code.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If the function is simple, a one-liner docstring will do: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70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adder(x</w:t>
      </w:r>
      <w:r w:rsidDel="00000000" w:rsidR="00000000" w:rsidRPr="00000000">
        <w:rPr>
          <w:rFonts w:ascii="Courier New" w:cs="Courier New" w:eastAsia="Courier New" w:hAnsi="Courier New"/>
          <w:color w:val="66cc6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y):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83d8b"/>
          <w:rtl w:val="0"/>
        </w:rPr>
        <w:t xml:space="preserve">"""Adds 2 numbers"""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7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x + y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Docstrings should be </w:t>
      </w:r>
      <w:r w:rsidDel="00000000" w:rsidR="00000000" w:rsidRPr="00000000">
        <w:rPr>
          <w:b w:val="1"/>
          <w:rtl w:val="0"/>
        </w:rPr>
        <w:t xml:space="preserve">descriptive</w:t>
      </w:r>
      <w:r w:rsidDel="00000000" w:rsidR="00000000" w:rsidRPr="00000000">
        <w:rPr>
          <w:rtl w:val="0"/>
        </w:rPr>
        <w:t xml:space="preserve">, not </w:t>
      </w:r>
      <w:r w:rsidDel="00000000" w:rsidR="00000000" w:rsidRPr="00000000">
        <w:rPr>
          <w:b w:val="1"/>
          <w:rtl w:val="0"/>
        </w:rPr>
        <w:t xml:space="preserve">imperative</w:t>
      </w:r>
      <w:r w:rsidDel="00000000" w:rsidR="00000000" w:rsidRPr="00000000">
        <w:rPr>
          <w:rtl w:val="0"/>
        </w:rPr>
        <w:t xml:space="preserve">. Meaning it should tell us what the function does, </w:t>
      </w:r>
      <w:r w:rsidDel="00000000" w:rsidR="00000000" w:rsidRPr="00000000">
        <w:rPr>
          <w:i w:val="1"/>
          <w:rtl w:val="0"/>
        </w:rPr>
        <w:t xml:space="preserve">not tell the function what to 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3d8b"/>
          <w:rtl w:val="0"/>
        </w:rPr>
        <w:t xml:space="preserve">"""Adds 2 numbers"""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Courier New" w:cs="Courier New" w:eastAsia="Courier New" w:hAnsi="Courier New"/>
          <w:color w:val="483d8b"/>
          <w:rtl w:val="0"/>
        </w:rPr>
        <w:t xml:space="preserve">"""Add 2 numbers"""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For a more detailed docstring: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483d8b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3d8b"/>
          <w:rtl w:val="0"/>
        </w:rPr>
        <w:t xml:space="preserve">"""Brief description of the function here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483d8b"/>
        </w:rPr>
      </w:pPr>
      <w:r w:rsidDel="00000000" w:rsidR="00000000" w:rsidRPr="00000000">
        <w:rPr>
          <w:rFonts w:ascii="Courier New" w:cs="Courier New" w:eastAsia="Courier New" w:hAnsi="Courier New"/>
          <w:color w:val="483d8b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483d8b"/>
        </w:rPr>
      </w:pPr>
      <w:r w:rsidDel="00000000" w:rsidR="00000000" w:rsidRPr="00000000">
        <w:rPr>
          <w:rFonts w:ascii="Courier New" w:cs="Courier New" w:eastAsia="Courier New" w:hAnsi="Courier New"/>
          <w:color w:val="483d8b"/>
          <w:rtl w:val="0"/>
        </w:rPr>
        <w:t xml:space="preserve">    Elaboration if required.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483d8b"/>
        </w:rPr>
      </w:pPr>
      <w:r w:rsidDel="00000000" w:rsidR="00000000" w:rsidRPr="00000000">
        <w:rPr>
          <w:rFonts w:ascii="Courier New" w:cs="Courier New" w:eastAsia="Courier New" w:hAnsi="Courier New"/>
          <w:color w:val="483d8b"/>
          <w:rtl w:val="0"/>
        </w:rPr>
        <w:t xml:space="preserve">    Blah blah.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483d8b"/>
        </w:rPr>
      </w:pPr>
      <w:r w:rsidDel="00000000" w:rsidR="00000000" w:rsidRPr="00000000">
        <w:rPr>
          <w:rFonts w:ascii="Courier New" w:cs="Courier New" w:eastAsia="Courier New" w:hAnsi="Courier New"/>
          <w:color w:val="483d8b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483d8b"/>
        </w:rPr>
      </w:pPr>
      <w:r w:rsidDel="00000000" w:rsidR="00000000" w:rsidRPr="00000000">
        <w:rPr>
          <w:rFonts w:ascii="Courier New" w:cs="Courier New" w:eastAsia="Courier New" w:hAnsi="Courier New"/>
          <w:color w:val="483d8b"/>
          <w:rtl w:val="0"/>
        </w:rPr>
        <w:t xml:space="preserve">    Args: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483d8b"/>
        </w:rPr>
      </w:pPr>
      <w:r w:rsidDel="00000000" w:rsidR="00000000" w:rsidRPr="00000000">
        <w:rPr>
          <w:rFonts w:ascii="Courier New" w:cs="Courier New" w:eastAsia="Courier New" w:hAnsi="Courier New"/>
          <w:color w:val="483d8b"/>
          <w:rtl w:val="0"/>
        </w:rPr>
        <w:t xml:space="preserve">        arg1 (type): What is arg1's role in the function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483d8b"/>
        </w:rPr>
      </w:pPr>
      <w:r w:rsidDel="00000000" w:rsidR="00000000" w:rsidRPr="00000000">
        <w:rPr>
          <w:rFonts w:ascii="Courier New" w:cs="Courier New" w:eastAsia="Courier New" w:hAnsi="Courier New"/>
          <w:color w:val="483d8b"/>
          <w:rtl w:val="0"/>
        </w:rPr>
        <w:t xml:space="preserve">        n (int): What n is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483d8b"/>
        </w:rPr>
      </w:pPr>
      <w:r w:rsidDel="00000000" w:rsidR="00000000" w:rsidRPr="00000000">
        <w:rPr>
          <w:rFonts w:ascii="Courier New" w:cs="Courier New" w:eastAsia="Courier New" w:hAnsi="Courier New"/>
          <w:color w:val="483d8b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483d8b"/>
        </w:rPr>
      </w:pPr>
      <w:r w:rsidDel="00000000" w:rsidR="00000000" w:rsidRPr="00000000">
        <w:rPr>
          <w:rFonts w:ascii="Courier New" w:cs="Courier New" w:eastAsia="Courier New" w:hAnsi="Courier New"/>
          <w:color w:val="483d8b"/>
          <w:rtl w:val="0"/>
        </w:rPr>
        <w:t xml:space="preserve">    Returns: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483d8b"/>
        </w:rPr>
      </w:pPr>
      <w:r w:rsidDel="00000000" w:rsidR="00000000" w:rsidRPr="00000000">
        <w:rPr>
          <w:rFonts w:ascii="Courier New" w:cs="Courier New" w:eastAsia="Courier New" w:hAnsi="Courier New"/>
          <w:color w:val="483d8b"/>
          <w:rtl w:val="0"/>
        </w:rPr>
        <w:t xml:space="preserve">        (Optional if your brief description is something like "Returns a ...")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483d8b"/>
        </w:rPr>
      </w:pPr>
      <w:r w:rsidDel="00000000" w:rsidR="00000000" w:rsidRPr="00000000">
        <w:rPr>
          <w:rFonts w:ascii="Courier New" w:cs="Courier New" w:eastAsia="Courier New" w:hAnsi="Courier New"/>
          <w:color w:val="483d8b"/>
          <w:rtl w:val="0"/>
        </w:rPr>
        <w:t xml:space="preserve">        A 2D int matrix where `1` = Mine, `0` = No Mine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483d8b"/>
        </w:rPr>
      </w:pPr>
      <w:r w:rsidDel="00000000" w:rsidR="00000000" w:rsidRPr="00000000">
        <w:rPr>
          <w:rFonts w:ascii="Courier New" w:cs="Courier New" w:eastAsia="Courier New" w:hAnsi="Courier New"/>
          <w:color w:val="483d8b"/>
          <w:rtl w:val="0"/>
        </w:rPr>
        <w:t xml:space="preserve">        Example: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483d8b"/>
        </w:rPr>
      </w:pPr>
      <w:r w:rsidDel="00000000" w:rsidR="00000000" w:rsidRPr="00000000">
        <w:rPr>
          <w:rFonts w:ascii="Courier New" w:cs="Courier New" w:eastAsia="Courier New" w:hAnsi="Courier New"/>
          <w:color w:val="483d8b"/>
          <w:rtl w:val="0"/>
        </w:rPr>
        <w:t xml:space="preserve">            [[0,0,0,0],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483d8b"/>
        </w:rPr>
      </w:pPr>
      <w:r w:rsidDel="00000000" w:rsidR="00000000" w:rsidRPr="00000000">
        <w:rPr>
          <w:rFonts w:ascii="Courier New" w:cs="Courier New" w:eastAsia="Courier New" w:hAnsi="Courier New"/>
          <w:color w:val="483d8b"/>
          <w:rtl w:val="0"/>
        </w:rPr>
        <w:t xml:space="preserve">             [0,1,0,1],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483d8b"/>
        </w:rPr>
      </w:pPr>
      <w:r w:rsidDel="00000000" w:rsidR="00000000" w:rsidRPr="00000000">
        <w:rPr>
          <w:rFonts w:ascii="Courier New" w:cs="Courier New" w:eastAsia="Courier New" w:hAnsi="Courier New"/>
          <w:color w:val="483d8b"/>
          <w:rtl w:val="0"/>
        </w:rPr>
        <w:t xml:space="preserve">             [0,1,1,0],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483d8b"/>
        </w:rPr>
      </w:pPr>
      <w:r w:rsidDel="00000000" w:rsidR="00000000" w:rsidRPr="00000000">
        <w:rPr>
          <w:rFonts w:ascii="Courier New" w:cs="Courier New" w:eastAsia="Courier New" w:hAnsi="Courier New"/>
          <w:color w:val="483d8b"/>
          <w:rtl w:val="0"/>
        </w:rPr>
        <w:t xml:space="preserve">             [1,0,0,0]]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483d8b"/>
        </w:rPr>
      </w:pPr>
      <w:r w:rsidDel="00000000" w:rsidR="00000000" w:rsidRPr="00000000">
        <w:rPr>
          <w:rFonts w:ascii="Courier New" w:cs="Courier New" w:eastAsia="Courier New" w:hAnsi="Courier New"/>
          <w:color w:val="483d8b"/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483d8b"/>
        </w:rPr>
      </w:pPr>
      <w:r w:rsidDel="00000000" w:rsidR="00000000" w:rsidRPr="00000000">
        <w:rPr>
          <w:rFonts w:ascii="Courier New" w:cs="Courier New" w:eastAsia="Courier New" w:hAnsi="Courier New"/>
          <w:color w:val="483d8b"/>
          <w:rtl w:val="0"/>
        </w:rPr>
        <w:t xml:space="preserve">    Raises: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483d8b"/>
        </w:rPr>
      </w:pPr>
      <w:r w:rsidDel="00000000" w:rsidR="00000000" w:rsidRPr="00000000">
        <w:rPr>
          <w:rFonts w:ascii="Courier New" w:cs="Courier New" w:eastAsia="Courier New" w:hAnsi="Courier New"/>
          <w:color w:val="483d8b"/>
          <w:rtl w:val="0"/>
        </w:rPr>
        <w:t xml:space="preserve">        TypeError: Explain the various useful errors our function might raise if any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483d8b"/>
        </w:rPr>
      </w:pPr>
      <w:r w:rsidDel="00000000" w:rsidR="00000000" w:rsidRPr="00000000">
        <w:rPr>
          <w:rFonts w:ascii="Courier New" w:cs="Courier New" w:eastAsia="Courier New" w:hAnsi="Courier New"/>
          <w:color w:val="483d8b"/>
          <w:rtl w:val="0"/>
        </w:rPr>
        <w:t xml:space="preserve">        CustomError: Blah Blah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i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483d8b"/>
          <w:rtl w:val="0"/>
        </w:rPr>
        <w:t xml:space="preserve">    """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rtl w:val="0"/>
        </w:rPr>
        <w:t xml:space="preserve"># Notice this """ is on a newline by itself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Classes and modules should also have their own docstring, you can find the format through the link above.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12"/>
      <w:bookmarkEnd w:id="12"/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6B">
      <w:pPr>
        <w:pStyle w:val="Heading2"/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buwz1tcz7y35" w:id="13"/>
      <w:bookmarkEnd w:id="13"/>
      <w:r w:rsidDel="00000000" w:rsidR="00000000" w:rsidRPr="00000000">
        <w:rPr>
          <w:rtl w:val="0"/>
        </w:rPr>
        <w:t xml:space="preserve">Kickoff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Be on the same page with the coding standard to follow.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Setting up our GitHub repository.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Familiarization with Object-Oriented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p2nityf5kx5q" w:id="14"/>
      <w:bookmarkEnd w:id="14"/>
      <w:r w:rsidDel="00000000" w:rsidR="00000000" w:rsidRPr="00000000">
        <w:rPr>
          <w:rtl w:val="0"/>
        </w:rPr>
        <w:t xml:space="preserve">Ideation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Preferably during the Kickoff meeting.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Decide on the general feel and look of our minesweeper (see Specifications)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First assignment of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bookmarkStart w:colFirst="0" w:colLast="0" w:name="_cz3ljohnlkts" w:id="15"/>
      <w:bookmarkEnd w:id="15"/>
      <w:r w:rsidDel="00000000" w:rsidR="00000000" w:rsidRPr="00000000">
        <w:rPr>
          <w:rtl w:val="0"/>
        </w:rPr>
        <w:t xml:space="preserve">Implement Minefield Backend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Sean implements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class’s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expose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Melvin generates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minefield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 Chuan work on creating a GUI button</w:t>
      </w:r>
    </w:p>
    <w:p w:rsidR="00000000" w:rsidDel="00000000" w:rsidP="00000000" w:rsidRDefault="00000000" w:rsidRPr="00000000" w14:paraId="00000077">
      <w:pPr>
        <w:pStyle w:val="Heading2"/>
        <w:numPr>
          <w:ilvl w:val="0"/>
          <w:numId w:val="15"/>
        </w:numPr>
        <w:spacing w:after="0" w:afterAutospacing="0"/>
        <w:ind w:left="720" w:hanging="360"/>
      </w:pPr>
      <w:bookmarkStart w:colFirst="0" w:colLast="0" w:name="_pew047wwxmhn" w:id="16"/>
      <w:bookmarkEnd w:id="16"/>
      <w:r w:rsidDel="00000000" w:rsidR="00000000" w:rsidRPr="00000000">
        <w:rPr>
          <w:rtl w:val="0"/>
        </w:rPr>
        <w:t xml:space="preserve">Integrate Frontend &amp; Backend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Sean works on creating a timer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Melvin works allowing user to expose around an already exposed cell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 Chuan works on generating minefield after first press using the backend Melvin method’s built</w:t>
      </w:r>
    </w:p>
    <w:p w:rsidR="00000000" w:rsidDel="00000000" w:rsidP="00000000" w:rsidRDefault="00000000" w:rsidRPr="00000000" w14:paraId="0000007B">
      <w:pPr>
        <w:ind w:left="0" w:firstLine="720"/>
        <w:rPr/>
      </w:pPr>
      <w:r w:rsidDel="00000000" w:rsidR="00000000" w:rsidRPr="00000000">
        <w:rPr>
          <w:rtl w:val="0"/>
        </w:rPr>
        <w:t xml:space="preserve">See </w:t>
      </w:r>
      <w:hyperlink w:anchor="_4p0725mqa1f0">
        <w:r w:rsidDel="00000000" w:rsidR="00000000" w:rsidRPr="00000000">
          <w:rPr>
            <w:color w:val="1155cc"/>
            <w:u w:val="single"/>
            <w:rtl w:val="0"/>
          </w:rPr>
          <w:t xml:space="preserve">Current Work</w:t>
        </w:r>
      </w:hyperlink>
      <w:r w:rsidDel="00000000" w:rsidR="00000000" w:rsidRPr="00000000">
        <w:rPr>
          <w:rtl w:val="0"/>
        </w:rPr>
        <w:t xml:space="preserve"> work specifics</w:t>
      </w:r>
    </w:p>
    <w:p w:rsidR="00000000" w:rsidDel="00000000" w:rsidP="00000000" w:rsidRDefault="00000000" w:rsidRPr="00000000" w14:paraId="0000007C">
      <w:pPr>
        <w:pStyle w:val="Heading2"/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m3idaakdynqe" w:id="17"/>
      <w:bookmarkEnd w:id="17"/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7D">
      <w:pPr>
        <w:pStyle w:val="Heading2"/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6jhizc11ahpw" w:id="18"/>
      <w:bookmarkEnd w:id="18"/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7E">
      <w:pPr>
        <w:pStyle w:val="Heading2"/>
        <w:pageBreakBefore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1ybnxep9x5hr" w:id="19"/>
      <w:bookmarkEnd w:id="19"/>
      <w:r w:rsidDel="00000000" w:rsidR="00000000" w:rsidRPr="00000000">
        <w:rPr>
          <w:rtl w:val="0"/>
        </w:rPr>
        <w:t xml:space="preserve">Profit!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We get a nice working minesweeper!</w:t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p5url5u6knai" w:id="20"/>
      <w:bookmarkEnd w:id="20"/>
      <w:r w:rsidDel="00000000" w:rsidR="00000000" w:rsidRPr="00000000">
        <w:rPr>
          <w:rtl w:val="0"/>
        </w:rPr>
        <w:t xml:space="preserve">Specifications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We will collate the different things we’ve discussed related to our Minesweeper here.</w:t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56kfpodyq5td" w:id="21"/>
      <w:bookmarkEnd w:id="21"/>
      <w:r w:rsidDel="00000000" w:rsidR="00000000" w:rsidRPr="00000000">
        <w:rPr>
          <w:rtl w:val="0"/>
        </w:rPr>
        <w:t xml:space="preserve">General UI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Color Palette: ?</w:t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644dszvp5aza" w:id="22"/>
      <w:bookmarkEnd w:id="22"/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bgs0ejbyc78r" w:id="23"/>
      <w:bookmarkEnd w:id="23"/>
      <w:r w:rsidDel="00000000" w:rsidR="00000000" w:rsidRPr="00000000">
        <w:rPr>
          <w:rtl w:val="0"/>
        </w:rPr>
        <w:t xml:space="preserve">Game Interface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Minefield Size: 16x16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Timer: Yes</w:t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7q8ix8px09k8" w:id="24"/>
      <w:bookmarkEnd w:id="24"/>
      <w:r w:rsidDel="00000000" w:rsidR="00000000" w:rsidRPr="00000000">
        <w:rPr>
          <w:rtl w:val="0"/>
        </w:rPr>
        <w:t xml:space="preserve">Mechanism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Using a 2D array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Cell</w:t>
      </w:r>
      <w:r w:rsidDel="00000000" w:rsidR="00000000" w:rsidRPr="00000000">
        <w:rPr>
          <w:rtl w:val="0"/>
        </w:rPr>
        <w:t xml:space="preserve"> instances to store the minefield.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Cell</w:t>
      </w:r>
      <w:r w:rsidDel="00000000" w:rsidR="00000000" w:rsidRPr="00000000">
        <w:rPr>
          <w:rtl w:val="0"/>
        </w:rPr>
        <w:t xml:space="preserve"> class with attributes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</w:t>
      </w:r>
      <w:r w:rsidDel="00000000" w:rsidR="00000000" w:rsidRPr="00000000">
        <w:rPr>
          <w:rtl w:val="0"/>
        </w:rPr>
        <w:t xml:space="preserve"> - No. of mines around 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is_mine</w:t>
      </w:r>
      <w:r w:rsidDel="00000000" w:rsidR="00000000" w:rsidRPr="00000000">
        <w:rPr>
          <w:rtl w:val="0"/>
        </w:rPr>
        <w:t xml:space="preserve"> - If cell is a mine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coord</w:t>
      </w:r>
      <w:r w:rsidDel="00000000" w:rsidR="00000000" w:rsidRPr="00000000">
        <w:rPr>
          <w:rtl w:val="0"/>
        </w:rPr>
        <w:t xml:space="preserve"> - (row, col) coordinates of cell in minefield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exposed</w:t>
      </w:r>
      <w:r w:rsidDel="00000000" w:rsidR="00000000" w:rsidRPr="00000000">
        <w:rPr>
          <w:rtl w:val="0"/>
        </w:rPr>
        <w:t xml:space="preserve"> - if cell is exposed by user 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before="0" w:beforeAutospacing="0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minefield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Minefield</w:t>
      </w:r>
      <w:r w:rsidDel="00000000" w:rsidR="00000000" w:rsidRPr="00000000">
        <w:rPr>
          <w:rtl w:val="0"/>
        </w:rPr>
        <w:t xml:space="preserve"> object that the cell is part of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expose(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tl w:val="0"/>
        </w:rPr>
        <w:t xml:space="preserve">- Invoked when user clicks the cell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expose_around(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tl w:val="0"/>
        </w:rPr>
        <w:t xml:space="preserve">- Exposes the cells around this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4p0725mqa1f0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d82sena9gvyz" w:id="26"/>
      <w:bookmarkEnd w:id="26"/>
      <w:r w:rsidDel="00000000" w:rsidR="00000000" w:rsidRPr="00000000">
        <w:rPr>
          <w:rtl w:val="0"/>
        </w:rPr>
        <w:t xml:space="preserve">Current Work</w:t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2jfrkyjo39dx" w:id="27"/>
      <w:bookmarkEnd w:id="27"/>
      <w:r w:rsidDel="00000000" w:rsidR="00000000" w:rsidRPr="00000000">
        <w:rPr>
          <w:rtl w:val="0"/>
        </w:rPr>
        <w:t xml:space="preserve">Melvin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Cell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.expose_around</w:t>
      </w:r>
      <w:r w:rsidDel="00000000" w:rsidR="00000000" w:rsidRPr="00000000">
        <w:rPr>
          <w:rtl w:val="0"/>
        </w:rPr>
        <w:t xml:space="preserve"> should </w:t>
      </w:r>
      <w:r w:rsidDel="00000000" w:rsidR="00000000" w:rsidRPr="00000000">
        <w:rPr>
          <w:b w:val="1"/>
          <w:rtl w:val="0"/>
        </w:rPr>
        <w:t xml:space="preserve">only expose unflagged cells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to integrate with the pressing on revealed cell feature, where only unflagged cells are exposed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not negatively affect the expose_around() when the cell is 0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idea is that if the player thinks there's a mine at a cell, we will not expose it for them even if they are wrong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Alternatively, you could also decide to just expose the flagged cells either ways, which is the classic minesweepers behavior, but I think is less fun :&gt;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choose the alternative then nothing really needs to be done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.expose_around</w:t>
      </w:r>
      <w:r w:rsidDel="00000000" w:rsidR="00000000" w:rsidRPr="00000000">
        <w:rPr>
          <w:rtl w:val="0"/>
        </w:rPr>
        <w:t xml:space="preserve"> for now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Implement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.attempt_expose_around()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Cell</w:t>
      </w:r>
      <w:r w:rsidDel="00000000" w:rsidR="00000000" w:rsidRPr="00000000">
        <w:rPr>
          <w:rtl w:val="0"/>
        </w:rPr>
        <w:t xml:space="preserve"> that checks for the flags around and only call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.expose_around()</w:t>
      </w:r>
      <w:r w:rsidDel="00000000" w:rsidR="00000000" w:rsidRPr="00000000">
        <w:rPr>
          <w:rtl w:val="0"/>
        </w:rPr>
        <w:t xml:space="preserve"> only if the number of flags is correct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This will be called when the player clicks on an opened cell in an attempt to expose the cells around it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Can implement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.flags_around()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Cell</w:t>
      </w:r>
      <w:r w:rsidDel="00000000" w:rsidR="00000000" w:rsidRPr="00000000">
        <w:rPr>
          <w:rtl w:val="0"/>
        </w:rPr>
        <w:t xml:space="preserve"> as a helper function</w:t>
      </w:r>
    </w:p>
    <w:p w:rsidR="00000000" w:rsidDel="00000000" w:rsidP="00000000" w:rsidRDefault="00000000" w:rsidRPr="00000000" w14:paraId="000000A4">
      <w:pPr>
        <w:pStyle w:val="Heading2"/>
        <w:rPr/>
      </w:pPr>
      <w:bookmarkStart w:colFirst="0" w:colLast="0" w:name="_z8z3msus1lxp" w:id="28"/>
      <w:bookmarkEnd w:id="28"/>
      <w:r w:rsidDel="00000000" w:rsidR="00000000" w:rsidRPr="00000000">
        <w:rPr>
          <w:rtl w:val="0"/>
        </w:rPr>
        <w:t xml:space="preserve">Sean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Game Timer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of now just get a nice working timer that starts when the program starts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implement starting only after clicking 1st cell later on</w:t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fbt3m6ruqw9g" w:id="29"/>
      <w:bookmarkEnd w:id="29"/>
      <w:r w:rsidDel="00000000" w:rsidR="00000000" w:rsidRPr="00000000">
        <w:rPr>
          <w:rtl w:val="0"/>
        </w:rPr>
        <w:t xml:space="preserve">Ye Chuan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Generate the minefield only after user clicks on the first cell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 our current implementation, having a clickable board implies already having generated the minefield (else the board wouldn't exist)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one way is to create temporary minefield first, then after the player clicks we quickly generate another to replace this temporary minefield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7gwy584rpyid" w:id="30"/>
      <w:bookmarkEnd w:id="30"/>
      <w:r w:rsidDel="00000000" w:rsidR="00000000" w:rsidRPr="00000000">
        <w:rPr>
          <w:rtl w:val="0"/>
        </w:rPr>
        <w:t xml:space="preserve">Work 2</w:t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gjmdfuwv0w3z" w:id="31"/>
      <w:bookmarkEnd w:id="31"/>
      <w:r w:rsidDel="00000000" w:rsidR="00000000" w:rsidRPr="00000000">
        <w:rPr>
          <w:rtl w:val="0"/>
        </w:rPr>
        <w:t xml:space="preserve">Melvin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it such that the first cell opened is </w:t>
      </w:r>
      <w:r w:rsidDel="00000000" w:rsidR="00000000" w:rsidRPr="00000000">
        <w:rPr>
          <w:b w:val="1"/>
          <w:rtl w:val="0"/>
        </w:rPr>
        <w:t xml:space="preserve">never a mine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go the extra mile to give </w:t>
      </w:r>
      <w:r w:rsidDel="00000000" w:rsidR="00000000" w:rsidRPr="00000000">
        <w:rPr>
          <w:b w:val="1"/>
          <w:rtl w:val="0"/>
        </w:rPr>
        <w:t xml:space="preserve">an option</w:t>
      </w:r>
      <w:r w:rsidDel="00000000" w:rsidR="00000000" w:rsidRPr="00000000">
        <w:rPr>
          <w:rtl w:val="0"/>
        </w:rPr>
        <w:t xml:space="preserve"> for the first opened cell to always be 0</w:t>
      </w:r>
    </w:p>
    <w:p w:rsidR="00000000" w:rsidDel="00000000" w:rsidP="00000000" w:rsidRDefault="00000000" w:rsidRPr="00000000" w14:paraId="000000B1">
      <w:pPr>
        <w:numPr>
          <w:ilvl w:val="1"/>
          <w:numId w:val="9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an option because this is non-standard minesweeper</w:t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dcflto3rim7x" w:id="32"/>
      <w:bookmarkEnd w:id="32"/>
      <w:r w:rsidDel="00000000" w:rsidR="00000000" w:rsidRPr="00000000">
        <w:rPr>
          <w:rtl w:val="0"/>
        </w:rPr>
        <w:t xml:space="preserve">Sean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0" w:afterAutospacing="0"/>
        <w:ind w:left="720" w:hanging="360"/>
        <w:rPr>
          <w:rFonts w:ascii="Open Sans" w:cs="Open Sans" w:eastAsia="Open Sans" w:hAnsi="Open Sans"/>
          <w:b w:val="0"/>
          <w:color w:val="695d46"/>
          <w:sz w:val="22"/>
          <w:szCs w:val="22"/>
        </w:rPr>
      </w:pPr>
      <w:r w:rsidDel="00000000" w:rsidR="00000000" w:rsidRPr="00000000">
        <w:rPr>
          <w:rtl w:val="0"/>
        </w:rPr>
        <w:t xml:space="preserve">Create a Timer (at top left) using Pygame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number of bombs not flagged yet (Bombs - Flagged)</w:t>
      </w:r>
    </w:p>
    <w:p w:rsidR="00000000" w:rsidDel="00000000" w:rsidP="00000000" w:rsidRDefault="00000000" w:rsidRPr="00000000" w14:paraId="000000B5">
      <w:pPr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care if it’s correctly flagged or not</w:t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4kj151jl1oje" w:id="33"/>
      <w:bookmarkEnd w:id="33"/>
      <w:r w:rsidDel="00000000" w:rsidR="00000000" w:rsidRPr="00000000">
        <w:rPr>
          <w:rtl w:val="0"/>
        </w:rPr>
        <w:t xml:space="preserve">Ye Chuan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Implement a button that will eventually work as cells in the minefield</w:t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lfp4o482tdwd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91z096sdkdty" w:id="35"/>
      <w:bookmarkEnd w:id="35"/>
      <w:r w:rsidDel="00000000" w:rsidR="00000000" w:rsidRPr="00000000">
        <w:rPr>
          <w:rtl w:val="0"/>
        </w:rPr>
        <w:t xml:space="preserve">Work 1</w:t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53vxnbcxxsp1" w:id="36"/>
      <w:bookmarkEnd w:id="36"/>
      <w:r w:rsidDel="00000000" w:rsidR="00000000" w:rsidRPr="00000000">
        <w:rPr>
          <w:rtl w:val="0"/>
        </w:rPr>
        <w:t xml:space="preserve">Melvin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Create a 16x16 Minefield of Cell objects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cell.coord</w:t>
      </w:r>
      <w:r w:rsidDel="00000000" w:rsidR="00000000" w:rsidRPr="00000000">
        <w:rPr>
          <w:rtl w:val="0"/>
        </w:rPr>
        <w:t xml:space="preserve"> = Coordinate (y, x) starting top-left of this cell</w:t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cell.val</w:t>
      </w:r>
      <w:r w:rsidDel="00000000" w:rsidR="00000000" w:rsidRPr="00000000">
        <w:rPr>
          <w:rtl w:val="0"/>
        </w:rPr>
        <w:t xml:space="preserve"> = No. of mines around this cell (None if is_mine)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cell.is_mine</w:t>
      </w:r>
      <w:r w:rsidDel="00000000" w:rsidR="00000000" w:rsidRPr="00000000">
        <w:rPr>
          <w:rtl w:val="0"/>
        </w:rPr>
        <w:t xml:space="preserve"> = Boolean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Minefield would look like: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&gt;&gt;&gt; minefield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[[Cell, Cell, Cell, ...],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[Cell, Cell, Cell, ...],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[Cell, Cell, Cell, ...],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...             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&gt;&gt;&gt; minefield[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&lt;Cell Object&gt;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&gt;&gt;&gt; minefield[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].val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(means 3 mines around the top-left cell)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&gt;&gt;&gt; minefield[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].is_mine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(means the 3rd row, 2nd cell is a mine)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6ygv0hts15i1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vgqw3e71nhml" w:id="38"/>
      <w:bookmarkEnd w:id="38"/>
      <w:r w:rsidDel="00000000" w:rsidR="00000000" w:rsidRPr="00000000">
        <w:rPr>
          <w:rtl w:val="0"/>
        </w:rPr>
        <w:t xml:space="preserve">Sean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color w:val="695d46"/>
          <w:sz w:val="22"/>
          <w:szCs w:val="22"/>
        </w:rPr>
      </w:pPr>
      <w:r w:rsidDel="00000000" w:rsidR="00000000" w:rsidRPr="00000000">
        <w:rPr>
          <w:rtl w:val="0"/>
        </w:rPr>
        <w:t xml:space="preserve">Work on expose()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is_mine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is_flagged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exposed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.coord = coord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coord = (y, x) where top-left is 0,0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.val = val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Number of bombs around this cell (None if is_mine)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.is_mine = is_mine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Boolean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.is_flagged = is_flagged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Don't care for now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.exposed = exposed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Sean will take care of this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expose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minefield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Sean will work on this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Expose this cell and other cells around it if 0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/>
      </w:pPr>
      <w:bookmarkStart w:colFirst="0" w:colLast="0" w:name="_pa7817ll7dlw" w:id="39"/>
      <w:bookmarkEnd w:id="39"/>
      <w:r w:rsidDel="00000000" w:rsidR="00000000" w:rsidRPr="00000000">
        <w:rPr>
          <w:rtl w:val="0"/>
        </w:rPr>
        <w:t xml:space="preserve">Ye Chuan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Implement a button that will eventually work as cells in the minefield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Courier New"/>
  <w:font w:name="Consola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40"/>
    <w:bookmarkEnd w:id="40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google.github.io/styleguide/pyguid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hyperlink" Target="https://peps.python.org/pep-0008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