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92641" w14:textId="77777777" w:rsidR="00A542B4" w:rsidRDefault="00A542B4" w:rsidP="00A542B4">
      <w:pPr>
        <w:pStyle w:val="ListParagraph"/>
        <w:numPr>
          <w:ilvl w:val="0"/>
          <w:numId w:val="1"/>
        </w:numPr>
        <w:tabs>
          <w:tab w:val="left" w:pos="1361"/>
        </w:tabs>
        <w:spacing w:before="0" w:line="295" w:lineRule="auto"/>
        <w:ind w:left="333" w:right="224"/>
        <w:rPr>
          <w:sz w:val="20"/>
        </w:rPr>
      </w:pPr>
      <w:r>
        <w:rPr>
          <w:color w:val="231F20"/>
          <w:w w:val="105"/>
          <w:sz w:val="20"/>
        </w:rPr>
        <w:t xml:space="preserve">Not for nothing has </w:t>
      </w:r>
      <w:r>
        <w:rPr>
          <w:color w:val="231F20"/>
          <w:spacing w:val="-3"/>
          <w:w w:val="105"/>
          <w:sz w:val="20"/>
        </w:rPr>
        <w:t xml:space="preserve">Fed </w:t>
      </w:r>
      <w:r>
        <w:rPr>
          <w:color w:val="231F20"/>
          <w:w w:val="105"/>
          <w:sz w:val="20"/>
        </w:rPr>
        <w:t xml:space="preserve">Chairman </w:t>
      </w:r>
      <w:r>
        <w:rPr>
          <w:color w:val="231F20"/>
          <w:spacing w:val="-4"/>
          <w:w w:val="105"/>
          <w:sz w:val="20"/>
        </w:rPr>
        <w:t xml:space="preserve">Powell </w:t>
      </w:r>
      <w:r>
        <w:rPr>
          <w:color w:val="231F20"/>
          <w:w w:val="105"/>
          <w:sz w:val="20"/>
        </w:rPr>
        <w:t xml:space="preserve">celebrated the “extraordinary </w:t>
      </w:r>
      <w:r>
        <w:rPr>
          <w:color w:val="231F20"/>
          <w:spacing w:val="-3"/>
          <w:w w:val="105"/>
          <w:sz w:val="20"/>
        </w:rPr>
        <w:t xml:space="preserve">times” </w:t>
      </w:r>
      <w:r>
        <w:rPr>
          <w:color w:val="231F20"/>
          <w:w w:val="105"/>
          <w:sz w:val="20"/>
        </w:rPr>
        <w:t xml:space="preserve">the US economy enjoyed in </w:t>
      </w:r>
      <w:r>
        <w:rPr>
          <w:color w:val="231F20"/>
          <w:spacing w:val="-5"/>
          <w:w w:val="105"/>
          <w:sz w:val="20"/>
        </w:rPr>
        <w:t xml:space="preserve">2018: </w:t>
      </w:r>
      <w:r>
        <w:rPr>
          <w:color w:val="231F20"/>
          <w:w w:val="105"/>
          <w:sz w:val="20"/>
        </w:rPr>
        <w:t xml:space="preserve">growth is on pace to exceed 3%, the unemployment rate is at a 48-year </w:t>
      </w:r>
      <w:r>
        <w:rPr>
          <w:color w:val="231F20"/>
          <w:spacing w:val="-5"/>
          <w:w w:val="105"/>
          <w:sz w:val="20"/>
        </w:rPr>
        <w:t xml:space="preserve">low, </w:t>
      </w:r>
      <w:r>
        <w:rPr>
          <w:color w:val="231F20"/>
          <w:w w:val="105"/>
          <w:sz w:val="20"/>
        </w:rPr>
        <w:t>and inﬂation is right on target. As we look</w:t>
      </w:r>
      <w:r>
        <w:rPr>
          <w:color w:val="231F20"/>
          <w:spacing w:val="16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ahead</w:t>
      </w:r>
      <w:r>
        <w:rPr>
          <w:color w:val="231F20"/>
          <w:spacing w:val="16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to</w:t>
      </w:r>
      <w:r>
        <w:rPr>
          <w:color w:val="231F20"/>
          <w:spacing w:val="17"/>
          <w:w w:val="105"/>
          <w:sz w:val="20"/>
        </w:rPr>
        <w:t xml:space="preserve"> </w:t>
      </w:r>
      <w:r>
        <w:rPr>
          <w:color w:val="231F20"/>
          <w:spacing w:val="-5"/>
          <w:w w:val="105"/>
          <w:sz w:val="20"/>
        </w:rPr>
        <w:t>2019,</w:t>
      </w:r>
      <w:r>
        <w:rPr>
          <w:color w:val="231F20"/>
          <w:spacing w:val="16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the</w:t>
      </w:r>
      <w:r>
        <w:rPr>
          <w:color w:val="231F20"/>
          <w:spacing w:val="16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natural</w:t>
      </w:r>
      <w:r>
        <w:rPr>
          <w:color w:val="231F20"/>
          <w:spacing w:val="17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question</w:t>
      </w:r>
      <w:r>
        <w:rPr>
          <w:color w:val="231F20"/>
          <w:spacing w:val="16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is</w:t>
      </w:r>
      <w:r>
        <w:rPr>
          <w:color w:val="231F20"/>
          <w:spacing w:val="16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how</w:t>
      </w:r>
      <w:r>
        <w:rPr>
          <w:color w:val="231F20"/>
          <w:spacing w:val="17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long</w:t>
      </w:r>
      <w:r>
        <w:rPr>
          <w:color w:val="231F20"/>
          <w:spacing w:val="16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the</w:t>
      </w:r>
      <w:r>
        <w:rPr>
          <w:color w:val="231F20"/>
          <w:spacing w:val="16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good</w:t>
      </w:r>
      <w:r>
        <w:rPr>
          <w:color w:val="231F20"/>
          <w:spacing w:val="17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times</w:t>
      </w:r>
      <w:r>
        <w:rPr>
          <w:color w:val="231F20"/>
          <w:spacing w:val="16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can</w:t>
      </w:r>
      <w:r>
        <w:rPr>
          <w:color w:val="231F20"/>
          <w:spacing w:val="16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last.</w:t>
      </w:r>
    </w:p>
    <w:p w14:paraId="7CED5A5C" w14:textId="77777777" w:rsidR="00A542B4" w:rsidRDefault="00A542B4" w:rsidP="00A542B4">
      <w:pPr>
        <w:pStyle w:val="ListParagraph"/>
        <w:numPr>
          <w:ilvl w:val="0"/>
          <w:numId w:val="1"/>
        </w:numPr>
        <w:tabs>
          <w:tab w:val="left" w:pos="1361"/>
        </w:tabs>
        <w:spacing w:before="84" w:line="295" w:lineRule="auto"/>
        <w:ind w:left="333" w:right="73"/>
        <w:rPr>
          <w:sz w:val="20"/>
        </w:rPr>
      </w:pPr>
      <w:r>
        <w:rPr>
          <w:color w:val="231F20"/>
          <w:w w:val="105"/>
          <w:sz w:val="20"/>
        </w:rPr>
        <w:t xml:space="preserve">Growth is likely to slow signiﬁcantly next </w:t>
      </w:r>
      <w:r>
        <w:rPr>
          <w:color w:val="231F20"/>
          <w:spacing w:val="-4"/>
          <w:w w:val="105"/>
          <w:sz w:val="20"/>
        </w:rPr>
        <w:t xml:space="preserve">year, </w:t>
      </w:r>
      <w:r>
        <w:rPr>
          <w:color w:val="231F20"/>
          <w:w w:val="105"/>
          <w:sz w:val="20"/>
        </w:rPr>
        <w:t xml:space="preserve">from a recent pace of 3½%+ to roughly our 1¾% estimate of potential by </w:t>
      </w:r>
      <w:r>
        <w:rPr>
          <w:color w:val="231F20"/>
          <w:spacing w:val="-3"/>
          <w:w w:val="105"/>
          <w:sz w:val="20"/>
        </w:rPr>
        <w:t xml:space="preserve">end-2019. </w:t>
      </w:r>
      <w:r>
        <w:rPr>
          <w:color w:val="231F20"/>
          <w:spacing w:val="-4"/>
          <w:w w:val="105"/>
          <w:sz w:val="20"/>
        </w:rPr>
        <w:t xml:space="preserve">We </w:t>
      </w:r>
      <w:r>
        <w:rPr>
          <w:color w:val="231F20"/>
          <w:w w:val="105"/>
          <w:sz w:val="20"/>
        </w:rPr>
        <w:t>expect tighter ﬁnancial conditions</w:t>
      </w:r>
      <w:r>
        <w:rPr>
          <w:color w:val="231F20"/>
          <w:spacing w:val="18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and</w:t>
      </w:r>
      <w:r>
        <w:rPr>
          <w:color w:val="231F20"/>
          <w:spacing w:val="18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a</w:t>
      </w:r>
      <w:r>
        <w:rPr>
          <w:color w:val="231F20"/>
          <w:spacing w:val="18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fading</w:t>
      </w:r>
      <w:r>
        <w:rPr>
          <w:color w:val="231F20"/>
          <w:spacing w:val="19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ﬁscal</w:t>
      </w:r>
      <w:r>
        <w:rPr>
          <w:color w:val="231F20"/>
          <w:spacing w:val="18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stimulus</w:t>
      </w:r>
      <w:r>
        <w:rPr>
          <w:color w:val="231F20"/>
          <w:spacing w:val="18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to</w:t>
      </w:r>
      <w:r>
        <w:rPr>
          <w:color w:val="231F20"/>
          <w:spacing w:val="19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be</w:t>
      </w:r>
      <w:r>
        <w:rPr>
          <w:color w:val="231F20"/>
          <w:spacing w:val="18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the</w:t>
      </w:r>
      <w:r>
        <w:rPr>
          <w:color w:val="231F20"/>
          <w:spacing w:val="18"/>
          <w:w w:val="105"/>
          <w:sz w:val="20"/>
        </w:rPr>
        <w:t xml:space="preserve"> </w:t>
      </w:r>
      <w:r>
        <w:rPr>
          <w:color w:val="231F20"/>
          <w:spacing w:val="-3"/>
          <w:w w:val="105"/>
          <w:sz w:val="20"/>
        </w:rPr>
        <w:t>key</w:t>
      </w:r>
      <w:r>
        <w:rPr>
          <w:color w:val="231F20"/>
          <w:spacing w:val="18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drivers</w:t>
      </w:r>
      <w:r>
        <w:rPr>
          <w:color w:val="231F20"/>
          <w:spacing w:val="19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of</w:t>
      </w:r>
      <w:r>
        <w:rPr>
          <w:color w:val="231F20"/>
          <w:spacing w:val="18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the</w:t>
      </w:r>
      <w:r>
        <w:rPr>
          <w:color w:val="231F20"/>
          <w:spacing w:val="18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deceleration.</w:t>
      </w:r>
    </w:p>
    <w:p w14:paraId="38B077F4" w14:textId="77777777" w:rsidR="00A542B4" w:rsidRDefault="00A542B4" w:rsidP="00A542B4">
      <w:pPr>
        <w:pStyle w:val="ListParagraph"/>
        <w:numPr>
          <w:ilvl w:val="0"/>
          <w:numId w:val="1"/>
        </w:numPr>
        <w:tabs>
          <w:tab w:val="left" w:pos="1361"/>
        </w:tabs>
        <w:spacing w:before="84" w:line="295" w:lineRule="auto"/>
        <w:ind w:left="333" w:right="152"/>
        <w:rPr>
          <w:sz w:val="20"/>
        </w:rPr>
      </w:pPr>
      <w:r>
        <w:rPr>
          <w:color w:val="231F20"/>
          <w:w w:val="110"/>
          <w:sz w:val="20"/>
        </w:rPr>
        <w:t xml:space="preserve">Robust job creation should push the unemployment rate to 3% by early 2020, well below our 4½% estimate of full employment, the rate consistent with </w:t>
      </w:r>
      <w:r>
        <w:rPr>
          <w:color w:val="231F20"/>
          <w:spacing w:val="-7"/>
          <w:w w:val="110"/>
          <w:sz w:val="20"/>
        </w:rPr>
        <w:t xml:space="preserve">2% </w:t>
      </w:r>
      <w:r>
        <w:rPr>
          <w:color w:val="231F20"/>
          <w:w w:val="110"/>
          <w:sz w:val="20"/>
        </w:rPr>
        <w:t xml:space="preserve">inﬂation. Wage growth should reach 3¼-3½% in this environment, and ﬁrmer wage pressures coupled with additional tariff rounds should boost core PCE inﬂation to 2¼% by </w:t>
      </w:r>
      <w:r>
        <w:rPr>
          <w:color w:val="231F20"/>
          <w:spacing w:val="-3"/>
          <w:w w:val="110"/>
          <w:sz w:val="20"/>
        </w:rPr>
        <w:t xml:space="preserve">end-2019. </w:t>
      </w:r>
      <w:r>
        <w:rPr>
          <w:color w:val="231F20"/>
          <w:w w:val="110"/>
          <w:sz w:val="20"/>
        </w:rPr>
        <w:t xml:space="preserve">While </w:t>
      </w:r>
      <w:r>
        <w:rPr>
          <w:color w:val="231F20"/>
          <w:spacing w:val="-3"/>
          <w:w w:val="110"/>
          <w:sz w:val="20"/>
        </w:rPr>
        <w:t xml:space="preserve">Fed </w:t>
      </w:r>
      <w:r>
        <w:rPr>
          <w:color w:val="231F20"/>
          <w:w w:val="110"/>
          <w:sz w:val="20"/>
        </w:rPr>
        <w:t>ofﬁcials would be comfortable with inﬂation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at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that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level,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we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also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see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risk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of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more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material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inﬂation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overshoot.</w:t>
      </w:r>
    </w:p>
    <w:p w14:paraId="64F6A148" w14:textId="77777777" w:rsidR="00A542B4" w:rsidRDefault="00A542B4" w:rsidP="00A542B4">
      <w:pPr>
        <w:pStyle w:val="ListParagraph"/>
        <w:numPr>
          <w:ilvl w:val="0"/>
          <w:numId w:val="1"/>
        </w:numPr>
        <w:tabs>
          <w:tab w:val="left" w:pos="1361"/>
        </w:tabs>
        <w:spacing w:line="295" w:lineRule="auto"/>
        <w:ind w:left="333" w:right="26"/>
        <w:rPr>
          <w:sz w:val="20"/>
        </w:rPr>
      </w:pPr>
      <w:r>
        <w:rPr>
          <w:color w:val="231F20"/>
          <w:w w:val="110"/>
          <w:sz w:val="20"/>
        </w:rPr>
        <w:t xml:space="preserve">The </w:t>
      </w:r>
      <w:r>
        <w:rPr>
          <w:color w:val="231F20"/>
          <w:spacing w:val="-3"/>
          <w:w w:val="110"/>
          <w:sz w:val="20"/>
        </w:rPr>
        <w:t xml:space="preserve">Fed </w:t>
      </w:r>
      <w:r>
        <w:rPr>
          <w:color w:val="231F20"/>
          <w:w w:val="110"/>
          <w:sz w:val="20"/>
        </w:rPr>
        <w:t xml:space="preserve">is very likely to raise rates in December, and we expect 4 more hikes in </w:t>
      </w:r>
      <w:r>
        <w:rPr>
          <w:color w:val="231F20"/>
          <w:spacing w:val="-7"/>
          <w:w w:val="110"/>
          <w:sz w:val="20"/>
        </w:rPr>
        <w:t xml:space="preserve">2019 </w:t>
      </w:r>
      <w:r>
        <w:rPr>
          <w:color w:val="231F20"/>
          <w:w w:val="110"/>
          <w:sz w:val="20"/>
        </w:rPr>
        <w:t xml:space="preserve">to bring the terminal funds rate to 3¼-3½%, about two hikes above </w:t>
      </w:r>
      <w:r>
        <w:rPr>
          <w:color w:val="231F20"/>
          <w:spacing w:val="-4"/>
          <w:w w:val="110"/>
          <w:sz w:val="20"/>
        </w:rPr>
        <w:t xml:space="preserve">market </w:t>
      </w:r>
      <w:r>
        <w:rPr>
          <w:color w:val="231F20"/>
          <w:w w:val="110"/>
          <w:sz w:val="20"/>
        </w:rPr>
        <w:t xml:space="preserve">forwards. With a large overshoot of its labor market target under </w:t>
      </w:r>
      <w:r>
        <w:rPr>
          <w:color w:val="231F20"/>
          <w:spacing w:val="-6"/>
          <w:w w:val="110"/>
          <w:sz w:val="20"/>
        </w:rPr>
        <w:t xml:space="preserve">way, </w:t>
      </w:r>
      <w:r>
        <w:rPr>
          <w:color w:val="231F20"/>
          <w:w w:val="110"/>
          <w:sz w:val="20"/>
        </w:rPr>
        <w:t>the FOMC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will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likely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be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reluctant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to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stop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until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it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is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conﬁdent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that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the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 xml:space="preserve">unemployment rate is no longer on a downward trajectory, a point we expect to reach only in early 2020. </w:t>
      </w:r>
      <w:r>
        <w:rPr>
          <w:color w:val="231F20"/>
          <w:spacing w:val="-4"/>
          <w:w w:val="110"/>
          <w:sz w:val="20"/>
        </w:rPr>
        <w:t xml:space="preserve">We </w:t>
      </w:r>
      <w:r>
        <w:rPr>
          <w:color w:val="231F20"/>
          <w:w w:val="110"/>
          <w:sz w:val="20"/>
        </w:rPr>
        <w:t>still see the risks to our terminal rate forecast as tilted a little to the</w:t>
      </w:r>
      <w:r>
        <w:rPr>
          <w:color w:val="231F20"/>
          <w:spacing w:val="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upside.</w:t>
      </w:r>
    </w:p>
    <w:p w14:paraId="64963899" w14:textId="77777777" w:rsidR="00A542B4" w:rsidRDefault="00A542B4" w:rsidP="00A542B4">
      <w:pPr>
        <w:pStyle w:val="ListParagraph"/>
        <w:numPr>
          <w:ilvl w:val="0"/>
          <w:numId w:val="1"/>
        </w:numPr>
        <w:tabs>
          <w:tab w:val="left" w:pos="1361"/>
        </w:tabs>
        <w:spacing w:line="295" w:lineRule="auto"/>
        <w:ind w:left="333"/>
        <w:rPr>
          <w:sz w:val="20"/>
        </w:rPr>
      </w:pPr>
      <w:r>
        <w:rPr>
          <w:color w:val="231F20"/>
          <w:w w:val="110"/>
          <w:sz w:val="20"/>
        </w:rPr>
        <w:t>History counsels that large labor market overshoots raise recession risk down the road. While we take this lesson seriously, we think it is being applied too mechanically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in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markets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spacing w:val="-4"/>
          <w:w w:val="110"/>
          <w:sz w:val="20"/>
        </w:rPr>
        <w:t>today.</w:t>
      </w:r>
      <w:r>
        <w:rPr>
          <w:color w:val="231F20"/>
          <w:spacing w:val="3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spacing w:val="-3"/>
          <w:w w:val="110"/>
          <w:sz w:val="20"/>
        </w:rPr>
        <w:t>ﬂatter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and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more</w:t>
      </w:r>
      <w:r>
        <w:rPr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anchored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Phillips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curve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spacing w:val="-3"/>
          <w:w w:val="110"/>
          <w:sz w:val="20"/>
        </w:rPr>
        <w:t xml:space="preserve">should </w:t>
      </w:r>
      <w:r>
        <w:rPr>
          <w:color w:val="231F20"/>
          <w:w w:val="110"/>
          <w:sz w:val="20"/>
        </w:rPr>
        <w:t>allow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the</w:t>
      </w:r>
      <w:r>
        <w:rPr>
          <w:color w:val="231F20"/>
          <w:spacing w:val="-7"/>
          <w:w w:val="110"/>
          <w:sz w:val="20"/>
        </w:rPr>
        <w:t xml:space="preserve"> </w:t>
      </w:r>
      <w:r>
        <w:rPr>
          <w:color w:val="231F20"/>
          <w:spacing w:val="-3"/>
          <w:w w:val="110"/>
          <w:sz w:val="20"/>
        </w:rPr>
        <w:t>Fed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to</w:t>
      </w:r>
      <w:r>
        <w:rPr>
          <w:color w:val="231F20"/>
          <w:spacing w:val="-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unwind</w:t>
      </w:r>
      <w:r>
        <w:rPr>
          <w:color w:val="231F20"/>
          <w:spacing w:val="-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the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overshoot</w:t>
      </w:r>
      <w:r>
        <w:rPr>
          <w:color w:val="231F20"/>
          <w:spacing w:val="-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more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gradually,</w:t>
      </w:r>
      <w:r>
        <w:rPr>
          <w:color w:val="231F20"/>
          <w:spacing w:val="-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giving</w:t>
      </w:r>
      <w:r>
        <w:rPr>
          <w:color w:val="231F20"/>
          <w:spacing w:val="-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it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</w:t>
      </w:r>
      <w:r>
        <w:rPr>
          <w:color w:val="231F20"/>
          <w:spacing w:val="-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good</w:t>
      </w:r>
      <w:r>
        <w:rPr>
          <w:color w:val="231F20"/>
          <w:spacing w:val="-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chance</w:t>
      </w:r>
      <w:r>
        <w:rPr>
          <w:color w:val="231F20"/>
          <w:spacing w:val="-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 xml:space="preserve">of beating the historical odds. </w:t>
      </w:r>
      <w:r>
        <w:rPr>
          <w:color w:val="231F20"/>
          <w:spacing w:val="-3"/>
          <w:w w:val="110"/>
          <w:sz w:val="20"/>
        </w:rPr>
        <w:t xml:space="preserve">For </w:t>
      </w:r>
      <w:r>
        <w:rPr>
          <w:color w:val="231F20"/>
          <w:spacing w:val="-5"/>
          <w:w w:val="110"/>
          <w:sz w:val="20"/>
        </w:rPr>
        <w:t xml:space="preserve">now, </w:t>
      </w:r>
      <w:r>
        <w:rPr>
          <w:color w:val="231F20"/>
          <w:w w:val="110"/>
          <w:sz w:val="20"/>
        </w:rPr>
        <w:t xml:space="preserve">neither overheating risks nor ﬁnancial imbalances—the classic causes of US recessions—look worrisome. As a result, the expansion is on course to become the longest in US history next </w:t>
      </w:r>
      <w:r>
        <w:rPr>
          <w:color w:val="231F20"/>
          <w:spacing w:val="-4"/>
          <w:w w:val="110"/>
          <w:sz w:val="20"/>
        </w:rPr>
        <w:t xml:space="preserve">year, </w:t>
      </w:r>
      <w:r>
        <w:rPr>
          <w:color w:val="231F20"/>
          <w:w w:val="110"/>
          <w:sz w:val="20"/>
        </w:rPr>
        <w:t>and even in subsequent years recession is not our base</w:t>
      </w:r>
      <w:r>
        <w:rPr>
          <w:color w:val="231F20"/>
          <w:spacing w:val="4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case.</w:t>
      </w:r>
    </w:p>
    <w:p w14:paraId="2A59F767" w14:textId="77777777" w:rsidR="00D367CC" w:rsidRDefault="00D367CC" w:rsidP="00A542B4">
      <w:bookmarkStart w:id="0" w:name="_GoBack"/>
      <w:bookmarkEnd w:id="0"/>
    </w:p>
    <w:sectPr w:rsidR="00D367CC" w:rsidSect="00CD6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A2384"/>
    <w:multiLevelType w:val="hybridMultilevel"/>
    <w:tmpl w:val="8984323C"/>
    <w:lvl w:ilvl="0" w:tplc="6EA06738">
      <w:numFmt w:val="bullet"/>
      <w:lvlText w:val=""/>
      <w:lvlJc w:val="left"/>
      <w:pPr>
        <w:ind w:left="1360" w:hanging="333"/>
      </w:pPr>
      <w:rPr>
        <w:rFonts w:ascii="Wingdings" w:eastAsia="Wingdings" w:hAnsi="Wingdings" w:cs="Wingdings" w:hint="default"/>
        <w:color w:val="737378"/>
        <w:w w:val="100"/>
        <w:sz w:val="18"/>
        <w:szCs w:val="18"/>
        <w:lang w:val="en-US" w:eastAsia="en-US" w:bidi="en-US"/>
      </w:rPr>
    </w:lvl>
    <w:lvl w:ilvl="1" w:tplc="38D4984E">
      <w:numFmt w:val="bullet"/>
      <w:lvlText w:val="•"/>
      <w:lvlJc w:val="left"/>
      <w:pPr>
        <w:ind w:left="2074" w:hanging="333"/>
      </w:pPr>
      <w:rPr>
        <w:rFonts w:hint="default"/>
        <w:lang w:val="en-US" w:eastAsia="en-US" w:bidi="en-US"/>
      </w:rPr>
    </w:lvl>
    <w:lvl w:ilvl="2" w:tplc="5C989384">
      <w:numFmt w:val="bullet"/>
      <w:lvlText w:val="•"/>
      <w:lvlJc w:val="left"/>
      <w:pPr>
        <w:ind w:left="2788" w:hanging="333"/>
      </w:pPr>
      <w:rPr>
        <w:rFonts w:hint="default"/>
        <w:lang w:val="en-US" w:eastAsia="en-US" w:bidi="en-US"/>
      </w:rPr>
    </w:lvl>
    <w:lvl w:ilvl="3" w:tplc="B34AB40A">
      <w:numFmt w:val="bullet"/>
      <w:lvlText w:val="•"/>
      <w:lvlJc w:val="left"/>
      <w:pPr>
        <w:ind w:left="3503" w:hanging="333"/>
      </w:pPr>
      <w:rPr>
        <w:rFonts w:hint="default"/>
        <w:lang w:val="en-US" w:eastAsia="en-US" w:bidi="en-US"/>
      </w:rPr>
    </w:lvl>
    <w:lvl w:ilvl="4" w:tplc="89BA391C">
      <w:numFmt w:val="bullet"/>
      <w:lvlText w:val="•"/>
      <w:lvlJc w:val="left"/>
      <w:pPr>
        <w:ind w:left="4217" w:hanging="333"/>
      </w:pPr>
      <w:rPr>
        <w:rFonts w:hint="default"/>
        <w:lang w:val="en-US" w:eastAsia="en-US" w:bidi="en-US"/>
      </w:rPr>
    </w:lvl>
    <w:lvl w:ilvl="5" w:tplc="7AE8802C">
      <w:numFmt w:val="bullet"/>
      <w:lvlText w:val="•"/>
      <w:lvlJc w:val="left"/>
      <w:pPr>
        <w:ind w:left="4932" w:hanging="333"/>
      </w:pPr>
      <w:rPr>
        <w:rFonts w:hint="default"/>
        <w:lang w:val="en-US" w:eastAsia="en-US" w:bidi="en-US"/>
      </w:rPr>
    </w:lvl>
    <w:lvl w:ilvl="6" w:tplc="9C40C4A4">
      <w:numFmt w:val="bullet"/>
      <w:lvlText w:val="•"/>
      <w:lvlJc w:val="left"/>
      <w:pPr>
        <w:ind w:left="5646" w:hanging="333"/>
      </w:pPr>
      <w:rPr>
        <w:rFonts w:hint="default"/>
        <w:lang w:val="en-US" w:eastAsia="en-US" w:bidi="en-US"/>
      </w:rPr>
    </w:lvl>
    <w:lvl w:ilvl="7" w:tplc="80F0E64E">
      <w:numFmt w:val="bullet"/>
      <w:lvlText w:val="•"/>
      <w:lvlJc w:val="left"/>
      <w:pPr>
        <w:ind w:left="6361" w:hanging="333"/>
      </w:pPr>
      <w:rPr>
        <w:rFonts w:hint="default"/>
        <w:lang w:val="en-US" w:eastAsia="en-US" w:bidi="en-US"/>
      </w:rPr>
    </w:lvl>
    <w:lvl w:ilvl="8" w:tplc="C1C2A3B0">
      <w:numFmt w:val="bullet"/>
      <w:lvlText w:val="•"/>
      <w:lvlJc w:val="left"/>
      <w:pPr>
        <w:ind w:left="7075" w:hanging="33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B4"/>
    <w:rsid w:val="00A542B4"/>
    <w:rsid w:val="00CD6F10"/>
    <w:rsid w:val="00D3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6DFE"/>
  <w15:chartTrackingRefBased/>
  <w15:docId w15:val="{D65DD24D-ACBC-854D-9FD8-3A82D63E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542B4"/>
    <w:pPr>
      <w:widowControl w:val="0"/>
      <w:autoSpaceDE w:val="0"/>
      <w:autoSpaceDN w:val="0"/>
      <w:spacing w:before="83"/>
      <w:ind w:left="1360" w:hanging="333"/>
    </w:pPr>
    <w:rPr>
      <w:rFonts w:ascii="Calibri" w:eastAsia="Calibri" w:hAnsi="Calibri" w:cs="Calibri"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Vallod</dc:creator>
  <cp:keywords/>
  <dc:description/>
  <cp:lastModifiedBy>Emmanuel Vallod</cp:lastModifiedBy>
  <cp:revision>1</cp:revision>
  <dcterms:created xsi:type="dcterms:W3CDTF">2019-05-16T23:05:00Z</dcterms:created>
  <dcterms:modified xsi:type="dcterms:W3CDTF">2019-05-16T23:07:00Z</dcterms:modified>
</cp:coreProperties>
</file>