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71772" w14:textId="77777777" w:rsidR="00DF3C59" w:rsidRDefault="00DF3C59" w:rsidP="00DF3C59">
      <w:pPr>
        <w:pStyle w:val="ListParagraph"/>
        <w:numPr>
          <w:ilvl w:val="0"/>
          <w:numId w:val="2"/>
        </w:numPr>
        <w:tabs>
          <w:tab w:val="left" w:pos="626"/>
        </w:tabs>
        <w:spacing w:before="95"/>
        <w:ind w:left="180"/>
        <w:rPr>
          <w:sz w:val="18"/>
        </w:rPr>
      </w:pPr>
      <w:bookmarkStart w:id="0" w:name="_GoBack"/>
      <w:r>
        <w:rPr>
          <w:color w:val="6D6E71"/>
          <w:sz w:val="18"/>
        </w:rPr>
        <w:t>The U.S. economy should slow but not stall in 2019 due</w:t>
      </w:r>
      <w:r>
        <w:rPr>
          <w:color w:val="6D6E71"/>
          <w:spacing w:val="26"/>
          <w:sz w:val="18"/>
        </w:rPr>
        <w:t xml:space="preserve"> </w:t>
      </w:r>
      <w:r>
        <w:rPr>
          <w:color w:val="6D6E71"/>
          <w:sz w:val="18"/>
        </w:rPr>
        <w:t>to</w:t>
      </w:r>
    </w:p>
    <w:p w14:paraId="4AFB544C" w14:textId="77777777" w:rsidR="00DF3C59" w:rsidRDefault="00DF3C59" w:rsidP="00DF3C59">
      <w:pPr>
        <w:spacing w:before="10" w:line="252" w:lineRule="auto"/>
        <w:ind w:left="180" w:right="71"/>
        <w:rPr>
          <w:sz w:val="18"/>
        </w:rPr>
      </w:pPr>
      <w:r>
        <w:rPr>
          <w:color w:val="6D6E71"/>
          <w:sz w:val="18"/>
        </w:rPr>
        <w:t xml:space="preserve">fading fiscal stimulus, higher interest rates and a lack of workers. Even as unemployment falls further, </w:t>
      </w:r>
      <w:proofErr w:type="gramStart"/>
      <w:r>
        <w:rPr>
          <w:color w:val="6D6E71"/>
          <w:sz w:val="18"/>
        </w:rPr>
        <w:t>inflation  should</w:t>
      </w:r>
      <w:proofErr w:type="gramEnd"/>
      <w:r>
        <w:rPr>
          <w:color w:val="6D6E71"/>
          <w:sz w:val="18"/>
        </w:rPr>
        <w:t xml:space="preserve">  be relatively</w:t>
      </w:r>
      <w:r>
        <w:rPr>
          <w:color w:val="6D6E71"/>
          <w:spacing w:val="4"/>
          <w:sz w:val="18"/>
        </w:rPr>
        <w:t xml:space="preserve"> </w:t>
      </w:r>
      <w:r>
        <w:rPr>
          <w:color w:val="6D6E71"/>
          <w:sz w:val="18"/>
        </w:rPr>
        <w:t>contained.</w:t>
      </w:r>
    </w:p>
    <w:p w14:paraId="26DDB6F6" w14:textId="77777777" w:rsidR="00DF3C59" w:rsidRDefault="00DF3C59" w:rsidP="00DF3C59">
      <w:pPr>
        <w:pStyle w:val="ListParagraph"/>
        <w:numPr>
          <w:ilvl w:val="0"/>
          <w:numId w:val="2"/>
        </w:numPr>
        <w:tabs>
          <w:tab w:val="left" w:pos="626"/>
        </w:tabs>
        <w:spacing w:before="99" w:line="252" w:lineRule="auto"/>
        <w:ind w:left="180" w:right="82"/>
        <w:rPr>
          <w:sz w:val="18"/>
        </w:rPr>
      </w:pPr>
      <w:r>
        <w:rPr>
          <w:color w:val="6D6E71"/>
          <w:sz w:val="18"/>
        </w:rPr>
        <w:t>Central banks in the U.S. and abroad will tighten monetary policy in 2019 – this should continue to push yields higher. In the later stages of this cycle, investors may want to adopt a more conservative stance in their fixed income</w:t>
      </w:r>
      <w:r>
        <w:rPr>
          <w:color w:val="6D6E71"/>
          <w:spacing w:val="25"/>
          <w:sz w:val="18"/>
        </w:rPr>
        <w:t xml:space="preserve"> </w:t>
      </w:r>
      <w:r>
        <w:rPr>
          <w:color w:val="6D6E71"/>
          <w:sz w:val="18"/>
        </w:rPr>
        <w:t>portfolios.</w:t>
      </w:r>
    </w:p>
    <w:p w14:paraId="570E6E79" w14:textId="25D799E9" w:rsidR="00DF3C59" w:rsidRPr="00DF3C59" w:rsidRDefault="00DF3C59" w:rsidP="00DF3C59">
      <w:pPr>
        <w:pStyle w:val="ListParagraph"/>
        <w:numPr>
          <w:ilvl w:val="0"/>
          <w:numId w:val="2"/>
        </w:numPr>
        <w:tabs>
          <w:tab w:val="left" w:pos="626"/>
        </w:tabs>
        <w:spacing w:before="98" w:line="252" w:lineRule="auto"/>
        <w:ind w:left="180"/>
        <w:rPr>
          <w:sz w:val="18"/>
        </w:rPr>
      </w:pPr>
      <w:r>
        <w:rPr>
          <w:color w:val="6D6E71"/>
          <w:sz w:val="18"/>
        </w:rPr>
        <w:t xml:space="preserve">Higher rates should limit multiple expansion, leaving earnings as the main driver of U.S. equity returns. With earnings growth set </w:t>
      </w:r>
      <w:r>
        <w:rPr>
          <w:color w:val="6D6E71"/>
          <w:spacing w:val="-7"/>
          <w:sz w:val="18"/>
        </w:rPr>
        <w:t xml:space="preserve">to </w:t>
      </w:r>
      <w:r>
        <w:rPr>
          <w:color w:val="6D6E71"/>
          <w:sz w:val="18"/>
        </w:rPr>
        <w:t>slow, and volatility expected to rise, investors may want to focus on sectors that have historically derived a greater share of their total return from</w:t>
      </w:r>
      <w:r>
        <w:rPr>
          <w:color w:val="6D6E71"/>
          <w:spacing w:val="12"/>
          <w:sz w:val="18"/>
        </w:rPr>
        <w:t xml:space="preserve"> </w:t>
      </w:r>
      <w:r>
        <w:rPr>
          <w:color w:val="6D6E71"/>
          <w:sz w:val="18"/>
        </w:rPr>
        <w:t>dividends.</w:t>
      </w:r>
    </w:p>
    <w:p w14:paraId="5FB0FE75" w14:textId="77777777" w:rsidR="00DF3C59" w:rsidRDefault="00DF3C59" w:rsidP="00DF3C59">
      <w:pPr>
        <w:pStyle w:val="BodyText"/>
        <w:spacing w:before="5"/>
        <w:rPr>
          <w:sz w:val="18"/>
        </w:rPr>
      </w:pPr>
    </w:p>
    <w:p w14:paraId="241EBAED" w14:textId="77777777" w:rsidR="00DF3C59" w:rsidRDefault="00DF3C59" w:rsidP="00DF3C59">
      <w:pPr>
        <w:pStyle w:val="ListParagraph"/>
        <w:numPr>
          <w:ilvl w:val="0"/>
          <w:numId w:val="1"/>
        </w:numPr>
        <w:tabs>
          <w:tab w:val="left" w:pos="417"/>
        </w:tabs>
        <w:spacing w:line="261" w:lineRule="auto"/>
        <w:ind w:left="0" w:right="621"/>
        <w:rPr>
          <w:sz w:val="18"/>
        </w:rPr>
      </w:pPr>
      <w:r>
        <w:rPr>
          <w:color w:val="6D6E71"/>
          <w:sz w:val="18"/>
        </w:rPr>
        <w:t xml:space="preserve">After a sharp fall in valuations in 2018, steady economic growth and less dollar strength may provide international equities </w:t>
      </w:r>
      <w:r>
        <w:rPr>
          <w:color w:val="6D6E71"/>
          <w:spacing w:val="-3"/>
          <w:sz w:val="18"/>
        </w:rPr>
        <w:t xml:space="preserve">some </w:t>
      </w:r>
      <w:r>
        <w:rPr>
          <w:color w:val="6D6E71"/>
          <w:sz w:val="18"/>
        </w:rPr>
        <w:t xml:space="preserve">room to rebound in 2019. However, the climb will be </w:t>
      </w:r>
      <w:proofErr w:type="gramStart"/>
      <w:r>
        <w:rPr>
          <w:color w:val="6D6E71"/>
          <w:sz w:val="18"/>
        </w:rPr>
        <w:t>bumpy</w:t>
      </w:r>
      <w:proofErr w:type="gramEnd"/>
      <w:r>
        <w:rPr>
          <w:color w:val="6D6E71"/>
          <w:sz w:val="18"/>
        </w:rPr>
        <w:t xml:space="preserve"> and investors should ask themselves, in the short run, whether they have the right exposure within different regions and, in the long run, whether their exposure to international equities</w:t>
      </w:r>
      <w:r>
        <w:rPr>
          <w:color w:val="6D6E71"/>
          <w:spacing w:val="29"/>
          <w:sz w:val="18"/>
        </w:rPr>
        <w:t xml:space="preserve"> </w:t>
      </w:r>
      <w:r>
        <w:rPr>
          <w:color w:val="6D6E71"/>
          <w:sz w:val="18"/>
        </w:rPr>
        <w:t>overall</w:t>
      </w:r>
    </w:p>
    <w:p w14:paraId="49F5E991" w14:textId="77777777" w:rsidR="00DF3C59" w:rsidRDefault="00DF3C59" w:rsidP="00DF3C59">
      <w:pPr>
        <w:spacing w:before="3"/>
        <w:rPr>
          <w:sz w:val="18"/>
        </w:rPr>
      </w:pPr>
      <w:r>
        <w:rPr>
          <w:color w:val="6D6E71"/>
          <w:sz w:val="18"/>
        </w:rPr>
        <w:t>is adequate.</w:t>
      </w:r>
    </w:p>
    <w:p w14:paraId="7A0E46D9" w14:textId="77777777" w:rsidR="00DF3C59" w:rsidRDefault="00DF3C59" w:rsidP="00DF3C59">
      <w:pPr>
        <w:pStyle w:val="ListParagraph"/>
        <w:numPr>
          <w:ilvl w:val="0"/>
          <w:numId w:val="1"/>
        </w:numPr>
        <w:tabs>
          <w:tab w:val="left" w:pos="417"/>
        </w:tabs>
        <w:spacing w:before="121" w:line="261" w:lineRule="auto"/>
        <w:ind w:left="0" w:right="589"/>
        <w:rPr>
          <w:sz w:val="18"/>
        </w:rPr>
      </w:pPr>
      <w:r>
        <w:rPr>
          <w:color w:val="6D6E71"/>
          <w:sz w:val="18"/>
        </w:rPr>
        <w:t xml:space="preserve">There are significant risks to the outlook for 2019. The Federal Reserve may tighten too much; profit margins may come under pressure sooner than anticipated; trade tensions may escalate </w:t>
      </w:r>
      <w:r>
        <w:rPr>
          <w:color w:val="6D6E71"/>
          <w:spacing w:val="-6"/>
          <w:sz w:val="18"/>
        </w:rPr>
        <w:t xml:space="preserve">or </w:t>
      </w:r>
      <w:r>
        <w:rPr>
          <w:color w:val="6D6E71"/>
          <w:sz w:val="18"/>
        </w:rPr>
        <w:t>diminish; and geopolitical strife may force oil prices</w:t>
      </w:r>
      <w:r>
        <w:rPr>
          <w:color w:val="6D6E71"/>
          <w:spacing w:val="6"/>
          <w:sz w:val="18"/>
        </w:rPr>
        <w:t xml:space="preserve"> </w:t>
      </w:r>
      <w:r>
        <w:rPr>
          <w:color w:val="6D6E71"/>
          <w:sz w:val="18"/>
        </w:rPr>
        <w:t>higher.</w:t>
      </w:r>
    </w:p>
    <w:p w14:paraId="10C0F79C" w14:textId="77777777" w:rsidR="00DF3C59" w:rsidRDefault="00DF3C59" w:rsidP="00DF3C59">
      <w:pPr>
        <w:pStyle w:val="ListParagraph"/>
        <w:numPr>
          <w:ilvl w:val="0"/>
          <w:numId w:val="1"/>
        </w:numPr>
        <w:tabs>
          <w:tab w:val="left" w:pos="417"/>
        </w:tabs>
        <w:spacing w:before="103" w:line="261" w:lineRule="auto"/>
        <w:ind w:left="0" w:right="515"/>
        <w:rPr>
          <w:sz w:val="18"/>
        </w:rPr>
      </w:pPr>
      <w:r>
        <w:rPr>
          <w:color w:val="6D6E71"/>
          <w:sz w:val="18"/>
        </w:rPr>
        <w:t>Timeless investing principles are especially relevant for investors in what appears to be the later stages of a market cycle. Investors may wish to tilt towards quality in portfolios along with an emphasis on diversification and rebalancing given higher</w:t>
      </w:r>
      <w:r>
        <w:rPr>
          <w:color w:val="6D6E71"/>
          <w:spacing w:val="12"/>
          <w:sz w:val="18"/>
        </w:rPr>
        <w:t xml:space="preserve"> </w:t>
      </w:r>
      <w:r>
        <w:rPr>
          <w:color w:val="6D6E71"/>
          <w:sz w:val="18"/>
        </w:rPr>
        <w:t>levels</w:t>
      </w:r>
    </w:p>
    <w:p w14:paraId="55E7CA0D" w14:textId="77777777" w:rsidR="00DF3C59" w:rsidRDefault="00DF3C59" w:rsidP="00DF3C59">
      <w:pPr>
        <w:spacing w:before="1"/>
        <w:rPr>
          <w:sz w:val="18"/>
        </w:rPr>
      </w:pPr>
      <w:r>
        <w:rPr>
          <w:color w:val="6D6E71"/>
          <w:sz w:val="18"/>
        </w:rPr>
        <w:t>of uncertainty.</w:t>
      </w:r>
    </w:p>
    <w:p w14:paraId="6592FE68" w14:textId="5B385357" w:rsidR="00D367CC" w:rsidRDefault="00D367CC" w:rsidP="00DF3C59"/>
    <w:p w14:paraId="1AE20653" w14:textId="6C197032" w:rsidR="00DF3C59" w:rsidRDefault="00DF3C59" w:rsidP="00DF3C59"/>
    <w:p w14:paraId="26F22A66" w14:textId="335144D3" w:rsidR="00DF3C59" w:rsidRDefault="00DF3C59" w:rsidP="00DF3C59"/>
    <w:p w14:paraId="4FCA2E37" w14:textId="1A5BCC79" w:rsidR="00DF3C59" w:rsidRDefault="00DF3C59" w:rsidP="00DF3C59"/>
    <w:p w14:paraId="4EC0054A" w14:textId="3797BEBA" w:rsidR="00DF3C59" w:rsidRDefault="00DF3C59" w:rsidP="00DF3C59"/>
    <w:p w14:paraId="537CAD0D" w14:textId="7107B080" w:rsidR="00DF3C59" w:rsidRDefault="00DF3C59" w:rsidP="00DF3C59"/>
    <w:p w14:paraId="4F0B041A" w14:textId="74A93EF8" w:rsidR="00DF3C59" w:rsidRDefault="00DF3C59" w:rsidP="00DF3C59"/>
    <w:p w14:paraId="1BE1B505" w14:textId="3CEA3D49" w:rsidR="00DF3C59" w:rsidRDefault="00DF3C59" w:rsidP="00DF3C59"/>
    <w:p w14:paraId="013DE367" w14:textId="3E499DA4" w:rsidR="00DF3C59" w:rsidRDefault="00DF3C59" w:rsidP="00DF3C59"/>
    <w:p w14:paraId="29317166" w14:textId="68D82CAB" w:rsidR="00DF3C59" w:rsidRDefault="00DF3C59" w:rsidP="00DF3C59"/>
    <w:p w14:paraId="48369B6D" w14:textId="71F56F60" w:rsidR="00DF3C59" w:rsidRDefault="00DF3C59" w:rsidP="00DF3C59"/>
    <w:p w14:paraId="6FBE9A5A" w14:textId="7E345EDC" w:rsidR="00DF3C59" w:rsidRDefault="00DF3C59" w:rsidP="00DF3C59"/>
    <w:p w14:paraId="3A281AFA" w14:textId="2F9FC8CE" w:rsidR="00DF3C59" w:rsidRDefault="00DF3C59" w:rsidP="00DF3C59"/>
    <w:p w14:paraId="1FE75477" w14:textId="08A0139A" w:rsidR="00DF3C59" w:rsidRDefault="00DF3C59" w:rsidP="00DF3C59"/>
    <w:p w14:paraId="001CC188" w14:textId="6A3935ED" w:rsidR="00DF3C59" w:rsidRDefault="00DF3C59" w:rsidP="00DF3C59"/>
    <w:p w14:paraId="2FD6B5CB" w14:textId="5B08F5CD" w:rsidR="00DF3C59" w:rsidRDefault="00DF3C59" w:rsidP="00DF3C59"/>
    <w:p w14:paraId="01CA9723" w14:textId="5414CF23" w:rsidR="00DF3C59" w:rsidRDefault="00DF3C59" w:rsidP="00DF3C59"/>
    <w:p w14:paraId="3D5B5F1D" w14:textId="755CAD81" w:rsidR="00DF3C59" w:rsidRDefault="00DF3C59" w:rsidP="00DF3C59"/>
    <w:p w14:paraId="7F79231F" w14:textId="654566CD" w:rsidR="00DF3C59" w:rsidRDefault="00DF3C59" w:rsidP="00DF3C59"/>
    <w:p w14:paraId="3285C122" w14:textId="504EF617" w:rsidR="00DF3C59" w:rsidRDefault="00DF3C59" w:rsidP="00DF3C59"/>
    <w:p w14:paraId="0043A7CD" w14:textId="3E8915FA" w:rsidR="00DF3C59" w:rsidRDefault="00DF3C59" w:rsidP="00DF3C59"/>
    <w:p w14:paraId="2C1CDBA2" w14:textId="6A22A679" w:rsidR="00DF3C59" w:rsidRDefault="00DF3C59" w:rsidP="00DF3C59"/>
    <w:p w14:paraId="4E595AE1" w14:textId="55004B4B" w:rsidR="00DF3C59" w:rsidRDefault="00DF3C59" w:rsidP="00DF3C59"/>
    <w:p w14:paraId="0755691F" w14:textId="72AE7AD0" w:rsidR="00DF3C59" w:rsidRDefault="00DF3C59" w:rsidP="00DF3C59"/>
    <w:p w14:paraId="2AAA7261" w14:textId="67F2AD9B" w:rsidR="00DF3C59" w:rsidRDefault="00DF3C59" w:rsidP="00DF3C59"/>
    <w:p w14:paraId="63FB0041" w14:textId="2F459B80" w:rsidR="00DF3C59" w:rsidRDefault="00DF3C59" w:rsidP="00DF3C59"/>
    <w:bookmarkEnd w:id="0"/>
    <w:p w14:paraId="1790BBD1" w14:textId="77777777" w:rsidR="00DF3C59" w:rsidRDefault="00DF3C59" w:rsidP="00DF3C59"/>
    <w:sectPr w:rsidR="00DF3C59" w:rsidSect="00CD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95EF6"/>
    <w:multiLevelType w:val="hybridMultilevel"/>
    <w:tmpl w:val="79A8AA50"/>
    <w:lvl w:ilvl="0" w:tplc="696E23FA">
      <w:numFmt w:val="bullet"/>
      <w:lvlText w:val="•"/>
      <w:lvlJc w:val="left"/>
      <w:pPr>
        <w:ind w:left="625" w:hanging="180"/>
      </w:pPr>
      <w:rPr>
        <w:rFonts w:ascii="Calibri" w:eastAsia="Calibri" w:hAnsi="Calibri" w:cs="Calibri" w:hint="default"/>
        <w:color w:val="6D6E71"/>
        <w:w w:val="67"/>
        <w:sz w:val="18"/>
        <w:szCs w:val="18"/>
        <w:lang w:val="en-US" w:eastAsia="en-US" w:bidi="en-US"/>
      </w:rPr>
    </w:lvl>
    <w:lvl w:ilvl="1" w:tplc="B046EE0A">
      <w:numFmt w:val="bullet"/>
      <w:lvlText w:val="•"/>
      <w:lvlJc w:val="left"/>
      <w:pPr>
        <w:ind w:left="1109" w:hanging="180"/>
      </w:pPr>
      <w:rPr>
        <w:rFonts w:hint="default"/>
        <w:lang w:val="en-US" w:eastAsia="en-US" w:bidi="en-US"/>
      </w:rPr>
    </w:lvl>
    <w:lvl w:ilvl="2" w:tplc="BE38D9FE">
      <w:numFmt w:val="bullet"/>
      <w:lvlText w:val="•"/>
      <w:lvlJc w:val="left"/>
      <w:pPr>
        <w:ind w:left="1598" w:hanging="180"/>
      </w:pPr>
      <w:rPr>
        <w:rFonts w:hint="default"/>
        <w:lang w:val="en-US" w:eastAsia="en-US" w:bidi="en-US"/>
      </w:rPr>
    </w:lvl>
    <w:lvl w:ilvl="3" w:tplc="A40258A0">
      <w:numFmt w:val="bullet"/>
      <w:lvlText w:val="•"/>
      <w:lvlJc w:val="left"/>
      <w:pPr>
        <w:ind w:left="2087" w:hanging="180"/>
      </w:pPr>
      <w:rPr>
        <w:rFonts w:hint="default"/>
        <w:lang w:val="en-US" w:eastAsia="en-US" w:bidi="en-US"/>
      </w:rPr>
    </w:lvl>
    <w:lvl w:ilvl="4" w:tplc="679A1CF8">
      <w:numFmt w:val="bullet"/>
      <w:lvlText w:val="•"/>
      <w:lvlJc w:val="left"/>
      <w:pPr>
        <w:ind w:left="2577" w:hanging="180"/>
      </w:pPr>
      <w:rPr>
        <w:rFonts w:hint="default"/>
        <w:lang w:val="en-US" w:eastAsia="en-US" w:bidi="en-US"/>
      </w:rPr>
    </w:lvl>
    <w:lvl w:ilvl="5" w:tplc="95DCBEB2">
      <w:numFmt w:val="bullet"/>
      <w:lvlText w:val="•"/>
      <w:lvlJc w:val="left"/>
      <w:pPr>
        <w:ind w:left="3066" w:hanging="180"/>
      </w:pPr>
      <w:rPr>
        <w:rFonts w:hint="default"/>
        <w:lang w:val="en-US" w:eastAsia="en-US" w:bidi="en-US"/>
      </w:rPr>
    </w:lvl>
    <w:lvl w:ilvl="6" w:tplc="2F4E2B38">
      <w:numFmt w:val="bullet"/>
      <w:lvlText w:val="•"/>
      <w:lvlJc w:val="left"/>
      <w:pPr>
        <w:ind w:left="3555" w:hanging="180"/>
      </w:pPr>
      <w:rPr>
        <w:rFonts w:hint="default"/>
        <w:lang w:val="en-US" w:eastAsia="en-US" w:bidi="en-US"/>
      </w:rPr>
    </w:lvl>
    <w:lvl w:ilvl="7" w:tplc="8E4EE8BA">
      <w:numFmt w:val="bullet"/>
      <w:lvlText w:val="•"/>
      <w:lvlJc w:val="left"/>
      <w:pPr>
        <w:ind w:left="4044" w:hanging="180"/>
      </w:pPr>
      <w:rPr>
        <w:rFonts w:hint="default"/>
        <w:lang w:val="en-US" w:eastAsia="en-US" w:bidi="en-US"/>
      </w:rPr>
    </w:lvl>
    <w:lvl w:ilvl="8" w:tplc="E70AED90">
      <w:numFmt w:val="bullet"/>
      <w:lvlText w:val="•"/>
      <w:lvlJc w:val="left"/>
      <w:pPr>
        <w:ind w:left="4534" w:hanging="180"/>
      </w:pPr>
      <w:rPr>
        <w:rFonts w:hint="default"/>
        <w:lang w:val="en-US" w:eastAsia="en-US" w:bidi="en-US"/>
      </w:rPr>
    </w:lvl>
  </w:abstractNum>
  <w:abstractNum w:abstractNumId="1" w15:restartNumberingAfterBreak="0">
    <w:nsid w:val="6F9F7C56"/>
    <w:multiLevelType w:val="hybridMultilevel"/>
    <w:tmpl w:val="9E28E02C"/>
    <w:lvl w:ilvl="0" w:tplc="B420A046">
      <w:numFmt w:val="bullet"/>
      <w:lvlText w:val="•"/>
      <w:lvlJc w:val="left"/>
      <w:pPr>
        <w:ind w:left="417" w:hanging="180"/>
      </w:pPr>
      <w:rPr>
        <w:rFonts w:ascii="Calibri" w:eastAsia="Calibri" w:hAnsi="Calibri" w:cs="Calibri" w:hint="default"/>
        <w:color w:val="6D6E71"/>
        <w:w w:val="67"/>
        <w:sz w:val="18"/>
        <w:szCs w:val="18"/>
        <w:lang w:val="en-US" w:eastAsia="en-US" w:bidi="en-US"/>
      </w:rPr>
    </w:lvl>
    <w:lvl w:ilvl="1" w:tplc="34E4835A">
      <w:numFmt w:val="bullet"/>
      <w:lvlText w:val="•"/>
      <w:lvlJc w:val="left"/>
      <w:pPr>
        <w:ind w:left="958" w:hanging="180"/>
      </w:pPr>
      <w:rPr>
        <w:rFonts w:hint="default"/>
        <w:lang w:val="en-US" w:eastAsia="en-US" w:bidi="en-US"/>
      </w:rPr>
    </w:lvl>
    <w:lvl w:ilvl="2" w:tplc="BB54107C">
      <w:numFmt w:val="bullet"/>
      <w:lvlText w:val="•"/>
      <w:lvlJc w:val="left"/>
      <w:pPr>
        <w:ind w:left="1497" w:hanging="180"/>
      </w:pPr>
      <w:rPr>
        <w:rFonts w:hint="default"/>
        <w:lang w:val="en-US" w:eastAsia="en-US" w:bidi="en-US"/>
      </w:rPr>
    </w:lvl>
    <w:lvl w:ilvl="3" w:tplc="E1528D38">
      <w:numFmt w:val="bullet"/>
      <w:lvlText w:val="•"/>
      <w:lvlJc w:val="left"/>
      <w:pPr>
        <w:ind w:left="2036" w:hanging="180"/>
      </w:pPr>
      <w:rPr>
        <w:rFonts w:hint="default"/>
        <w:lang w:val="en-US" w:eastAsia="en-US" w:bidi="en-US"/>
      </w:rPr>
    </w:lvl>
    <w:lvl w:ilvl="4" w:tplc="234C6E16">
      <w:numFmt w:val="bullet"/>
      <w:lvlText w:val="•"/>
      <w:lvlJc w:val="left"/>
      <w:pPr>
        <w:ind w:left="2574" w:hanging="180"/>
      </w:pPr>
      <w:rPr>
        <w:rFonts w:hint="default"/>
        <w:lang w:val="en-US" w:eastAsia="en-US" w:bidi="en-US"/>
      </w:rPr>
    </w:lvl>
    <w:lvl w:ilvl="5" w:tplc="DC1EED5A">
      <w:numFmt w:val="bullet"/>
      <w:lvlText w:val="•"/>
      <w:lvlJc w:val="left"/>
      <w:pPr>
        <w:ind w:left="3113" w:hanging="180"/>
      </w:pPr>
      <w:rPr>
        <w:rFonts w:hint="default"/>
        <w:lang w:val="en-US" w:eastAsia="en-US" w:bidi="en-US"/>
      </w:rPr>
    </w:lvl>
    <w:lvl w:ilvl="6" w:tplc="3D1E2D8E">
      <w:numFmt w:val="bullet"/>
      <w:lvlText w:val="•"/>
      <w:lvlJc w:val="left"/>
      <w:pPr>
        <w:ind w:left="3652" w:hanging="180"/>
      </w:pPr>
      <w:rPr>
        <w:rFonts w:hint="default"/>
        <w:lang w:val="en-US" w:eastAsia="en-US" w:bidi="en-US"/>
      </w:rPr>
    </w:lvl>
    <w:lvl w:ilvl="7" w:tplc="EABCF26E">
      <w:numFmt w:val="bullet"/>
      <w:lvlText w:val="•"/>
      <w:lvlJc w:val="left"/>
      <w:pPr>
        <w:ind w:left="4191" w:hanging="180"/>
      </w:pPr>
      <w:rPr>
        <w:rFonts w:hint="default"/>
        <w:lang w:val="en-US" w:eastAsia="en-US" w:bidi="en-US"/>
      </w:rPr>
    </w:lvl>
    <w:lvl w:ilvl="8" w:tplc="19C86586">
      <w:numFmt w:val="bullet"/>
      <w:lvlText w:val="•"/>
      <w:lvlJc w:val="left"/>
      <w:pPr>
        <w:ind w:left="4729" w:hanging="18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59"/>
    <w:rsid w:val="00CD6F10"/>
    <w:rsid w:val="00D367CC"/>
    <w:rsid w:val="00DF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5C16"/>
  <w15:chartTrackingRefBased/>
  <w15:docId w15:val="{AB3AA70C-3F7B-0445-A1A1-AE7703F6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C59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3C5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F3C59"/>
    <w:rPr>
      <w:rFonts w:ascii="Calibri" w:eastAsia="Calibri" w:hAnsi="Calibri" w:cs="Calibri"/>
      <w:sz w:val="20"/>
      <w:szCs w:val="20"/>
      <w:lang w:eastAsia="en-US" w:bidi="en-US"/>
    </w:rPr>
  </w:style>
  <w:style w:type="paragraph" w:styleId="ListParagraph">
    <w:name w:val="List Paragraph"/>
    <w:basedOn w:val="Normal"/>
    <w:uiPriority w:val="1"/>
    <w:qFormat/>
    <w:rsid w:val="00DF3C59"/>
    <w:pPr>
      <w:ind w:left="417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Vallod</dc:creator>
  <cp:keywords/>
  <dc:description/>
  <cp:lastModifiedBy>Emmanuel Vallod</cp:lastModifiedBy>
  <cp:revision>1</cp:revision>
  <dcterms:created xsi:type="dcterms:W3CDTF">2019-05-16T23:02:00Z</dcterms:created>
  <dcterms:modified xsi:type="dcterms:W3CDTF">2019-05-16T23:05:00Z</dcterms:modified>
</cp:coreProperties>
</file>