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FA037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In today’s late-cycle US monetary tightening phase, we recommend a variety of actions to prepare portfolios for the coming year and beyond.</w:t>
      </w:r>
    </w:p>
    <w:p w14:paraId="71820C49" w14:textId="77777777" w:rsidR="00B25CE0" w:rsidRPr="00B25CE0" w:rsidRDefault="00B25CE0" w:rsidP="00B25CE0">
      <w:pPr>
        <w:rPr>
          <w:rFonts w:ascii="Arial" w:hAnsi="Arial" w:cs="Arial"/>
        </w:rPr>
      </w:pPr>
    </w:p>
    <w:p w14:paraId="251E301A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We do not expect the next US recession and global downturn to begin in 2019.</w:t>
      </w:r>
    </w:p>
    <w:p w14:paraId="1228185C" w14:textId="77777777" w:rsidR="00B25CE0" w:rsidRPr="00B25CE0" w:rsidRDefault="00B25CE0" w:rsidP="00B25CE0">
      <w:pPr>
        <w:rPr>
          <w:rFonts w:ascii="Arial" w:hAnsi="Arial" w:cs="Arial"/>
        </w:rPr>
      </w:pPr>
    </w:p>
    <w:p w14:paraId="273B3CC4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In September 2018, the US successfully concluded a revised trade agreement with South Korea, and then with Canada and Mexico.</w:t>
      </w:r>
    </w:p>
    <w:p w14:paraId="2696FFA6" w14:textId="77777777" w:rsidR="00B25CE0" w:rsidRPr="00B25CE0" w:rsidRDefault="00B25CE0" w:rsidP="00B25CE0">
      <w:pPr>
        <w:rPr>
          <w:rFonts w:ascii="Arial" w:hAnsi="Arial" w:cs="Arial"/>
        </w:rPr>
      </w:pPr>
    </w:p>
    <w:p w14:paraId="09DA51FC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The trade war came as a shock to markets in 2018, alongside the strong growth and monetary tightening that we expected. We consider the implications for investors looking ahead.</w:t>
      </w:r>
    </w:p>
    <w:p w14:paraId="1787D963" w14:textId="77777777" w:rsidR="00B25CE0" w:rsidRPr="00B25CE0" w:rsidRDefault="00B25CE0" w:rsidP="00B25CE0">
      <w:pPr>
        <w:rPr>
          <w:rFonts w:ascii="Arial" w:hAnsi="Arial" w:cs="Arial"/>
        </w:rPr>
      </w:pPr>
    </w:p>
    <w:p w14:paraId="51AB5E37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We consider trade to be critical to the outlook for how corporate profits might perform.</w:t>
      </w:r>
    </w:p>
    <w:p w14:paraId="364A471D" w14:textId="77777777" w:rsidR="00B25CE0" w:rsidRPr="00B25CE0" w:rsidRDefault="00B25CE0" w:rsidP="00B25CE0">
      <w:pPr>
        <w:rPr>
          <w:rFonts w:ascii="Arial" w:hAnsi="Arial" w:cs="Arial"/>
        </w:rPr>
      </w:pPr>
    </w:p>
    <w:p w14:paraId="5A96E2EC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In the coming year, the US and China may also clash over currency policy.</w:t>
      </w:r>
    </w:p>
    <w:p w14:paraId="698C6B32" w14:textId="77777777" w:rsidR="00B25CE0" w:rsidRPr="00B25CE0" w:rsidRDefault="00B25CE0" w:rsidP="00B25CE0">
      <w:pPr>
        <w:rPr>
          <w:rFonts w:ascii="Arial" w:hAnsi="Arial" w:cs="Arial"/>
        </w:rPr>
      </w:pPr>
    </w:p>
    <w:p w14:paraId="4AF959D8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Investing more in cheap asset classes and less in expensive ones can help improve risk-adjusted returns over time. But doing so requires a disciplined approach.</w:t>
      </w:r>
    </w:p>
    <w:p w14:paraId="5AF896E6" w14:textId="77777777" w:rsidR="00B25CE0" w:rsidRPr="00B25CE0" w:rsidRDefault="00B25CE0" w:rsidP="00B25CE0">
      <w:pPr>
        <w:rPr>
          <w:rFonts w:ascii="Arial" w:hAnsi="Arial" w:cs="Arial"/>
        </w:rPr>
      </w:pPr>
    </w:p>
    <w:p w14:paraId="0DC1D0D2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Buying undervalued markets and reducing exposure to expensive ones has proven incrementally profitable – provided the portfolio remains fully invested.</w:t>
      </w:r>
    </w:p>
    <w:p w14:paraId="5F74C4E8" w14:textId="77777777" w:rsidR="00B25CE0" w:rsidRPr="00B25CE0" w:rsidRDefault="00B25CE0" w:rsidP="00B25CE0">
      <w:pPr>
        <w:rPr>
          <w:rFonts w:ascii="Arial" w:hAnsi="Arial" w:cs="Arial"/>
        </w:rPr>
      </w:pPr>
    </w:p>
    <w:p w14:paraId="1DB2D01A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Market timing in a late-stage bull market may sound like a good idea. But experience suggests that there is no ‘right time’ to time the markets.</w:t>
      </w:r>
    </w:p>
    <w:p w14:paraId="6FE6246C" w14:textId="77777777" w:rsidR="00B25CE0" w:rsidRPr="00B25CE0" w:rsidRDefault="00B25CE0" w:rsidP="00B25CE0">
      <w:pPr>
        <w:rPr>
          <w:rFonts w:ascii="Arial" w:hAnsi="Arial" w:cs="Arial"/>
        </w:rPr>
      </w:pPr>
    </w:p>
    <w:p w14:paraId="6B103F2A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We see many wise and prudent steps you can take to preserve and create value.</w:t>
      </w:r>
    </w:p>
    <w:p w14:paraId="695418E1" w14:textId="77777777" w:rsidR="00B25CE0" w:rsidRPr="00B25CE0" w:rsidRDefault="00B25CE0" w:rsidP="00B25CE0">
      <w:pPr>
        <w:rPr>
          <w:rFonts w:ascii="Arial" w:hAnsi="Arial" w:cs="Arial"/>
        </w:rPr>
      </w:pPr>
    </w:p>
    <w:p w14:paraId="5A4B5BDC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There is compelling evidence against aggressive attempts to time the markets.</w:t>
      </w:r>
    </w:p>
    <w:p w14:paraId="180FE4E2" w14:textId="77777777" w:rsidR="00B25CE0" w:rsidRPr="00B25CE0" w:rsidRDefault="00B25CE0" w:rsidP="00B25CE0">
      <w:pPr>
        <w:rPr>
          <w:rFonts w:ascii="Arial" w:hAnsi="Arial" w:cs="Arial"/>
        </w:rPr>
      </w:pPr>
    </w:p>
    <w:p w14:paraId="34CC8366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Strategic asset allocation is crucial to the performance and risk-exposures of portfolios over time. We review our methodology’s long-term outlook for returns.</w:t>
      </w:r>
    </w:p>
    <w:p w14:paraId="24D9BCF8" w14:textId="77777777" w:rsidR="00B25CE0" w:rsidRPr="00B25CE0" w:rsidRDefault="00B25CE0" w:rsidP="00B25CE0">
      <w:pPr>
        <w:rPr>
          <w:rFonts w:ascii="Arial" w:hAnsi="Arial" w:cs="Arial"/>
        </w:rPr>
      </w:pPr>
    </w:p>
    <w:p w14:paraId="5033328F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Aligning your investment activities with personal values and interests can help enable you to seek financial gain while serving the greater good.</w:t>
      </w:r>
    </w:p>
    <w:p w14:paraId="57278831" w14:textId="77777777" w:rsidR="00B25CE0" w:rsidRPr="00B25CE0" w:rsidRDefault="00B25CE0" w:rsidP="00B25CE0">
      <w:pPr>
        <w:rPr>
          <w:rFonts w:ascii="Arial" w:hAnsi="Arial" w:cs="Arial"/>
        </w:rPr>
      </w:pPr>
    </w:p>
    <w:p w14:paraId="22A09D63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Investing with Purpose does not require you to sacrifice returns nor is it a philanthropic endeavor.</w:t>
      </w:r>
    </w:p>
    <w:p w14:paraId="06C2B3CA" w14:textId="77777777" w:rsidR="00B25CE0" w:rsidRPr="00B25CE0" w:rsidRDefault="00B25CE0" w:rsidP="00B25CE0">
      <w:pPr>
        <w:rPr>
          <w:rFonts w:ascii="Arial" w:hAnsi="Arial" w:cs="Arial"/>
        </w:rPr>
      </w:pPr>
    </w:p>
    <w:p w14:paraId="7677F12B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 xml:space="preserve">Technology and innovation are strengthening investment processes and adding new dimensions to the evaluation of </w:t>
      </w:r>
      <w:proofErr w:type="spellStart"/>
      <w:r w:rsidRPr="00B25CE0">
        <w:rPr>
          <w:rFonts w:ascii="Arial" w:hAnsi="Arial" w:cs="Arial"/>
        </w:rPr>
        <w:t>IwP</w:t>
      </w:r>
      <w:proofErr w:type="spellEnd"/>
      <w:r w:rsidRPr="00B25CE0">
        <w:rPr>
          <w:rFonts w:ascii="Arial" w:hAnsi="Arial" w:cs="Arial"/>
        </w:rPr>
        <w:t xml:space="preserve"> opportunities.</w:t>
      </w:r>
    </w:p>
    <w:p w14:paraId="726C05F0" w14:textId="77777777" w:rsidR="00B25CE0" w:rsidRPr="00B25CE0" w:rsidRDefault="00B25CE0" w:rsidP="00B25CE0">
      <w:pPr>
        <w:rPr>
          <w:rFonts w:ascii="Arial" w:hAnsi="Arial" w:cs="Arial"/>
        </w:rPr>
      </w:pPr>
    </w:p>
    <w:p w14:paraId="352CCA30" w14:textId="77777777" w:rsidR="00B25CE0" w:rsidRPr="00B25CE0" w:rsidRDefault="00B25CE0" w:rsidP="00B25CE0">
      <w:pPr>
        <w:rPr>
          <w:rFonts w:ascii="Arial" w:hAnsi="Arial" w:cs="Arial"/>
        </w:rPr>
      </w:pPr>
      <w:proofErr w:type="spellStart"/>
      <w:r w:rsidRPr="00B25CE0">
        <w:rPr>
          <w:rFonts w:ascii="Arial" w:hAnsi="Arial" w:cs="Arial"/>
        </w:rPr>
        <w:t>IwP</w:t>
      </w:r>
      <w:proofErr w:type="spellEnd"/>
      <w:r w:rsidRPr="00B25CE0">
        <w:rPr>
          <w:rFonts w:ascii="Arial" w:hAnsi="Arial" w:cs="Arial"/>
        </w:rPr>
        <w:t xml:space="preserve"> adds an important new dimension to how we can work with you to understand your goals and objectives.</w:t>
      </w:r>
    </w:p>
    <w:p w14:paraId="125572F9" w14:textId="77777777" w:rsidR="00B25CE0" w:rsidRPr="00B25CE0" w:rsidRDefault="00B25CE0" w:rsidP="00B25CE0">
      <w:pPr>
        <w:rPr>
          <w:rFonts w:ascii="Arial" w:hAnsi="Arial" w:cs="Arial"/>
        </w:rPr>
      </w:pPr>
    </w:p>
    <w:p w14:paraId="732884A2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We enter 2019 with a small overweight to global equities, focused upon certain European and emerging markets, and with a small underweight to global fixed income.</w:t>
      </w:r>
    </w:p>
    <w:p w14:paraId="7475344F" w14:textId="77777777" w:rsidR="00B25CE0" w:rsidRPr="00B25CE0" w:rsidRDefault="00B25CE0" w:rsidP="00B25CE0">
      <w:pPr>
        <w:rPr>
          <w:rFonts w:ascii="Arial" w:hAnsi="Arial" w:cs="Arial"/>
        </w:rPr>
      </w:pPr>
    </w:p>
    <w:p w14:paraId="4F64A579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After a difficult 2018, we see Asian assets returning to form in 2019, with emerging markets benefiting from attractive valuations and continuing, but slower regional growth.</w:t>
      </w:r>
    </w:p>
    <w:p w14:paraId="632CE6A6" w14:textId="77777777" w:rsidR="00B25CE0" w:rsidRPr="00B25CE0" w:rsidRDefault="00B25CE0" w:rsidP="00B25CE0">
      <w:pPr>
        <w:rPr>
          <w:rFonts w:ascii="Arial" w:hAnsi="Arial" w:cs="Arial"/>
        </w:rPr>
      </w:pPr>
    </w:p>
    <w:p w14:paraId="4C996A63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Japanese valuations are low among developed markets, while earnings expectations are conservative.</w:t>
      </w:r>
    </w:p>
    <w:p w14:paraId="34932A03" w14:textId="77777777" w:rsidR="00B25CE0" w:rsidRPr="00B25CE0" w:rsidRDefault="00B25CE0" w:rsidP="00B25CE0">
      <w:pPr>
        <w:rPr>
          <w:rFonts w:ascii="Arial" w:hAnsi="Arial" w:cs="Arial"/>
        </w:rPr>
      </w:pPr>
    </w:p>
    <w:p w14:paraId="0CBF8AF6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China will likely remain the more interesting local currency fixed income market in 2019.</w:t>
      </w:r>
    </w:p>
    <w:p w14:paraId="2B42B8FD" w14:textId="77777777" w:rsidR="00B25CE0" w:rsidRPr="00B25CE0" w:rsidRDefault="00B25CE0" w:rsidP="00B25CE0">
      <w:pPr>
        <w:rPr>
          <w:rFonts w:ascii="Arial" w:hAnsi="Arial" w:cs="Arial"/>
        </w:rPr>
      </w:pPr>
    </w:p>
    <w:p w14:paraId="39BF8F89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Later in 2019, EM currencies may get some respite.</w:t>
      </w:r>
    </w:p>
    <w:p w14:paraId="04F25B82" w14:textId="77777777" w:rsidR="00B25CE0" w:rsidRPr="00B25CE0" w:rsidRDefault="00B25CE0" w:rsidP="00B25CE0">
      <w:pPr>
        <w:rPr>
          <w:rFonts w:ascii="Arial" w:hAnsi="Arial" w:cs="Arial"/>
        </w:rPr>
      </w:pPr>
    </w:p>
    <w:p w14:paraId="60AD2A72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With regional growth set to continue, we see upside potential for certain European equities and the single currency.</w:t>
      </w:r>
    </w:p>
    <w:p w14:paraId="6E42354C" w14:textId="77777777" w:rsidR="00B25CE0" w:rsidRPr="00B25CE0" w:rsidRDefault="00B25CE0" w:rsidP="00B25CE0">
      <w:pPr>
        <w:rPr>
          <w:rFonts w:ascii="Arial" w:hAnsi="Arial" w:cs="Arial"/>
        </w:rPr>
      </w:pPr>
    </w:p>
    <w:p w14:paraId="7D03954C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European HY bank loans also remain an attractive source of higher current income.</w:t>
      </w:r>
    </w:p>
    <w:p w14:paraId="0D838C02" w14:textId="77777777" w:rsidR="00B25CE0" w:rsidRPr="00B25CE0" w:rsidRDefault="00B25CE0" w:rsidP="00B25CE0">
      <w:pPr>
        <w:rPr>
          <w:rFonts w:ascii="Arial" w:hAnsi="Arial" w:cs="Arial"/>
        </w:rPr>
      </w:pPr>
    </w:p>
    <w:p w14:paraId="0A9EE4E6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Modest growth and reasonable valuations point to an economic rebound in Latin America in 2019, but not on the scale of the post-2016 rally. With political, commodity and trade issues complicating matters, it is a good time to be an opportunistic investor.</w:t>
      </w:r>
    </w:p>
    <w:p w14:paraId="0CBFF990" w14:textId="77777777" w:rsidR="00B25CE0" w:rsidRPr="00B25CE0" w:rsidRDefault="00B25CE0" w:rsidP="00B25CE0">
      <w:pPr>
        <w:rPr>
          <w:rFonts w:ascii="Arial" w:hAnsi="Arial" w:cs="Arial"/>
        </w:rPr>
      </w:pPr>
    </w:p>
    <w:p w14:paraId="3BD5D105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We see few fundamental reasons to reduce exposure to Latin America.</w:t>
      </w:r>
    </w:p>
    <w:p w14:paraId="14C08024" w14:textId="77777777" w:rsidR="00B25CE0" w:rsidRPr="00B25CE0" w:rsidRDefault="00B25CE0" w:rsidP="00B25CE0">
      <w:pPr>
        <w:rPr>
          <w:rFonts w:ascii="Arial" w:hAnsi="Arial" w:cs="Arial"/>
        </w:rPr>
      </w:pPr>
    </w:p>
    <w:p w14:paraId="380097F5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We believe Brazilian equities can outperform over the coming year.</w:t>
      </w:r>
    </w:p>
    <w:p w14:paraId="09D2524C" w14:textId="77777777" w:rsidR="00B25CE0" w:rsidRPr="00B25CE0" w:rsidRDefault="00B25CE0" w:rsidP="00B25CE0">
      <w:pPr>
        <w:rPr>
          <w:rFonts w:ascii="Arial" w:hAnsi="Arial" w:cs="Arial"/>
        </w:rPr>
      </w:pPr>
    </w:p>
    <w:p w14:paraId="64ABDB3D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The oil sector should continue to benefit in Mexico, Brazil, Colombia, and Argentina.</w:t>
      </w:r>
    </w:p>
    <w:p w14:paraId="3006A4C1" w14:textId="77777777" w:rsidR="00B25CE0" w:rsidRPr="00B25CE0" w:rsidRDefault="00B25CE0" w:rsidP="00B25CE0">
      <w:pPr>
        <w:rPr>
          <w:rFonts w:ascii="Arial" w:hAnsi="Arial" w:cs="Arial"/>
        </w:rPr>
      </w:pPr>
    </w:p>
    <w:p w14:paraId="09EB41AE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Our favored Latin American sectors for 2019 are energy and financials.</w:t>
      </w:r>
    </w:p>
    <w:p w14:paraId="21436137" w14:textId="77777777" w:rsidR="00B25CE0" w:rsidRPr="00B25CE0" w:rsidRDefault="00B25CE0" w:rsidP="00B25CE0">
      <w:pPr>
        <w:rPr>
          <w:rFonts w:ascii="Arial" w:hAnsi="Arial" w:cs="Arial"/>
        </w:rPr>
      </w:pPr>
    </w:p>
    <w:p w14:paraId="30F54CE1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We see Latin America as an attractive component of global fixed income portfolios.</w:t>
      </w:r>
    </w:p>
    <w:p w14:paraId="4D931BAB" w14:textId="77777777" w:rsidR="00B25CE0" w:rsidRPr="00B25CE0" w:rsidRDefault="00B25CE0" w:rsidP="00B25CE0">
      <w:pPr>
        <w:rPr>
          <w:rFonts w:ascii="Arial" w:hAnsi="Arial" w:cs="Arial"/>
        </w:rPr>
      </w:pPr>
    </w:p>
    <w:p w14:paraId="1F995759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In 2019, we expect a better nominal regional exchange rate performance, albeit with continued volatility.</w:t>
      </w:r>
    </w:p>
    <w:p w14:paraId="58B8BE35" w14:textId="77777777" w:rsidR="00B25CE0" w:rsidRPr="00B25CE0" w:rsidRDefault="00B25CE0" w:rsidP="00B25CE0">
      <w:pPr>
        <w:rPr>
          <w:rFonts w:ascii="Arial" w:hAnsi="Arial" w:cs="Arial"/>
        </w:rPr>
      </w:pPr>
    </w:p>
    <w:p w14:paraId="4265DF08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With the US economic expansion poised to become the longest on record, we get even more selective in our approach to equity and fixed income, while also encouraging US-biased investors to go global.</w:t>
      </w:r>
    </w:p>
    <w:p w14:paraId="5929FF56" w14:textId="77777777" w:rsidR="00B25CE0" w:rsidRPr="00B25CE0" w:rsidRDefault="00B25CE0" w:rsidP="00B25CE0">
      <w:pPr>
        <w:rPr>
          <w:rFonts w:ascii="Arial" w:hAnsi="Arial" w:cs="Arial"/>
        </w:rPr>
      </w:pPr>
    </w:p>
    <w:p w14:paraId="3B356062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Rising rates can create challenges for fixed income.</w:t>
      </w:r>
    </w:p>
    <w:p w14:paraId="09BF56C9" w14:textId="77777777" w:rsidR="00B25CE0" w:rsidRPr="00B25CE0" w:rsidRDefault="00B25CE0" w:rsidP="00B25CE0">
      <w:pPr>
        <w:rPr>
          <w:rFonts w:ascii="Arial" w:hAnsi="Arial" w:cs="Arial"/>
        </w:rPr>
      </w:pPr>
    </w:p>
    <w:p w14:paraId="0C7125EE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Rising rates have made cash more valuable once more. Our favored opportunities stress quality, selectivity, and diversification.</w:t>
      </w:r>
    </w:p>
    <w:p w14:paraId="6BC8C4D2" w14:textId="77777777" w:rsidR="00B25CE0" w:rsidRPr="00B25CE0" w:rsidRDefault="00B25CE0" w:rsidP="00B25CE0">
      <w:pPr>
        <w:rPr>
          <w:rFonts w:ascii="Arial" w:hAnsi="Arial" w:cs="Arial"/>
        </w:rPr>
      </w:pPr>
    </w:p>
    <w:p w14:paraId="10339052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The higher future cash flows that many US fixed income assets now offer can help offset price falls in the event of more rate hikes or widening credit spreads.</w:t>
      </w:r>
    </w:p>
    <w:p w14:paraId="25346026" w14:textId="77777777" w:rsidR="00B25CE0" w:rsidRPr="00B25CE0" w:rsidRDefault="00B25CE0" w:rsidP="00B25CE0">
      <w:pPr>
        <w:rPr>
          <w:rFonts w:ascii="Arial" w:hAnsi="Arial" w:cs="Arial"/>
        </w:rPr>
      </w:pPr>
    </w:p>
    <w:p w14:paraId="65595AC8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lastRenderedPageBreak/>
        <w:t>The current environment for CLOs continues to look attractive. CLO managers are still able to lock in debt financing at competitive rates and then capture a favorable spread over their financing rate.</w:t>
      </w:r>
    </w:p>
    <w:p w14:paraId="2FFCA7B6" w14:textId="77777777" w:rsidR="00B25CE0" w:rsidRPr="00B25CE0" w:rsidRDefault="00B25CE0" w:rsidP="00B25CE0">
      <w:pPr>
        <w:rPr>
          <w:rFonts w:ascii="Arial" w:hAnsi="Arial" w:cs="Arial"/>
        </w:rPr>
      </w:pPr>
    </w:p>
    <w:p w14:paraId="0ABAD107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Today’s late-cycle conditions are a good time to seek to safeguard your assets. They also offer opportunities for doing so.</w:t>
      </w:r>
    </w:p>
    <w:p w14:paraId="3BF1C033" w14:textId="77777777" w:rsidR="00B25CE0" w:rsidRPr="00B25CE0" w:rsidRDefault="00B25CE0" w:rsidP="00B25CE0">
      <w:pPr>
        <w:rPr>
          <w:rFonts w:ascii="Arial" w:hAnsi="Arial" w:cs="Arial"/>
        </w:rPr>
      </w:pPr>
    </w:p>
    <w:p w14:paraId="44674962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In today’s mature bull market, you need not choose between ongoing upside potential and protecting your assets.</w:t>
      </w:r>
    </w:p>
    <w:p w14:paraId="4976FACF" w14:textId="77777777" w:rsidR="00B25CE0" w:rsidRPr="00B25CE0" w:rsidRDefault="00B25CE0" w:rsidP="00B25CE0">
      <w:pPr>
        <w:rPr>
          <w:rFonts w:ascii="Arial" w:hAnsi="Arial" w:cs="Arial"/>
        </w:rPr>
      </w:pPr>
    </w:p>
    <w:p w14:paraId="7480B89A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Strategies that provide a payment at maturity can be customized according to your specific needs.</w:t>
      </w:r>
    </w:p>
    <w:p w14:paraId="0936F13F" w14:textId="77777777" w:rsidR="00B25CE0" w:rsidRPr="00B25CE0" w:rsidRDefault="00B25CE0" w:rsidP="00B25CE0">
      <w:pPr>
        <w:rPr>
          <w:rFonts w:ascii="Arial" w:hAnsi="Arial" w:cs="Arial"/>
        </w:rPr>
      </w:pPr>
    </w:p>
    <w:p w14:paraId="1BD1B6C3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Today’s late-cycle conditions present a compelling reason for integrating payment at maturity strategies as core holdings within your portfolio.</w:t>
      </w:r>
    </w:p>
    <w:p w14:paraId="575D0525" w14:textId="77777777" w:rsidR="00B25CE0" w:rsidRPr="00B25CE0" w:rsidRDefault="00B25CE0" w:rsidP="00B25CE0">
      <w:pPr>
        <w:rPr>
          <w:rFonts w:ascii="Arial" w:hAnsi="Arial" w:cs="Arial"/>
        </w:rPr>
      </w:pPr>
    </w:p>
    <w:p w14:paraId="269B4006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Late-cycle conditions call for smarter use of leverage rather than abandoning it altogether.</w:t>
      </w:r>
    </w:p>
    <w:p w14:paraId="2CF3E904" w14:textId="77777777" w:rsidR="00B25CE0" w:rsidRPr="00B25CE0" w:rsidRDefault="00B25CE0" w:rsidP="00B25CE0">
      <w:pPr>
        <w:rPr>
          <w:rFonts w:ascii="Arial" w:hAnsi="Arial" w:cs="Arial"/>
        </w:rPr>
      </w:pPr>
    </w:p>
    <w:p w14:paraId="243F1931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We also recommend that investors consider hedging their loan exposures.</w:t>
      </w:r>
    </w:p>
    <w:p w14:paraId="23B6455E" w14:textId="77777777" w:rsidR="00B25CE0" w:rsidRPr="00B25CE0" w:rsidRDefault="00B25CE0" w:rsidP="00B25CE0">
      <w:pPr>
        <w:rPr>
          <w:rFonts w:ascii="Arial" w:hAnsi="Arial" w:cs="Arial"/>
        </w:rPr>
      </w:pPr>
    </w:p>
    <w:p w14:paraId="228FF573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While we believe in global diversification at all times, it is of critical value in today’s environment.</w:t>
      </w:r>
    </w:p>
    <w:p w14:paraId="07C80F80" w14:textId="77777777" w:rsidR="00B25CE0" w:rsidRPr="00B25CE0" w:rsidRDefault="00B25CE0" w:rsidP="00B25CE0">
      <w:pPr>
        <w:rPr>
          <w:rFonts w:ascii="Arial" w:hAnsi="Arial" w:cs="Arial"/>
        </w:rPr>
      </w:pPr>
    </w:p>
    <w:p w14:paraId="2107695C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Unstoppable trends are transforming how we live and do business, with profound long-term implications for your portfolio. We explore three of these themes and how to position your wealth to take advantage of them.</w:t>
      </w:r>
    </w:p>
    <w:p w14:paraId="3461A951" w14:textId="77777777" w:rsidR="00B25CE0" w:rsidRPr="00B25CE0" w:rsidRDefault="00B25CE0" w:rsidP="00B25CE0">
      <w:pPr>
        <w:rPr>
          <w:rFonts w:ascii="Arial" w:hAnsi="Arial" w:cs="Arial"/>
        </w:rPr>
      </w:pPr>
    </w:p>
    <w:p w14:paraId="21A9596D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By contrast, failing to position portfolios appropriately risks both missing out on potential growth opportunities.</w:t>
      </w:r>
    </w:p>
    <w:p w14:paraId="78D86BA2" w14:textId="77777777" w:rsidR="00B25CE0" w:rsidRPr="00B25CE0" w:rsidRDefault="00B25CE0" w:rsidP="00B25CE0">
      <w:pPr>
        <w:rPr>
          <w:rFonts w:ascii="Arial" w:hAnsi="Arial" w:cs="Arial"/>
        </w:rPr>
      </w:pPr>
    </w:p>
    <w:p w14:paraId="21A6192B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The powerful economic transformation of EM Asian countries has much further to go. But investors generally remain underexposed to the region’s attractive growth potential.</w:t>
      </w:r>
    </w:p>
    <w:p w14:paraId="7C204F13" w14:textId="77777777" w:rsidR="00B25CE0" w:rsidRPr="00B25CE0" w:rsidRDefault="00B25CE0" w:rsidP="00B25CE0">
      <w:pPr>
        <w:rPr>
          <w:rFonts w:ascii="Arial" w:hAnsi="Arial" w:cs="Arial"/>
        </w:rPr>
      </w:pPr>
    </w:p>
    <w:p w14:paraId="7E867E8A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The aging of the world’s population presents a major challenge for society and opportunities to boost your portfolio’s immunity.</w:t>
      </w:r>
    </w:p>
    <w:p w14:paraId="08B1710B" w14:textId="77777777" w:rsidR="00B25CE0" w:rsidRPr="00B25CE0" w:rsidRDefault="00B25CE0" w:rsidP="00B25CE0">
      <w:pPr>
        <w:rPr>
          <w:rFonts w:ascii="Arial" w:hAnsi="Arial" w:cs="Arial"/>
        </w:rPr>
      </w:pPr>
    </w:p>
    <w:p w14:paraId="1A4A5EAF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The advance of digital technologies continues to revolutionize business and improve our daily lives, with profound implications for your portfolios.</w:t>
      </w:r>
    </w:p>
    <w:p w14:paraId="321F0F14" w14:textId="77777777" w:rsidR="00B25CE0" w:rsidRPr="00B25CE0" w:rsidRDefault="00B25CE0" w:rsidP="00B25CE0">
      <w:pPr>
        <w:rPr>
          <w:rFonts w:ascii="Arial" w:hAnsi="Arial" w:cs="Arial"/>
        </w:rPr>
      </w:pPr>
      <w:bookmarkStart w:id="0" w:name="_GoBack"/>
      <w:bookmarkEnd w:id="0"/>
    </w:p>
    <w:p w14:paraId="6C92523F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The benefits of digital disruption to customers are all around us.</w:t>
      </w:r>
    </w:p>
    <w:p w14:paraId="446A2EE0" w14:textId="77777777" w:rsidR="00B25CE0" w:rsidRPr="00B25CE0" w:rsidRDefault="00B25CE0" w:rsidP="00B25CE0">
      <w:pPr>
        <w:rPr>
          <w:rFonts w:ascii="Arial" w:hAnsi="Arial" w:cs="Arial"/>
        </w:rPr>
      </w:pPr>
    </w:p>
    <w:p w14:paraId="3895281C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Google estimates that all human data from pre-history to 2003 was roughly 5 exabytes.</w:t>
      </w:r>
    </w:p>
    <w:p w14:paraId="4D3080C1" w14:textId="77777777" w:rsidR="00B25CE0" w:rsidRPr="00B25CE0" w:rsidRDefault="00B25CE0" w:rsidP="00B25CE0">
      <w:pPr>
        <w:rPr>
          <w:rFonts w:ascii="Arial" w:hAnsi="Arial" w:cs="Arial"/>
        </w:rPr>
      </w:pPr>
    </w:p>
    <w:p w14:paraId="58C849FF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The transformation of road transport may also involve a revolution in how vehicles are used and owned.</w:t>
      </w:r>
    </w:p>
    <w:p w14:paraId="16CBAC55" w14:textId="77777777" w:rsidR="00B25CE0" w:rsidRPr="00B25CE0" w:rsidRDefault="00B25CE0" w:rsidP="00B25CE0">
      <w:pPr>
        <w:rPr>
          <w:rFonts w:ascii="Arial" w:hAnsi="Arial" w:cs="Arial"/>
        </w:rPr>
      </w:pPr>
    </w:p>
    <w:p w14:paraId="1E9EF38D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We see blockchain’s characteristics as adaptable to multiple uses across the economy and society.</w:t>
      </w:r>
    </w:p>
    <w:p w14:paraId="52F22450" w14:textId="77777777" w:rsidR="00B25CE0" w:rsidRPr="00B25CE0" w:rsidRDefault="00B25CE0" w:rsidP="00B25CE0">
      <w:pPr>
        <w:rPr>
          <w:rFonts w:ascii="Arial" w:hAnsi="Arial" w:cs="Arial"/>
        </w:rPr>
      </w:pPr>
    </w:p>
    <w:p w14:paraId="2E6804D4" w14:textId="77777777" w:rsidR="00B25CE0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While the potential benefits of blockchain are diverse, they are likely to take time to be realized.</w:t>
      </w:r>
    </w:p>
    <w:p w14:paraId="678E04D7" w14:textId="77777777" w:rsidR="00B25CE0" w:rsidRPr="00B25CE0" w:rsidRDefault="00B25CE0" w:rsidP="00B25CE0">
      <w:pPr>
        <w:rPr>
          <w:rFonts w:ascii="Arial" w:hAnsi="Arial" w:cs="Arial"/>
        </w:rPr>
      </w:pPr>
    </w:p>
    <w:p w14:paraId="3887A393" w14:textId="4E5CA56A" w:rsidR="00D367CC" w:rsidRPr="00B25CE0" w:rsidRDefault="00B25CE0" w:rsidP="00B25CE0">
      <w:pPr>
        <w:rPr>
          <w:rFonts w:ascii="Arial" w:hAnsi="Arial" w:cs="Arial"/>
        </w:rPr>
      </w:pPr>
      <w:r w:rsidRPr="00B25CE0">
        <w:rPr>
          <w:rFonts w:ascii="Arial" w:hAnsi="Arial" w:cs="Arial"/>
        </w:rPr>
        <w:t>We believe that replacing and complementing human labor with robotic labor is not only desirable, but essential.</w:t>
      </w:r>
    </w:p>
    <w:sectPr w:rsidR="00D367CC" w:rsidRPr="00B25CE0" w:rsidSect="00CD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E0"/>
    <w:rsid w:val="00B25CE0"/>
    <w:rsid w:val="00CD6F10"/>
    <w:rsid w:val="00D3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5085"/>
  <w15:chartTrackingRefBased/>
  <w15:docId w15:val="{EC705F49-A0FC-A44D-9A17-27960073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Vallod</dc:creator>
  <cp:keywords/>
  <dc:description/>
  <cp:lastModifiedBy>Emmanuel Vallod</cp:lastModifiedBy>
  <cp:revision>1</cp:revision>
  <dcterms:created xsi:type="dcterms:W3CDTF">2019-05-16T23:40:00Z</dcterms:created>
  <dcterms:modified xsi:type="dcterms:W3CDTF">2019-05-16T23:41:00Z</dcterms:modified>
</cp:coreProperties>
</file>