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95949B5" w14:textId="77777777" w:rsidR="005352A2" w:rsidRDefault="005352A2" w:rsidP="005352A2">
      <w:pPr>
        <w:pStyle w:val="ListParagraph"/>
        <w:numPr>
          <w:ilvl w:val="0"/>
          <w:numId w:val="1"/>
        </w:numPr>
        <w:tabs>
          <w:tab w:val="left" w:pos="1579"/>
          <w:tab w:val="left" w:pos="1581"/>
        </w:tabs>
        <w:spacing w:before="102" w:line="273" w:lineRule="auto"/>
        <w:ind w:left="420" w:right="1189" w:hanging="420"/>
        <w:rPr>
          <w:sz w:val="23"/>
        </w:rPr>
      </w:pPr>
      <w:r>
        <w:rPr>
          <w:color w:val="7E8083"/>
          <w:spacing w:val="-3"/>
          <w:w w:val="110"/>
          <w:sz w:val="23"/>
        </w:rPr>
        <w:t xml:space="preserve">As </w:t>
      </w:r>
      <w:r>
        <w:rPr>
          <w:color w:val="7E8083"/>
          <w:spacing w:val="-4"/>
          <w:w w:val="110"/>
          <w:sz w:val="23"/>
        </w:rPr>
        <w:t xml:space="preserve">the </w:t>
      </w:r>
      <w:r>
        <w:rPr>
          <w:color w:val="7E8083"/>
          <w:spacing w:val="-5"/>
          <w:w w:val="110"/>
          <w:sz w:val="23"/>
        </w:rPr>
        <w:t xml:space="preserve">global economy enters </w:t>
      </w:r>
      <w:r>
        <w:rPr>
          <w:color w:val="7E8083"/>
          <w:spacing w:val="-4"/>
          <w:w w:val="110"/>
          <w:sz w:val="23"/>
        </w:rPr>
        <w:t xml:space="preserve">its tenth year </w:t>
      </w:r>
      <w:r>
        <w:rPr>
          <w:color w:val="7E8083"/>
          <w:spacing w:val="-3"/>
          <w:w w:val="110"/>
          <w:sz w:val="23"/>
        </w:rPr>
        <w:t xml:space="preserve">of </w:t>
      </w:r>
      <w:r>
        <w:rPr>
          <w:color w:val="7E8083"/>
          <w:spacing w:val="-5"/>
          <w:w w:val="110"/>
          <w:sz w:val="23"/>
        </w:rPr>
        <w:t xml:space="preserve">expansion following </w:t>
      </w:r>
      <w:r>
        <w:rPr>
          <w:color w:val="7E8083"/>
          <w:spacing w:val="-4"/>
          <w:w w:val="110"/>
          <w:sz w:val="23"/>
        </w:rPr>
        <w:t xml:space="preserve">the </w:t>
      </w:r>
      <w:r>
        <w:rPr>
          <w:color w:val="7E8083"/>
          <w:spacing w:val="-5"/>
          <w:w w:val="110"/>
          <w:sz w:val="23"/>
        </w:rPr>
        <w:t xml:space="preserve">global </w:t>
      </w:r>
      <w:r>
        <w:rPr>
          <w:color w:val="7E8083"/>
          <w:spacing w:val="-4"/>
          <w:w w:val="110"/>
          <w:sz w:val="23"/>
        </w:rPr>
        <w:t xml:space="preserve">financial </w:t>
      </w:r>
      <w:r>
        <w:rPr>
          <w:color w:val="7E8083"/>
          <w:spacing w:val="-5"/>
          <w:w w:val="110"/>
          <w:sz w:val="23"/>
        </w:rPr>
        <w:t xml:space="preserve">crisis, concerns </w:t>
      </w:r>
      <w:r>
        <w:rPr>
          <w:color w:val="7E8083"/>
          <w:spacing w:val="-4"/>
          <w:w w:val="110"/>
          <w:sz w:val="23"/>
        </w:rPr>
        <w:t xml:space="preserve">are </w:t>
      </w:r>
      <w:r>
        <w:rPr>
          <w:color w:val="7E8083"/>
          <w:spacing w:val="-5"/>
          <w:w w:val="110"/>
          <w:sz w:val="23"/>
        </w:rPr>
        <w:t xml:space="preserve">growing </w:t>
      </w:r>
      <w:r>
        <w:rPr>
          <w:color w:val="7E8083"/>
          <w:spacing w:val="-4"/>
          <w:w w:val="110"/>
          <w:sz w:val="23"/>
        </w:rPr>
        <w:t xml:space="preserve">that </w:t>
      </w:r>
      <w:r>
        <w:rPr>
          <w:color w:val="7E8083"/>
          <w:w w:val="110"/>
          <w:sz w:val="23"/>
        </w:rPr>
        <w:t xml:space="preserve">a </w:t>
      </w:r>
      <w:r>
        <w:rPr>
          <w:color w:val="7E8083"/>
          <w:spacing w:val="-5"/>
          <w:w w:val="110"/>
          <w:sz w:val="23"/>
        </w:rPr>
        <w:t xml:space="preserve">recession </w:t>
      </w:r>
      <w:r>
        <w:rPr>
          <w:color w:val="7E8083"/>
          <w:spacing w:val="-4"/>
          <w:w w:val="110"/>
          <w:sz w:val="23"/>
        </w:rPr>
        <w:t xml:space="preserve">may </w:t>
      </w:r>
      <w:r>
        <w:rPr>
          <w:color w:val="7E8083"/>
          <w:spacing w:val="-3"/>
          <w:w w:val="110"/>
          <w:sz w:val="23"/>
        </w:rPr>
        <w:t xml:space="preserve">be </w:t>
      </w:r>
      <w:r>
        <w:rPr>
          <w:color w:val="7E8083"/>
          <w:spacing w:val="-5"/>
          <w:w w:val="110"/>
          <w:sz w:val="23"/>
        </w:rPr>
        <w:t xml:space="preserve">imminent. Although several factors </w:t>
      </w:r>
      <w:r>
        <w:rPr>
          <w:color w:val="7E8083"/>
          <w:spacing w:val="-4"/>
          <w:w w:val="110"/>
          <w:sz w:val="23"/>
        </w:rPr>
        <w:t xml:space="preserve">will </w:t>
      </w:r>
      <w:r>
        <w:rPr>
          <w:color w:val="7E8083"/>
          <w:spacing w:val="-5"/>
          <w:w w:val="110"/>
          <w:sz w:val="23"/>
        </w:rPr>
        <w:t xml:space="preserve">raise </w:t>
      </w:r>
      <w:r>
        <w:rPr>
          <w:color w:val="7E8083"/>
          <w:spacing w:val="-4"/>
          <w:w w:val="110"/>
          <w:sz w:val="23"/>
        </w:rPr>
        <w:t xml:space="preserve">the risk </w:t>
      </w:r>
      <w:r>
        <w:rPr>
          <w:color w:val="7E8083"/>
          <w:spacing w:val="-3"/>
          <w:w w:val="110"/>
          <w:sz w:val="23"/>
        </w:rPr>
        <w:t xml:space="preserve">of </w:t>
      </w:r>
      <w:r>
        <w:rPr>
          <w:color w:val="7E8083"/>
          <w:spacing w:val="-5"/>
          <w:w w:val="110"/>
          <w:sz w:val="23"/>
        </w:rPr>
        <w:t xml:space="preserve">recession </w:t>
      </w:r>
      <w:r>
        <w:rPr>
          <w:color w:val="7E8083"/>
          <w:spacing w:val="-3"/>
          <w:w w:val="110"/>
          <w:sz w:val="23"/>
        </w:rPr>
        <w:t xml:space="preserve">in </w:t>
      </w:r>
      <w:r>
        <w:rPr>
          <w:color w:val="7E8083"/>
          <w:spacing w:val="-4"/>
          <w:w w:val="110"/>
          <w:sz w:val="23"/>
        </w:rPr>
        <w:t xml:space="preserve">2019, </w:t>
      </w:r>
      <w:r>
        <w:rPr>
          <w:color w:val="7E8083"/>
          <w:w w:val="110"/>
          <w:sz w:val="23"/>
        </w:rPr>
        <w:t xml:space="preserve">a </w:t>
      </w:r>
      <w:r>
        <w:rPr>
          <w:color w:val="7E8083"/>
          <w:spacing w:val="-5"/>
          <w:w w:val="110"/>
          <w:sz w:val="23"/>
        </w:rPr>
        <w:t xml:space="preserve">slowdown </w:t>
      </w:r>
      <w:r>
        <w:rPr>
          <w:color w:val="7E8083"/>
          <w:spacing w:val="-3"/>
          <w:w w:val="110"/>
          <w:sz w:val="23"/>
        </w:rPr>
        <w:t xml:space="preserve">in </w:t>
      </w:r>
      <w:r>
        <w:rPr>
          <w:color w:val="7E8083"/>
          <w:spacing w:val="-5"/>
          <w:w w:val="110"/>
          <w:sz w:val="23"/>
        </w:rPr>
        <w:t xml:space="preserve">growth—led </w:t>
      </w:r>
      <w:r>
        <w:rPr>
          <w:color w:val="7E8083"/>
          <w:spacing w:val="-3"/>
          <w:w w:val="110"/>
          <w:sz w:val="23"/>
        </w:rPr>
        <w:t xml:space="preserve">by </w:t>
      </w:r>
      <w:r>
        <w:rPr>
          <w:color w:val="7E8083"/>
          <w:spacing w:val="-4"/>
          <w:w w:val="110"/>
          <w:sz w:val="23"/>
        </w:rPr>
        <w:t xml:space="preserve">the </w:t>
      </w:r>
      <w:r>
        <w:rPr>
          <w:color w:val="7E8083"/>
          <w:spacing w:val="-5"/>
          <w:w w:val="110"/>
          <w:sz w:val="23"/>
        </w:rPr>
        <w:t xml:space="preserve">United States </w:t>
      </w:r>
      <w:r>
        <w:rPr>
          <w:color w:val="7E8083"/>
          <w:spacing w:val="-4"/>
          <w:w w:val="110"/>
          <w:sz w:val="23"/>
        </w:rPr>
        <w:t xml:space="preserve">and </w:t>
      </w:r>
      <w:r>
        <w:rPr>
          <w:color w:val="7E8083"/>
          <w:spacing w:val="-5"/>
          <w:w w:val="110"/>
          <w:sz w:val="23"/>
        </w:rPr>
        <w:t xml:space="preserve">China— </w:t>
      </w:r>
      <w:r>
        <w:rPr>
          <w:color w:val="7E8083"/>
          <w:spacing w:val="-4"/>
          <w:w w:val="110"/>
          <w:sz w:val="23"/>
        </w:rPr>
        <w:t xml:space="preserve">with </w:t>
      </w:r>
      <w:r>
        <w:rPr>
          <w:color w:val="7E8083"/>
          <w:spacing w:val="-5"/>
          <w:w w:val="110"/>
          <w:sz w:val="23"/>
        </w:rPr>
        <w:t xml:space="preserve">periodic “growth scares” </w:t>
      </w:r>
      <w:r>
        <w:rPr>
          <w:color w:val="7E8083"/>
          <w:spacing w:val="-3"/>
          <w:w w:val="110"/>
          <w:sz w:val="23"/>
        </w:rPr>
        <w:t xml:space="preserve">is </w:t>
      </w:r>
      <w:r>
        <w:rPr>
          <w:color w:val="7E8083"/>
          <w:spacing w:val="-4"/>
          <w:w w:val="110"/>
          <w:sz w:val="23"/>
        </w:rPr>
        <w:t xml:space="preserve">the most </w:t>
      </w:r>
      <w:r>
        <w:rPr>
          <w:color w:val="7E8083"/>
          <w:spacing w:val="-5"/>
          <w:w w:val="110"/>
          <w:sz w:val="23"/>
        </w:rPr>
        <w:t xml:space="preserve">likely outcome. </w:t>
      </w:r>
      <w:r>
        <w:rPr>
          <w:color w:val="7E8083"/>
          <w:spacing w:val="-3"/>
          <w:w w:val="110"/>
          <w:sz w:val="23"/>
        </w:rPr>
        <w:t xml:space="preserve">In </w:t>
      </w:r>
      <w:r>
        <w:rPr>
          <w:color w:val="7E8083"/>
          <w:spacing w:val="-5"/>
          <w:w w:val="110"/>
          <w:sz w:val="23"/>
        </w:rPr>
        <w:t xml:space="preserve">short, economic growth should </w:t>
      </w:r>
      <w:r>
        <w:rPr>
          <w:color w:val="7E8083"/>
          <w:spacing w:val="-4"/>
          <w:w w:val="110"/>
          <w:sz w:val="23"/>
        </w:rPr>
        <w:t>shift down but not</w:t>
      </w:r>
      <w:r>
        <w:rPr>
          <w:color w:val="7E8083"/>
          <w:spacing w:val="29"/>
          <w:w w:val="110"/>
          <w:sz w:val="23"/>
        </w:rPr>
        <w:t xml:space="preserve"> </w:t>
      </w:r>
      <w:r>
        <w:rPr>
          <w:color w:val="7E8083"/>
          <w:spacing w:val="-5"/>
          <w:w w:val="110"/>
          <w:sz w:val="23"/>
        </w:rPr>
        <w:t>out.</w:t>
      </w:r>
    </w:p>
    <w:p w14:paraId="416D4E31" w14:textId="77777777" w:rsidR="005352A2" w:rsidRDefault="005352A2" w:rsidP="005352A2">
      <w:pPr>
        <w:pStyle w:val="ListParagraph"/>
        <w:numPr>
          <w:ilvl w:val="0"/>
          <w:numId w:val="1"/>
        </w:numPr>
        <w:tabs>
          <w:tab w:val="left" w:pos="1579"/>
          <w:tab w:val="left" w:pos="1581"/>
        </w:tabs>
        <w:spacing w:before="199" w:line="273" w:lineRule="auto"/>
        <w:ind w:left="420" w:right="1390" w:hanging="420"/>
        <w:rPr>
          <w:sz w:val="23"/>
        </w:rPr>
      </w:pPr>
      <w:r>
        <w:rPr>
          <w:color w:val="7E8083"/>
          <w:spacing w:val="-3"/>
          <w:w w:val="105"/>
          <w:sz w:val="23"/>
        </w:rPr>
        <w:t xml:space="preserve">Previous Vanguard outlooks anticipated that </w:t>
      </w:r>
      <w:r>
        <w:rPr>
          <w:color w:val="7E8083"/>
          <w:w w:val="105"/>
          <w:sz w:val="23"/>
        </w:rPr>
        <w:t xml:space="preserve">the </w:t>
      </w:r>
      <w:r>
        <w:rPr>
          <w:color w:val="7E8083"/>
          <w:spacing w:val="-3"/>
          <w:w w:val="105"/>
          <w:sz w:val="23"/>
        </w:rPr>
        <w:t xml:space="preserve">secular forces </w:t>
      </w:r>
      <w:r>
        <w:rPr>
          <w:color w:val="7E8083"/>
          <w:w w:val="105"/>
          <w:sz w:val="23"/>
        </w:rPr>
        <w:t xml:space="preserve">of </w:t>
      </w:r>
      <w:r>
        <w:rPr>
          <w:color w:val="7E8083"/>
          <w:spacing w:val="-3"/>
          <w:w w:val="105"/>
          <w:sz w:val="23"/>
        </w:rPr>
        <w:t xml:space="preserve">globalization and technological disruption would make achieving </w:t>
      </w:r>
      <w:r>
        <w:rPr>
          <w:color w:val="7E8083"/>
          <w:w w:val="105"/>
          <w:sz w:val="23"/>
        </w:rPr>
        <w:t xml:space="preserve">2% </w:t>
      </w:r>
      <w:r>
        <w:rPr>
          <w:color w:val="7E8083"/>
          <w:spacing w:val="-3"/>
          <w:w w:val="105"/>
          <w:sz w:val="23"/>
        </w:rPr>
        <w:t xml:space="preserve">inflation </w:t>
      </w:r>
      <w:r>
        <w:rPr>
          <w:color w:val="7E8083"/>
          <w:w w:val="105"/>
          <w:sz w:val="23"/>
        </w:rPr>
        <w:t xml:space="preserve">in the </w:t>
      </w:r>
      <w:r>
        <w:rPr>
          <w:color w:val="7E8083"/>
          <w:spacing w:val="-3"/>
          <w:w w:val="105"/>
          <w:sz w:val="23"/>
        </w:rPr>
        <w:t xml:space="preserve">United States, Europe, Japan, </w:t>
      </w:r>
      <w:r>
        <w:rPr>
          <w:color w:val="7E8083"/>
          <w:w w:val="105"/>
          <w:sz w:val="23"/>
        </w:rPr>
        <w:t xml:space="preserve">and </w:t>
      </w:r>
      <w:r>
        <w:rPr>
          <w:color w:val="7E8083"/>
          <w:spacing w:val="-3"/>
          <w:w w:val="105"/>
          <w:sz w:val="23"/>
        </w:rPr>
        <w:t xml:space="preserve">elsewhere more difficult. </w:t>
      </w:r>
      <w:r>
        <w:rPr>
          <w:color w:val="7E8083"/>
          <w:w w:val="105"/>
          <w:sz w:val="23"/>
        </w:rPr>
        <w:t xml:space="preserve">In </w:t>
      </w:r>
      <w:r>
        <w:rPr>
          <w:color w:val="7E8083"/>
          <w:spacing w:val="-3"/>
          <w:w w:val="105"/>
          <w:sz w:val="23"/>
        </w:rPr>
        <w:t xml:space="preserve">2018, </w:t>
      </w:r>
      <w:r>
        <w:rPr>
          <w:color w:val="7E8083"/>
          <w:w w:val="105"/>
          <w:sz w:val="23"/>
        </w:rPr>
        <w:t xml:space="preserve">we </w:t>
      </w:r>
      <w:proofErr w:type="gramStart"/>
      <w:r>
        <w:rPr>
          <w:color w:val="7E8083"/>
          <w:spacing w:val="-3"/>
          <w:w w:val="105"/>
          <w:sz w:val="23"/>
        </w:rPr>
        <w:t>rightly  anticipated</w:t>
      </w:r>
      <w:proofErr w:type="gramEnd"/>
      <w:r>
        <w:rPr>
          <w:color w:val="7E8083"/>
          <w:spacing w:val="-3"/>
          <w:w w:val="105"/>
          <w:sz w:val="23"/>
        </w:rPr>
        <w:t xml:space="preserve">  </w:t>
      </w:r>
      <w:r>
        <w:rPr>
          <w:color w:val="7E8083"/>
          <w:w w:val="105"/>
          <w:sz w:val="23"/>
        </w:rPr>
        <w:t xml:space="preserve">a </w:t>
      </w:r>
      <w:r>
        <w:rPr>
          <w:color w:val="7E8083"/>
          <w:spacing w:val="-3"/>
          <w:w w:val="105"/>
          <w:sz w:val="23"/>
        </w:rPr>
        <w:t>cyclical</w:t>
      </w:r>
      <w:r>
        <w:rPr>
          <w:color w:val="7E8083"/>
          <w:spacing w:val="48"/>
          <w:w w:val="105"/>
          <w:sz w:val="23"/>
        </w:rPr>
        <w:t xml:space="preserve"> </w:t>
      </w:r>
      <w:r>
        <w:rPr>
          <w:color w:val="7E8083"/>
          <w:spacing w:val="-3"/>
          <w:w w:val="105"/>
          <w:sz w:val="23"/>
        </w:rPr>
        <w:t xml:space="preserve">firming  in core inflation across various economies. </w:t>
      </w:r>
      <w:r>
        <w:rPr>
          <w:color w:val="7E8083"/>
          <w:w w:val="105"/>
          <w:sz w:val="23"/>
        </w:rPr>
        <w:t xml:space="preserve">In </w:t>
      </w:r>
      <w:r>
        <w:rPr>
          <w:color w:val="7E8083"/>
          <w:spacing w:val="-3"/>
          <w:w w:val="105"/>
          <w:sz w:val="23"/>
        </w:rPr>
        <w:t xml:space="preserve">2019, </w:t>
      </w:r>
      <w:r>
        <w:rPr>
          <w:color w:val="7E8083"/>
          <w:w w:val="105"/>
          <w:sz w:val="23"/>
        </w:rPr>
        <w:t xml:space="preserve">we do not see a </w:t>
      </w:r>
      <w:r>
        <w:rPr>
          <w:color w:val="7E8083"/>
          <w:spacing w:val="-3"/>
          <w:w w:val="105"/>
          <w:sz w:val="23"/>
        </w:rPr>
        <w:t xml:space="preserve">material risk </w:t>
      </w:r>
      <w:r>
        <w:rPr>
          <w:color w:val="7E8083"/>
          <w:w w:val="105"/>
          <w:sz w:val="23"/>
        </w:rPr>
        <w:t xml:space="preserve">of </w:t>
      </w:r>
      <w:r>
        <w:rPr>
          <w:color w:val="7E8083"/>
          <w:spacing w:val="-3"/>
          <w:w w:val="105"/>
          <w:sz w:val="23"/>
        </w:rPr>
        <w:t xml:space="preserve">further strong rises </w:t>
      </w:r>
      <w:r>
        <w:rPr>
          <w:color w:val="7E8083"/>
          <w:w w:val="105"/>
          <w:sz w:val="23"/>
        </w:rPr>
        <w:t xml:space="preserve">in </w:t>
      </w:r>
      <w:proofErr w:type="gramStart"/>
      <w:r>
        <w:rPr>
          <w:color w:val="7E8083"/>
          <w:spacing w:val="-3"/>
          <w:w w:val="105"/>
          <w:sz w:val="23"/>
        </w:rPr>
        <w:t>core  inflation</w:t>
      </w:r>
      <w:proofErr w:type="gramEnd"/>
      <w:r>
        <w:rPr>
          <w:color w:val="7E8083"/>
          <w:spacing w:val="-3"/>
          <w:w w:val="105"/>
          <w:sz w:val="23"/>
        </w:rPr>
        <w:t xml:space="preserve">  despite  lower  unemployment  rates  </w:t>
      </w:r>
      <w:r>
        <w:rPr>
          <w:color w:val="7E8083"/>
          <w:w w:val="105"/>
          <w:sz w:val="23"/>
        </w:rPr>
        <w:t xml:space="preserve">and  </w:t>
      </w:r>
      <w:r>
        <w:rPr>
          <w:color w:val="7E8083"/>
          <w:spacing w:val="-3"/>
          <w:w w:val="105"/>
          <w:sz w:val="23"/>
        </w:rPr>
        <w:t xml:space="preserve">higher  wages.  This </w:t>
      </w:r>
      <w:r>
        <w:rPr>
          <w:color w:val="7E8083"/>
          <w:w w:val="105"/>
          <w:sz w:val="23"/>
        </w:rPr>
        <w:t xml:space="preserve">is </w:t>
      </w:r>
      <w:r>
        <w:rPr>
          <w:color w:val="7E8083"/>
          <w:spacing w:val="-3"/>
          <w:w w:val="105"/>
          <w:sz w:val="23"/>
        </w:rPr>
        <w:t xml:space="preserve">because higher wages </w:t>
      </w:r>
      <w:r>
        <w:rPr>
          <w:color w:val="7E8083"/>
          <w:w w:val="105"/>
          <w:sz w:val="23"/>
        </w:rPr>
        <w:t xml:space="preserve">are not </w:t>
      </w:r>
      <w:r>
        <w:rPr>
          <w:color w:val="7E8083"/>
          <w:spacing w:val="-3"/>
          <w:w w:val="105"/>
          <w:sz w:val="23"/>
        </w:rPr>
        <w:t xml:space="preserve">likely </w:t>
      </w:r>
      <w:r>
        <w:rPr>
          <w:color w:val="7E8083"/>
          <w:w w:val="105"/>
          <w:sz w:val="23"/>
        </w:rPr>
        <w:t xml:space="preserve">to </w:t>
      </w:r>
      <w:r>
        <w:rPr>
          <w:color w:val="7E8083"/>
          <w:spacing w:val="-3"/>
          <w:w w:val="105"/>
          <w:sz w:val="23"/>
        </w:rPr>
        <w:t xml:space="preserve">funnel through </w:t>
      </w:r>
      <w:r>
        <w:rPr>
          <w:color w:val="7E8083"/>
          <w:w w:val="105"/>
          <w:sz w:val="23"/>
        </w:rPr>
        <w:t xml:space="preserve">to </w:t>
      </w:r>
      <w:r>
        <w:rPr>
          <w:color w:val="7E8083"/>
          <w:spacing w:val="-3"/>
          <w:w w:val="105"/>
          <w:sz w:val="23"/>
        </w:rPr>
        <w:t>higher consumer prices, as inflation expectations remain</w:t>
      </w:r>
      <w:r>
        <w:rPr>
          <w:color w:val="7E8083"/>
          <w:spacing w:val="40"/>
          <w:w w:val="105"/>
          <w:sz w:val="23"/>
        </w:rPr>
        <w:t xml:space="preserve"> </w:t>
      </w:r>
      <w:r>
        <w:rPr>
          <w:color w:val="7E8083"/>
          <w:spacing w:val="-3"/>
          <w:w w:val="105"/>
          <w:sz w:val="23"/>
        </w:rPr>
        <w:t>well-anchored.</w:t>
      </w:r>
    </w:p>
    <w:p w14:paraId="195D7270" w14:textId="77777777" w:rsidR="005352A2" w:rsidRDefault="005352A2" w:rsidP="005352A2">
      <w:pPr>
        <w:pStyle w:val="ListParagraph"/>
        <w:numPr>
          <w:ilvl w:val="0"/>
          <w:numId w:val="1"/>
        </w:numPr>
        <w:tabs>
          <w:tab w:val="left" w:pos="1579"/>
          <w:tab w:val="left" w:pos="1581"/>
        </w:tabs>
        <w:spacing w:before="200" w:line="273" w:lineRule="auto"/>
        <w:ind w:left="420" w:right="1193" w:hanging="420"/>
        <w:rPr>
          <w:sz w:val="23"/>
        </w:rPr>
      </w:pPr>
      <w:r>
        <w:rPr>
          <w:color w:val="7E8083"/>
          <w:w w:val="105"/>
          <w:sz w:val="23"/>
        </w:rPr>
        <w:t xml:space="preserve">As </w:t>
      </w:r>
      <w:r>
        <w:rPr>
          <w:color w:val="7E8083"/>
          <w:spacing w:val="-3"/>
          <w:w w:val="105"/>
          <w:sz w:val="23"/>
        </w:rPr>
        <w:t xml:space="preserve">inflation moves toward target, financial stability risks rise, </w:t>
      </w:r>
      <w:r>
        <w:rPr>
          <w:color w:val="7E8083"/>
          <w:w w:val="105"/>
          <w:sz w:val="23"/>
        </w:rPr>
        <w:t xml:space="preserve">and </w:t>
      </w:r>
      <w:proofErr w:type="gramStart"/>
      <w:r>
        <w:rPr>
          <w:color w:val="7E8083"/>
          <w:spacing w:val="-3"/>
          <w:w w:val="105"/>
          <w:sz w:val="23"/>
        </w:rPr>
        <w:t>unemployment  rates</w:t>
      </w:r>
      <w:proofErr w:type="gramEnd"/>
      <w:r>
        <w:rPr>
          <w:color w:val="7E8083"/>
          <w:spacing w:val="-3"/>
          <w:w w:val="105"/>
          <w:sz w:val="23"/>
        </w:rPr>
        <w:t xml:space="preserve"> continue </w:t>
      </w:r>
      <w:r>
        <w:rPr>
          <w:color w:val="7E8083"/>
          <w:w w:val="105"/>
          <w:sz w:val="23"/>
        </w:rPr>
        <w:t xml:space="preserve">to </w:t>
      </w:r>
      <w:r>
        <w:rPr>
          <w:color w:val="7E8083"/>
          <w:spacing w:val="-3"/>
          <w:w w:val="105"/>
          <w:sz w:val="23"/>
        </w:rPr>
        <w:t xml:space="preserve">approach </w:t>
      </w:r>
      <w:r>
        <w:rPr>
          <w:color w:val="7E8083"/>
          <w:w w:val="105"/>
          <w:sz w:val="23"/>
        </w:rPr>
        <w:t xml:space="preserve">or </w:t>
      </w:r>
      <w:r>
        <w:rPr>
          <w:color w:val="7E8083"/>
          <w:spacing w:val="-3"/>
          <w:w w:val="105"/>
          <w:sz w:val="23"/>
        </w:rPr>
        <w:t xml:space="preserve">drop below estimates </w:t>
      </w:r>
      <w:r>
        <w:rPr>
          <w:color w:val="7E8083"/>
          <w:w w:val="105"/>
          <w:sz w:val="23"/>
        </w:rPr>
        <w:t xml:space="preserve">of </w:t>
      </w:r>
      <w:r>
        <w:rPr>
          <w:color w:val="7E8083"/>
          <w:spacing w:val="-3"/>
          <w:w w:val="105"/>
          <w:sz w:val="23"/>
        </w:rPr>
        <w:t xml:space="preserve">full employment, global central banks will stay </w:t>
      </w:r>
      <w:r>
        <w:rPr>
          <w:color w:val="7E8083"/>
          <w:w w:val="105"/>
          <w:sz w:val="23"/>
        </w:rPr>
        <w:t xml:space="preserve">on </w:t>
      </w:r>
      <w:r>
        <w:rPr>
          <w:color w:val="7E8083"/>
          <w:spacing w:val="-3"/>
          <w:w w:val="105"/>
          <w:sz w:val="23"/>
        </w:rPr>
        <w:t xml:space="preserve">their gradual normalization paths. </w:t>
      </w:r>
      <w:r>
        <w:rPr>
          <w:color w:val="7E8083"/>
          <w:w w:val="105"/>
          <w:sz w:val="23"/>
        </w:rPr>
        <w:t xml:space="preserve">In the </w:t>
      </w:r>
      <w:r>
        <w:rPr>
          <w:color w:val="7E8083"/>
          <w:spacing w:val="-3"/>
          <w:w w:val="105"/>
          <w:sz w:val="23"/>
        </w:rPr>
        <w:t xml:space="preserve">United States, </w:t>
      </w:r>
      <w:r>
        <w:rPr>
          <w:color w:val="7E8083"/>
          <w:w w:val="105"/>
          <w:sz w:val="23"/>
        </w:rPr>
        <w:t xml:space="preserve">we </w:t>
      </w:r>
      <w:r>
        <w:rPr>
          <w:color w:val="7E8083"/>
          <w:spacing w:val="-3"/>
          <w:w w:val="105"/>
          <w:sz w:val="23"/>
        </w:rPr>
        <w:t xml:space="preserve">still expect </w:t>
      </w:r>
      <w:r>
        <w:rPr>
          <w:color w:val="7E8083"/>
          <w:w w:val="105"/>
          <w:sz w:val="23"/>
        </w:rPr>
        <w:t xml:space="preserve">the </w:t>
      </w:r>
      <w:r>
        <w:rPr>
          <w:color w:val="7E8083"/>
          <w:spacing w:val="-3"/>
          <w:w w:val="105"/>
          <w:sz w:val="23"/>
        </w:rPr>
        <w:t xml:space="preserve">Federal Reserve </w:t>
      </w:r>
      <w:r>
        <w:rPr>
          <w:color w:val="7E8083"/>
          <w:w w:val="105"/>
          <w:sz w:val="23"/>
        </w:rPr>
        <w:t xml:space="preserve">to </w:t>
      </w:r>
      <w:r>
        <w:rPr>
          <w:color w:val="7E8083"/>
          <w:spacing w:val="-3"/>
          <w:w w:val="105"/>
          <w:sz w:val="23"/>
        </w:rPr>
        <w:t xml:space="preserve">reach terminal rate </w:t>
      </w:r>
      <w:r>
        <w:rPr>
          <w:color w:val="7E8083"/>
          <w:w w:val="105"/>
          <w:sz w:val="23"/>
        </w:rPr>
        <w:t xml:space="preserve">for </w:t>
      </w:r>
      <w:r>
        <w:rPr>
          <w:color w:val="7E8083"/>
          <w:spacing w:val="-3"/>
          <w:w w:val="105"/>
          <w:sz w:val="23"/>
        </w:rPr>
        <w:t xml:space="preserve">this </w:t>
      </w:r>
      <w:proofErr w:type="gramStart"/>
      <w:r>
        <w:rPr>
          <w:color w:val="7E8083"/>
          <w:spacing w:val="-3"/>
          <w:w w:val="105"/>
          <w:sz w:val="23"/>
        </w:rPr>
        <w:t xml:space="preserve">cycle  </w:t>
      </w:r>
      <w:r>
        <w:rPr>
          <w:color w:val="7E8083"/>
          <w:w w:val="105"/>
          <w:sz w:val="23"/>
        </w:rPr>
        <w:t>in</w:t>
      </w:r>
      <w:proofErr w:type="gramEnd"/>
      <w:r>
        <w:rPr>
          <w:color w:val="7E8083"/>
          <w:w w:val="105"/>
          <w:sz w:val="23"/>
        </w:rPr>
        <w:t xml:space="preserve">  the  </w:t>
      </w:r>
      <w:r>
        <w:rPr>
          <w:color w:val="7E8083"/>
          <w:spacing w:val="-3"/>
          <w:w w:val="105"/>
          <w:sz w:val="23"/>
        </w:rPr>
        <w:t xml:space="preserve">summer  </w:t>
      </w:r>
      <w:r>
        <w:rPr>
          <w:color w:val="7E8083"/>
          <w:w w:val="105"/>
          <w:sz w:val="23"/>
        </w:rPr>
        <w:t xml:space="preserve">of  </w:t>
      </w:r>
      <w:r>
        <w:rPr>
          <w:color w:val="7E8083"/>
          <w:spacing w:val="-3"/>
          <w:w w:val="105"/>
          <w:sz w:val="23"/>
        </w:rPr>
        <w:t xml:space="preserve">2019,  bringing  </w:t>
      </w:r>
      <w:r>
        <w:rPr>
          <w:color w:val="7E8083"/>
          <w:w w:val="105"/>
          <w:sz w:val="23"/>
        </w:rPr>
        <w:t xml:space="preserve">the  </w:t>
      </w:r>
      <w:r>
        <w:rPr>
          <w:color w:val="7E8083"/>
          <w:spacing w:val="-3"/>
          <w:w w:val="105"/>
          <w:sz w:val="23"/>
        </w:rPr>
        <w:t xml:space="preserve">policy rate range </w:t>
      </w:r>
      <w:r>
        <w:rPr>
          <w:color w:val="7E8083"/>
          <w:w w:val="105"/>
          <w:sz w:val="23"/>
        </w:rPr>
        <w:t xml:space="preserve">to </w:t>
      </w:r>
      <w:r>
        <w:rPr>
          <w:color w:val="7E8083"/>
          <w:spacing w:val="-3"/>
          <w:w w:val="105"/>
          <w:sz w:val="23"/>
        </w:rPr>
        <w:t xml:space="preserve">2.75%–3% before halting further increases </w:t>
      </w:r>
      <w:r>
        <w:rPr>
          <w:color w:val="7E8083"/>
          <w:w w:val="105"/>
          <w:sz w:val="23"/>
        </w:rPr>
        <w:t xml:space="preserve">in the </w:t>
      </w:r>
      <w:r>
        <w:rPr>
          <w:color w:val="7E8083"/>
          <w:spacing w:val="-3"/>
          <w:w w:val="105"/>
          <w:sz w:val="23"/>
        </w:rPr>
        <w:t xml:space="preserve">face </w:t>
      </w:r>
      <w:r>
        <w:rPr>
          <w:color w:val="7E8083"/>
          <w:w w:val="105"/>
          <w:sz w:val="23"/>
        </w:rPr>
        <w:t xml:space="preserve">of  </w:t>
      </w:r>
      <w:r>
        <w:rPr>
          <w:color w:val="7E8083"/>
          <w:spacing w:val="-3"/>
          <w:w w:val="105"/>
          <w:sz w:val="23"/>
        </w:rPr>
        <w:t xml:space="preserve">nonaccelerating inflation </w:t>
      </w:r>
      <w:r>
        <w:rPr>
          <w:color w:val="7E8083"/>
          <w:w w:val="105"/>
          <w:sz w:val="23"/>
        </w:rPr>
        <w:t xml:space="preserve">and </w:t>
      </w:r>
      <w:r>
        <w:rPr>
          <w:color w:val="7E8083"/>
          <w:spacing w:val="-3"/>
          <w:w w:val="105"/>
          <w:sz w:val="23"/>
        </w:rPr>
        <w:t>decelerating top-line growth. Other developed-</w:t>
      </w:r>
      <w:proofErr w:type="gramStart"/>
      <w:r>
        <w:rPr>
          <w:color w:val="7E8083"/>
          <w:spacing w:val="-3"/>
          <w:w w:val="105"/>
          <w:sz w:val="23"/>
        </w:rPr>
        <w:t>market  central</w:t>
      </w:r>
      <w:proofErr w:type="gramEnd"/>
      <w:r>
        <w:rPr>
          <w:color w:val="7E8083"/>
          <w:spacing w:val="-3"/>
          <w:w w:val="105"/>
          <w:sz w:val="23"/>
        </w:rPr>
        <w:t xml:space="preserve">  banks,  though, will</w:t>
      </w:r>
      <w:r>
        <w:rPr>
          <w:color w:val="7E8083"/>
          <w:spacing w:val="13"/>
          <w:w w:val="105"/>
          <w:sz w:val="23"/>
        </w:rPr>
        <w:t xml:space="preserve"> </w:t>
      </w:r>
      <w:r>
        <w:rPr>
          <w:color w:val="7E8083"/>
          <w:spacing w:val="-3"/>
          <w:w w:val="105"/>
          <w:sz w:val="23"/>
        </w:rPr>
        <w:t>only</w:t>
      </w:r>
      <w:r>
        <w:rPr>
          <w:color w:val="7E8083"/>
          <w:spacing w:val="13"/>
          <w:w w:val="105"/>
          <w:sz w:val="23"/>
        </w:rPr>
        <w:t xml:space="preserve"> </w:t>
      </w:r>
      <w:r>
        <w:rPr>
          <w:color w:val="7E8083"/>
          <w:spacing w:val="-3"/>
          <w:w w:val="105"/>
          <w:sz w:val="23"/>
        </w:rPr>
        <w:t>begin</w:t>
      </w:r>
      <w:r>
        <w:rPr>
          <w:color w:val="7E8083"/>
          <w:spacing w:val="13"/>
          <w:w w:val="105"/>
          <w:sz w:val="23"/>
        </w:rPr>
        <w:t xml:space="preserve"> </w:t>
      </w:r>
      <w:r>
        <w:rPr>
          <w:color w:val="7E8083"/>
          <w:w w:val="105"/>
          <w:sz w:val="23"/>
        </w:rPr>
        <w:t>to</w:t>
      </w:r>
      <w:r>
        <w:rPr>
          <w:color w:val="7E8083"/>
          <w:spacing w:val="13"/>
          <w:w w:val="105"/>
          <w:sz w:val="23"/>
        </w:rPr>
        <w:t xml:space="preserve"> </w:t>
      </w:r>
      <w:r>
        <w:rPr>
          <w:color w:val="7E8083"/>
          <w:spacing w:val="-3"/>
          <w:w w:val="105"/>
          <w:sz w:val="23"/>
        </w:rPr>
        <w:t>lift</w:t>
      </w:r>
      <w:r>
        <w:rPr>
          <w:color w:val="7E8083"/>
          <w:spacing w:val="13"/>
          <w:w w:val="105"/>
          <w:sz w:val="23"/>
        </w:rPr>
        <w:t xml:space="preserve"> </w:t>
      </w:r>
      <w:r>
        <w:rPr>
          <w:color w:val="7E8083"/>
          <w:spacing w:val="-3"/>
          <w:w w:val="105"/>
          <w:sz w:val="23"/>
        </w:rPr>
        <w:t>interest</w:t>
      </w:r>
      <w:r>
        <w:rPr>
          <w:color w:val="7E8083"/>
          <w:spacing w:val="13"/>
          <w:w w:val="105"/>
          <w:sz w:val="23"/>
        </w:rPr>
        <w:t xml:space="preserve"> </w:t>
      </w:r>
      <w:r>
        <w:rPr>
          <w:color w:val="7E8083"/>
          <w:spacing w:val="-3"/>
          <w:w w:val="105"/>
          <w:sz w:val="23"/>
        </w:rPr>
        <w:t>rates</w:t>
      </w:r>
      <w:r>
        <w:rPr>
          <w:color w:val="7E8083"/>
          <w:spacing w:val="13"/>
          <w:w w:val="105"/>
          <w:sz w:val="23"/>
        </w:rPr>
        <w:t xml:space="preserve"> </w:t>
      </w:r>
      <w:r>
        <w:rPr>
          <w:color w:val="7E8083"/>
          <w:spacing w:val="-3"/>
          <w:w w:val="105"/>
          <w:sz w:val="23"/>
        </w:rPr>
        <w:t>from</w:t>
      </w:r>
      <w:r>
        <w:rPr>
          <w:color w:val="7E8083"/>
          <w:spacing w:val="13"/>
          <w:w w:val="105"/>
          <w:sz w:val="23"/>
        </w:rPr>
        <w:t xml:space="preserve"> </w:t>
      </w:r>
      <w:proofErr w:type="spellStart"/>
      <w:r>
        <w:rPr>
          <w:color w:val="7E8083"/>
          <w:spacing w:val="-3"/>
          <w:w w:val="105"/>
          <w:sz w:val="23"/>
        </w:rPr>
        <w:t>postcrisis</w:t>
      </w:r>
      <w:proofErr w:type="spellEnd"/>
      <w:r>
        <w:rPr>
          <w:color w:val="7E8083"/>
          <w:spacing w:val="13"/>
          <w:w w:val="105"/>
          <w:sz w:val="23"/>
        </w:rPr>
        <w:t xml:space="preserve"> </w:t>
      </w:r>
      <w:r>
        <w:rPr>
          <w:color w:val="7E8083"/>
          <w:spacing w:val="-3"/>
          <w:w w:val="105"/>
          <w:sz w:val="23"/>
        </w:rPr>
        <w:t>lows.</w:t>
      </w:r>
    </w:p>
    <w:p w14:paraId="30FBF4DA" w14:textId="77777777" w:rsidR="005352A2" w:rsidRDefault="005352A2" w:rsidP="005352A2">
      <w:pPr>
        <w:pStyle w:val="ListParagraph"/>
        <w:numPr>
          <w:ilvl w:val="0"/>
          <w:numId w:val="1"/>
        </w:numPr>
        <w:tabs>
          <w:tab w:val="left" w:pos="1579"/>
          <w:tab w:val="left" w:pos="1581"/>
        </w:tabs>
        <w:spacing w:before="199" w:line="273" w:lineRule="auto"/>
        <w:ind w:left="420" w:right="1688" w:hanging="420"/>
        <w:rPr>
          <w:sz w:val="23"/>
        </w:rPr>
      </w:pPr>
      <w:r>
        <w:rPr>
          <w:color w:val="7E8083"/>
          <w:spacing w:val="-4"/>
          <w:w w:val="105"/>
          <w:sz w:val="23"/>
        </w:rPr>
        <w:t xml:space="preserve">With </w:t>
      </w:r>
      <w:r>
        <w:rPr>
          <w:color w:val="7E8083"/>
          <w:spacing w:val="-5"/>
          <w:w w:val="105"/>
          <w:sz w:val="23"/>
        </w:rPr>
        <w:t xml:space="preserve">slowing growth, disparate </w:t>
      </w:r>
      <w:r>
        <w:rPr>
          <w:color w:val="7E8083"/>
          <w:spacing w:val="-4"/>
          <w:w w:val="105"/>
          <w:sz w:val="23"/>
        </w:rPr>
        <w:t xml:space="preserve">rates </w:t>
      </w:r>
      <w:r>
        <w:rPr>
          <w:color w:val="7E8083"/>
          <w:spacing w:val="-3"/>
          <w:w w:val="105"/>
          <w:sz w:val="23"/>
        </w:rPr>
        <w:t xml:space="preserve">of </w:t>
      </w:r>
      <w:r>
        <w:rPr>
          <w:color w:val="7E8083"/>
          <w:spacing w:val="-5"/>
          <w:w w:val="105"/>
          <w:sz w:val="23"/>
        </w:rPr>
        <w:t xml:space="preserve">inflation, </w:t>
      </w:r>
      <w:r>
        <w:rPr>
          <w:color w:val="7E8083"/>
          <w:spacing w:val="-4"/>
          <w:w w:val="105"/>
          <w:sz w:val="23"/>
        </w:rPr>
        <w:t xml:space="preserve">and </w:t>
      </w:r>
      <w:r>
        <w:rPr>
          <w:color w:val="7E8083"/>
          <w:spacing w:val="-5"/>
          <w:w w:val="105"/>
          <w:sz w:val="23"/>
        </w:rPr>
        <w:t xml:space="preserve">continued policy normalization, volatility </w:t>
      </w:r>
      <w:r>
        <w:rPr>
          <w:color w:val="7E8083"/>
          <w:spacing w:val="-3"/>
          <w:w w:val="105"/>
          <w:sz w:val="23"/>
        </w:rPr>
        <w:t xml:space="preserve">in </w:t>
      </w:r>
      <w:r>
        <w:rPr>
          <w:color w:val="7E8083"/>
          <w:spacing w:val="-4"/>
          <w:w w:val="105"/>
          <w:sz w:val="23"/>
        </w:rPr>
        <w:t xml:space="preserve">financial </w:t>
      </w:r>
      <w:r>
        <w:rPr>
          <w:color w:val="7E8083"/>
          <w:spacing w:val="-5"/>
          <w:w w:val="105"/>
          <w:sz w:val="23"/>
        </w:rPr>
        <w:t xml:space="preserve">markets </w:t>
      </w:r>
      <w:r>
        <w:rPr>
          <w:color w:val="7E8083"/>
          <w:spacing w:val="-3"/>
          <w:w w:val="105"/>
          <w:sz w:val="23"/>
        </w:rPr>
        <w:t xml:space="preserve">is </w:t>
      </w:r>
      <w:r>
        <w:rPr>
          <w:color w:val="7E8083"/>
          <w:w w:val="105"/>
          <w:sz w:val="23"/>
        </w:rPr>
        <w:t xml:space="preserve">likely to accelerate. Long term, our ten-year outlook </w:t>
      </w:r>
      <w:r>
        <w:rPr>
          <w:color w:val="7E8083"/>
          <w:spacing w:val="-2"/>
          <w:w w:val="105"/>
          <w:sz w:val="23"/>
        </w:rPr>
        <w:t xml:space="preserve">for </w:t>
      </w:r>
      <w:r>
        <w:rPr>
          <w:color w:val="7E8083"/>
          <w:w w:val="105"/>
          <w:sz w:val="23"/>
        </w:rPr>
        <w:t xml:space="preserve">investment returns remains guarded, given the backdrop of high valuations </w:t>
      </w:r>
      <w:r>
        <w:rPr>
          <w:color w:val="7E8083"/>
          <w:spacing w:val="-2"/>
          <w:w w:val="105"/>
          <w:sz w:val="23"/>
        </w:rPr>
        <w:t xml:space="preserve">and </w:t>
      </w:r>
      <w:r>
        <w:rPr>
          <w:color w:val="7E8083"/>
          <w:w w:val="105"/>
          <w:sz w:val="23"/>
        </w:rPr>
        <w:t>depressed risk-free rates across major</w:t>
      </w:r>
      <w:r>
        <w:rPr>
          <w:color w:val="7E8083"/>
          <w:spacing w:val="20"/>
          <w:w w:val="105"/>
          <w:sz w:val="23"/>
        </w:rPr>
        <w:t xml:space="preserve"> </w:t>
      </w:r>
      <w:r>
        <w:rPr>
          <w:color w:val="7E8083"/>
          <w:w w:val="105"/>
          <w:sz w:val="23"/>
        </w:rPr>
        <w:t>markets.</w:t>
      </w:r>
    </w:p>
    <w:p w14:paraId="6711EEA2" w14:textId="5A5F0515" w:rsidR="00D367CC" w:rsidRDefault="00D367CC" w:rsidP="005352A2"/>
    <w:p w14:paraId="0A52ED3E" w14:textId="1A730E49" w:rsidR="005352A2" w:rsidRDefault="005352A2" w:rsidP="005352A2">
      <w:r>
        <w:t>Global Outlook Summary</w:t>
      </w:r>
    </w:p>
    <w:p w14:paraId="1F5EDE04" w14:textId="77777777" w:rsidR="005352A2" w:rsidRDefault="005352A2" w:rsidP="005352A2">
      <w:pPr>
        <w:spacing w:before="93"/>
        <w:ind w:left="2"/>
        <w:rPr>
          <w:rFonts w:ascii="Arial"/>
          <w:i/>
          <w:sz w:val="17"/>
        </w:rPr>
      </w:pPr>
      <w:r>
        <w:rPr>
          <w:color w:val="00A0AF"/>
          <w:w w:val="120"/>
          <w:sz w:val="17"/>
        </w:rPr>
        <w:t xml:space="preserve">Global economy: </w:t>
      </w:r>
      <w:r>
        <w:rPr>
          <w:rFonts w:ascii="Arial"/>
          <w:i/>
          <w:color w:val="00A0AF"/>
          <w:w w:val="120"/>
          <w:sz w:val="17"/>
        </w:rPr>
        <w:t>Down but not out</w:t>
      </w:r>
    </w:p>
    <w:p w14:paraId="35A3E6A7" w14:textId="08403584" w:rsidR="005352A2" w:rsidRDefault="005352A2" w:rsidP="005352A2">
      <w:pPr>
        <w:pStyle w:val="BodyText"/>
        <w:spacing w:before="63" w:line="261" w:lineRule="auto"/>
        <w:ind w:left="2" w:right="44"/>
      </w:pPr>
      <w:r>
        <w:rPr>
          <w:color w:val="231F20"/>
          <w:w w:val="110"/>
        </w:rPr>
        <w:t>As the global economic expansion enters its tenth year, concerns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are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growing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that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a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recession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may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be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imminent. Although several factors will raise the risk of recession in 2019, a slowdown in growth—led by the United States and China—is the most likely outcome.</w:t>
      </w:r>
      <w:r>
        <w:rPr>
          <w:color w:val="231F20"/>
          <w:spacing w:val="33"/>
          <w:w w:val="110"/>
        </w:rPr>
        <w:t xml:space="preserve"> </w:t>
      </w:r>
      <w:r>
        <w:rPr>
          <w:color w:val="231F20"/>
          <w:w w:val="110"/>
        </w:rPr>
        <w:t>In</w:t>
      </w:r>
      <w:r>
        <w:t xml:space="preserve"> </w:t>
      </w:r>
      <w:r>
        <w:rPr>
          <w:color w:val="231F20"/>
          <w:w w:val="105"/>
        </w:rPr>
        <w:t>short, economic growth should shift down but not out.</w:t>
      </w:r>
    </w:p>
    <w:p w14:paraId="6BD4582D" w14:textId="77777777" w:rsidR="005352A2" w:rsidRDefault="005352A2" w:rsidP="005352A2">
      <w:pPr>
        <w:pStyle w:val="BodyText"/>
        <w:spacing w:before="4"/>
        <w:rPr>
          <w:sz w:val="21"/>
        </w:rPr>
      </w:pPr>
    </w:p>
    <w:p w14:paraId="3DF997B7" w14:textId="5059898C" w:rsidR="005352A2" w:rsidRDefault="005352A2" w:rsidP="005352A2">
      <w:pPr>
        <w:pStyle w:val="BodyText"/>
        <w:spacing w:line="261" w:lineRule="auto"/>
        <w:ind w:left="2"/>
      </w:pPr>
      <w:r>
        <w:rPr>
          <w:color w:val="231F20"/>
          <w:w w:val="110"/>
        </w:rPr>
        <w:t xml:space="preserve">We expect the global economy to continue to grow, </w:t>
      </w:r>
      <w:r>
        <w:rPr>
          <w:color w:val="231F20"/>
          <w:spacing w:val="-4"/>
          <w:w w:val="110"/>
        </w:rPr>
        <w:t xml:space="preserve">albeit </w:t>
      </w:r>
      <w:r>
        <w:rPr>
          <w:color w:val="231F20"/>
          <w:w w:val="110"/>
        </w:rPr>
        <w:t xml:space="preserve">at a </w:t>
      </w:r>
      <w:r>
        <w:rPr>
          <w:color w:val="231F20"/>
          <w:spacing w:val="-4"/>
          <w:w w:val="110"/>
        </w:rPr>
        <w:t xml:space="preserve">slightly slower pace, </w:t>
      </w:r>
      <w:r>
        <w:rPr>
          <w:color w:val="231F20"/>
          <w:spacing w:val="-3"/>
          <w:w w:val="110"/>
        </w:rPr>
        <w:t xml:space="preserve">over the next two </w:t>
      </w:r>
      <w:r>
        <w:rPr>
          <w:color w:val="231F20"/>
          <w:spacing w:val="-4"/>
          <w:w w:val="110"/>
        </w:rPr>
        <w:t xml:space="preserve">years, </w:t>
      </w:r>
      <w:r>
        <w:rPr>
          <w:color w:val="231F20"/>
          <w:w w:val="110"/>
        </w:rPr>
        <w:t>leading at times to so-called growth scares. In</w:t>
      </w:r>
      <w:r>
        <w:rPr>
          <w:color w:val="231F20"/>
          <w:spacing w:val="4"/>
          <w:w w:val="110"/>
        </w:rPr>
        <w:t xml:space="preserve"> </w:t>
      </w:r>
      <w:r>
        <w:rPr>
          <w:color w:val="231F20"/>
          <w:w w:val="110"/>
        </w:rPr>
        <w:t>2019,</w:t>
      </w:r>
      <w:r>
        <w:t xml:space="preserve"> </w:t>
      </w:r>
      <w:r>
        <w:rPr>
          <w:color w:val="231F20"/>
          <w:w w:val="110"/>
        </w:rPr>
        <w:t>U.S.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economic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growth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should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drop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back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toward</w:t>
      </w:r>
      <w:r>
        <w:rPr>
          <w:color w:val="231F20"/>
          <w:spacing w:val="-9"/>
          <w:w w:val="110"/>
        </w:rPr>
        <w:t xml:space="preserve"> </w:t>
      </w:r>
      <w:r>
        <w:rPr>
          <w:color w:val="231F20"/>
          <w:w w:val="110"/>
        </w:rPr>
        <w:t>a</w:t>
      </w:r>
      <w:r>
        <w:rPr>
          <w:color w:val="231F20"/>
          <w:spacing w:val="-10"/>
          <w:w w:val="110"/>
        </w:rPr>
        <w:t xml:space="preserve"> </w:t>
      </w:r>
      <w:r>
        <w:rPr>
          <w:color w:val="231F20"/>
          <w:w w:val="110"/>
        </w:rPr>
        <w:t>more sustainable 2% as the benefits of expansionary fiscal and monetary policy abate. Europe and Japan are</w:t>
      </w:r>
      <w:r>
        <w:rPr>
          <w:color w:val="231F20"/>
          <w:spacing w:val="-22"/>
          <w:w w:val="110"/>
        </w:rPr>
        <w:t xml:space="preserve"> </w:t>
      </w:r>
      <w:r>
        <w:rPr>
          <w:color w:val="231F20"/>
          <w:w w:val="110"/>
        </w:rPr>
        <w:t>at</w:t>
      </w:r>
      <w:r>
        <w:t xml:space="preserve"> </w:t>
      </w:r>
      <w:r>
        <w:rPr>
          <w:color w:val="231F20"/>
          <w:w w:val="110"/>
        </w:rPr>
        <w:t xml:space="preserve">an </w:t>
      </w:r>
      <w:r>
        <w:rPr>
          <w:color w:val="231F20"/>
          <w:spacing w:val="-4"/>
          <w:w w:val="110"/>
        </w:rPr>
        <w:t xml:space="preserve">earlier stage </w:t>
      </w:r>
      <w:r>
        <w:rPr>
          <w:color w:val="231F20"/>
          <w:w w:val="110"/>
        </w:rPr>
        <w:t xml:space="preserve">of </w:t>
      </w:r>
      <w:r>
        <w:rPr>
          <w:color w:val="231F20"/>
          <w:spacing w:val="-3"/>
          <w:w w:val="110"/>
        </w:rPr>
        <w:t xml:space="preserve">the </w:t>
      </w:r>
      <w:r>
        <w:rPr>
          <w:color w:val="231F20"/>
          <w:spacing w:val="-4"/>
          <w:w w:val="110"/>
        </w:rPr>
        <w:t xml:space="preserve">business cycle, though </w:t>
      </w:r>
      <w:r>
        <w:rPr>
          <w:color w:val="231F20"/>
          <w:w w:val="110"/>
        </w:rPr>
        <w:t xml:space="preserve">we </w:t>
      </w:r>
      <w:r>
        <w:rPr>
          <w:color w:val="231F20"/>
          <w:spacing w:val="-4"/>
          <w:w w:val="110"/>
        </w:rPr>
        <w:t xml:space="preserve">expect </w:t>
      </w:r>
      <w:r>
        <w:rPr>
          <w:color w:val="231F20"/>
          <w:w w:val="110"/>
        </w:rPr>
        <w:t>growth there to remain modest.</w:t>
      </w:r>
    </w:p>
    <w:p w14:paraId="2B3E2105" w14:textId="77777777" w:rsidR="005352A2" w:rsidRDefault="005352A2" w:rsidP="005352A2">
      <w:pPr>
        <w:pStyle w:val="BodyText"/>
        <w:spacing w:before="9"/>
        <w:rPr>
          <w:sz w:val="19"/>
        </w:rPr>
      </w:pPr>
    </w:p>
    <w:p w14:paraId="098598FB" w14:textId="710737B5" w:rsidR="005352A2" w:rsidRDefault="005352A2" w:rsidP="005352A2">
      <w:pPr>
        <w:pStyle w:val="BodyText"/>
        <w:spacing w:line="261" w:lineRule="auto"/>
        <w:ind w:left="2" w:right="198"/>
      </w:pPr>
      <w:r>
        <w:rPr>
          <w:color w:val="231F20"/>
          <w:w w:val="105"/>
        </w:rPr>
        <w:t xml:space="preserve">In </w:t>
      </w:r>
      <w:r>
        <w:rPr>
          <w:color w:val="231F20"/>
          <w:spacing w:val="-4"/>
          <w:w w:val="105"/>
        </w:rPr>
        <w:t xml:space="preserve">emerging markets, </w:t>
      </w:r>
      <w:proofErr w:type="gramStart"/>
      <w:r>
        <w:rPr>
          <w:color w:val="231F20"/>
          <w:spacing w:val="-4"/>
          <w:w w:val="105"/>
        </w:rPr>
        <w:t>China’s  growth</w:t>
      </w:r>
      <w:proofErr w:type="gramEnd"/>
      <w:r>
        <w:rPr>
          <w:color w:val="231F20"/>
          <w:spacing w:val="-4"/>
          <w:w w:val="105"/>
        </w:rPr>
        <w:t xml:space="preserve">  </w:t>
      </w:r>
      <w:r>
        <w:rPr>
          <w:color w:val="231F20"/>
          <w:spacing w:val="-3"/>
          <w:w w:val="105"/>
        </w:rPr>
        <w:t xml:space="preserve">will  </w:t>
      </w:r>
      <w:r>
        <w:rPr>
          <w:color w:val="231F20"/>
          <w:spacing w:val="-4"/>
          <w:w w:val="105"/>
        </w:rPr>
        <w:t xml:space="preserve">remain  near </w:t>
      </w:r>
      <w:r>
        <w:rPr>
          <w:color w:val="231F20"/>
          <w:w w:val="105"/>
        </w:rPr>
        <w:t>6%, with increasing policy stimulus applied to help maintain that trajectory. Unresolved U.S.-China trade tensions remain one of the largest risk factors to our view, in addition t</w:t>
      </w:r>
      <w:r>
        <w:rPr>
          <w:color w:val="231F20"/>
          <w:w w:val="105"/>
        </w:rPr>
        <w:t xml:space="preserve">o </w:t>
      </w:r>
      <w:r>
        <w:rPr>
          <w:color w:val="231F20"/>
          <w:w w:val="105"/>
        </w:rPr>
        <w:lastRenderedPageBreak/>
        <w:t>stronger-than-expected tightening by the Federal Reserve should the U.S. unemployment rate approach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3%.</w:t>
      </w:r>
    </w:p>
    <w:p w14:paraId="654A98B1" w14:textId="77777777" w:rsidR="005352A2" w:rsidRDefault="005352A2" w:rsidP="005352A2">
      <w:pPr>
        <w:pStyle w:val="BodyText"/>
        <w:spacing w:before="8"/>
        <w:rPr>
          <w:sz w:val="20"/>
        </w:rPr>
      </w:pPr>
    </w:p>
    <w:p w14:paraId="79D0B163" w14:textId="77777777" w:rsidR="005352A2" w:rsidRDefault="005352A2" w:rsidP="005352A2">
      <w:pPr>
        <w:spacing w:before="1"/>
        <w:rPr>
          <w:rFonts w:ascii="Arial"/>
          <w:i/>
          <w:sz w:val="17"/>
        </w:rPr>
      </w:pPr>
      <w:r>
        <w:rPr>
          <w:color w:val="00A0AF"/>
          <w:w w:val="115"/>
          <w:sz w:val="17"/>
        </w:rPr>
        <w:t xml:space="preserve">Global inflation: </w:t>
      </w:r>
      <w:r>
        <w:rPr>
          <w:rFonts w:ascii="Arial"/>
          <w:i/>
          <w:color w:val="00A0AF"/>
          <w:w w:val="115"/>
          <w:sz w:val="17"/>
        </w:rPr>
        <w:t>Unlikely to shoot past 2%</w:t>
      </w:r>
    </w:p>
    <w:p w14:paraId="5632232B" w14:textId="3CF1072D" w:rsidR="005352A2" w:rsidRDefault="005352A2" w:rsidP="005352A2">
      <w:pPr>
        <w:pStyle w:val="BodyText"/>
        <w:spacing w:before="63" w:line="261" w:lineRule="auto"/>
        <w:ind w:right="44"/>
      </w:pPr>
      <w:r>
        <w:rPr>
          <w:color w:val="231F20"/>
          <w:w w:val="105"/>
        </w:rPr>
        <w:t xml:space="preserve">Previous Vanguard outlooks anticipated that the secular forces of globalization and technological disruption would make achieving 2% inflation in the United States, Europe, Japan, and elsewhere more difficult. In 2018, we rightly anticipated a cyclical firming in core inflation across various economies. In 2019, we do </w:t>
      </w:r>
      <w:proofErr w:type="gramStart"/>
      <w:r>
        <w:rPr>
          <w:color w:val="231F20"/>
          <w:w w:val="105"/>
        </w:rPr>
        <w:t>not  see</w:t>
      </w:r>
      <w:proofErr w:type="gramEnd"/>
      <w:r>
        <w:rPr>
          <w:color w:val="231F20"/>
          <w:w w:val="105"/>
        </w:rPr>
        <w:t xml:space="preserve">  a  material risk of further strong rises in core inflation despite lower unemployment rates and higher wages, as inflation expectations remain</w:t>
      </w:r>
      <w:r>
        <w:rPr>
          <w:color w:val="231F20"/>
          <w:spacing w:val="21"/>
          <w:w w:val="105"/>
        </w:rPr>
        <w:t xml:space="preserve"> </w:t>
      </w:r>
      <w:r>
        <w:rPr>
          <w:color w:val="231F20"/>
          <w:w w:val="105"/>
        </w:rPr>
        <w:t>well-anchored.</w:t>
      </w:r>
    </w:p>
    <w:p w14:paraId="5C7BFA5E" w14:textId="60B41502" w:rsidR="005352A2" w:rsidRDefault="005352A2" w:rsidP="005352A2">
      <w:pPr>
        <w:pStyle w:val="BodyText"/>
        <w:spacing w:before="112" w:line="261" w:lineRule="auto"/>
        <w:ind w:right="1321"/>
      </w:pPr>
      <w:r>
        <w:rPr>
          <w:color w:val="231F20"/>
          <w:w w:val="105"/>
        </w:rPr>
        <w:t xml:space="preserve">In the U.S., we expect core inflation to remain near or below 2% throughout 2019; an escalation in </w:t>
      </w:r>
      <w:r>
        <w:rPr>
          <w:color w:val="231F20"/>
          <w:spacing w:val="-4"/>
          <w:w w:val="105"/>
        </w:rPr>
        <w:t>tariffs</w:t>
      </w:r>
      <w:r>
        <w:rPr>
          <w:color w:val="231F20"/>
          <w:spacing w:val="-4"/>
          <w:w w:val="105"/>
        </w:rPr>
        <w:t xml:space="preserve"> </w:t>
      </w:r>
      <w:r>
        <w:rPr>
          <w:color w:val="231F20"/>
          <w:spacing w:val="-4"/>
          <w:w w:val="105"/>
        </w:rPr>
        <w:t xml:space="preserve">would </w:t>
      </w:r>
      <w:r>
        <w:rPr>
          <w:color w:val="231F20"/>
          <w:spacing w:val="-3"/>
          <w:w w:val="105"/>
        </w:rPr>
        <w:t xml:space="preserve">only </w:t>
      </w:r>
      <w:r>
        <w:rPr>
          <w:color w:val="231F20"/>
          <w:spacing w:val="-4"/>
          <w:w w:val="105"/>
        </w:rPr>
        <w:t xml:space="preserve">temporarily affect </w:t>
      </w:r>
      <w:r>
        <w:rPr>
          <w:color w:val="231F20"/>
          <w:spacing w:val="-3"/>
          <w:w w:val="105"/>
        </w:rPr>
        <w:t xml:space="preserve">U.S. core </w:t>
      </w:r>
      <w:r>
        <w:rPr>
          <w:color w:val="231F20"/>
          <w:w w:val="105"/>
        </w:rPr>
        <w:t xml:space="preserve">inflation. In Europe and Japan, price </w:t>
      </w:r>
      <w:r>
        <w:rPr>
          <w:color w:val="231F20"/>
          <w:spacing w:val="-4"/>
          <w:w w:val="105"/>
        </w:rPr>
        <w:t xml:space="preserve">pressures </w:t>
      </w:r>
      <w:r>
        <w:rPr>
          <w:color w:val="231F20"/>
          <w:spacing w:val="-3"/>
          <w:w w:val="105"/>
        </w:rPr>
        <w:t xml:space="preserve">will </w:t>
      </w:r>
      <w:r>
        <w:rPr>
          <w:color w:val="231F20"/>
          <w:spacing w:val="-4"/>
          <w:w w:val="105"/>
        </w:rPr>
        <w:t>increase</w:t>
      </w:r>
      <w:r>
        <w:rPr>
          <w:color w:val="231F20"/>
          <w:spacing w:val="-4"/>
          <w:w w:val="105"/>
        </w:rPr>
        <w:t xml:space="preserve"> </w:t>
      </w:r>
      <w:proofErr w:type="gramStart"/>
      <w:r>
        <w:rPr>
          <w:color w:val="231F20"/>
          <w:spacing w:val="-4"/>
          <w:w w:val="105"/>
        </w:rPr>
        <w:t xml:space="preserve">gradually  </w:t>
      </w:r>
      <w:r>
        <w:rPr>
          <w:color w:val="231F20"/>
          <w:w w:val="105"/>
        </w:rPr>
        <w:t>as</w:t>
      </w:r>
      <w:proofErr w:type="gramEnd"/>
      <w:r>
        <w:rPr>
          <w:color w:val="231F20"/>
          <w:w w:val="105"/>
        </w:rPr>
        <w:t xml:space="preserve">  </w:t>
      </w:r>
      <w:r>
        <w:rPr>
          <w:color w:val="231F20"/>
          <w:spacing w:val="-4"/>
          <w:w w:val="105"/>
        </w:rPr>
        <w:t xml:space="preserve">labor market slack erodes, though </w:t>
      </w:r>
      <w:r>
        <w:rPr>
          <w:color w:val="231F20"/>
          <w:spacing w:val="-3"/>
          <w:w w:val="105"/>
        </w:rPr>
        <w:t xml:space="preserve">core </w:t>
      </w:r>
      <w:r>
        <w:rPr>
          <w:color w:val="231F20"/>
          <w:spacing w:val="-4"/>
          <w:w w:val="105"/>
        </w:rPr>
        <w:t xml:space="preserve">inflation </w:t>
      </w:r>
      <w:r>
        <w:rPr>
          <w:color w:val="231F20"/>
          <w:w w:val="105"/>
        </w:rPr>
        <w:t xml:space="preserve">is </w:t>
      </w:r>
      <w:r>
        <w:rPr>
          <w:color w:val="231F20"/>
          <w:spacing w:val="-4"/>
          <w:w w:val="105"/>
        </w:rPr>
        <w:t xml:space="preserve">likely  </w:t>
      </w:r>
      <w:r>
        <w:rPr>
          <w:color w:val="231F20"/>
          <w:w w:val="105"/>
        </w:rPr>
        <w:t xml:space="preserve">to </w:t>
      </w:r>
      <w:r>
        <w:rPr>
          <w:color w:val="231F20"/>
          <w:spacing w:val="-4"/>
          <w:w w:val="105"/>
        </w:rPr>
        <w:t xml:space="preserve">stay </w:t>
      </w:r>
      <w:r>
        <w:rPr>
          <w:color w:val="231F20"/>
          <w:w w:val="105"/>
        </w:rPr>
        <w:t>well below 2%. Higher wages</w:t>
      </w:r>
      <w:r>
        <w:rPr>
          <w:color w:val="231F20"/>
          <w:w w:val="105"/>
        </w:rPr>
        <w:t xml:space="preserve"> </w:t>
      </w:r>
      <w:r>
        <w:rPr>
          <w:color w:val="231F20"/>
          <w:w w:val="105"/>
        </w:rPr>
        <w:t>are likely, yes, but higher inflation is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not.</w:t>
      </w:r>
    </w:p>
    <w:p w14:paraId="1B40C882" w14:textId="77777777" w:rsidR="005352A2" w:rsidRDefault="005352A2" w:rsidP="005352A2">
      <w:pPr>
        <w:pStyle w:val="BodyText"/>
        <w:spacing w:before="9"/>
        <w:rPr>
          <w:sz w:val="20"/>
        </w:rPr>
      </w:pPr>
    </w:p>
    <w:p w14:paraId="1F58ED55" w14:textId="77777777" w:rsidR="005352A2" w:rsidRDefault="005352A2" w:rsidP="005352A2">
      <w:pPr>
        <w:spacing w:line="280" w:lineRule="auto"/>
        <w:ind w:right="1857"/>
        <w:rPr>
          <w:rFonts w:ascii="Arial"/>
          <w:i/>
          <w:sz w:val="17"/>
        </w:rPr>
      </w:pPr>
      <w:r>
        <w:rPr>
          <w:color w:val="00A0AF"/>
          <w:w w:val="110"/>
          <w:sz w:val="17"/>
        </w:rPr>
        <w:t xml:space="preserve">Monetary policy: </w:t>
      </w:r>
      <w:r>
        <w:rPr>
          <w:rFonts w:ascii="Arial"/>
          <w:i/>
          <w:color w:val="00A0AF"/>
          <w:w w:val="110"/>
          <w:sz w:val="17"/>
        </w:rPr>
        <w:t>Convergence commences, with the Fed stopping near 3%</w:t>
      </w:r>
    </w:p>
    <w:p w14:paraId="3195A202" w14:textId="77777777" w:rsidR="005352A2" w:rsidRDefault="005352A2" w:rsidP="005352A2">
      <w:pPr>
        <w:pStyle w:val="BodyText"/>
        <w:spacing w:before="39" w:line="261" w:lineRule="auto"/>
        <w:ind w:right="1484"/>
      </w:pPr>
      <w:r>
        <w:rPr>
          <w:color w:val="231F20"/>
          <w:w w:val="105"/>
        </w:rPr>
        <w:t>As inflation moves toward target, financial-stability risks rise, and unemployment rates approach full employment, global central banks will stay on their gradual normalization paths.</w:t>
      </w:r>
    </w:p>
    <w:p w14:paraId="5474EF2E" w14:textId="77777777" w:rsidR="005352A2" w:rsidRDefault="005352A2" w:rsidP="005352A2">
      <w:pPr>
        <w:pStyle w:val="BodyText"/>
        <w:spacing w:before="10"/>
        <w:rPr>
          <w:sz w:val="19"/>
        </w:rPr>
      </w:pPr>
    </w:p>
    <w:p w14:paraId="4AF7CC21" w14:textId="74B2908A" w:rsidR="005352A2" w:rsidRPr="005352A2" w:rsidRDefault="005352A2" w:rsidP="005352A2">
      <w:pPr>
        <w:pStyle w:val="BodyText"/>
        <w:spacing w:line="261" w:lineRule="auto"/>
        <w:ind w:right="1489"/>
      </w:pPr>
      <w:r>
        <w:rPr>
          <w:color w:val="231F20"/>
          <w:w w:val="105"/>
        </w:rPr>
        <w:t xml:space="preserve">In </w:t>
      </w:r>
      <w:r>
        <w:rPr>
          <w:color w:val="231F20"/>
          <w:spacing w:val="-3"/>
          <w:w w:val="105"/>
        </w:rPr>
        <w:t xml:space="preserve">the </w:t>
      </w:r>
      <w:r>
        <w:rPr>
          <w:color w:val="231F20"/>
          <w:spacing w:val="-4"/>
          <w:w w:val="105"/>
        </w:rPr>
        <w:t xml:space="preserve">United States, </w:t>
      </w:r>
      <w:r>
        <w:rPr>
          <w:color w:val="231F20"/>
          <w:w w:val="105"/>
        </w:rPr>
        <w:t xml:space="preserve">we </w:t>
      </w:r>
      <w:r>
        <w:rPr>
          <w:color w:val="231F20"/>
          <w:spacing w:val="-4"/>
          <w:w w:val="105"/>
        </w:rPr>
        <w:t xml:space="preserve">still expect </w:t>
      </w:r>
      <w:r>
        <w:rPr>
          <w:color w:val="231F20"/>
          <w:spacing w:val="-3"/>
          <w:w w:val="105"/>
        </w:rPr>
        <w:t xml:space="preserve">the Fed </w:t>
      </w:r>
      <w:r>
        <w:rPr>
          <w:color w:val="231F20"/>
          <w:w w:val="105"/>
        </w:rPr>
        <w:t xml:space="preserve">to </w:t>
      </w:r>
      <w:r>
        <w:rPr>
          <w:color w:val="231F20"/>
          <w:spacing w:val="-4"/>
          <w:w w:val="105"/>
        </w:rPr>
        <w:t xml:space="preserve">reach </w:t>
      </w:r>
      <w:r>
        <w:rPr>
          <w:color w:val="231F20"/>
          <w:w w:val="105"/>
        </w:rPr>
        <w:t>terminal rate for this cycle in the summer of 2019,</w:t>
      </w:r>
      <w:r>
        <w:rPr>
          <w:color w:val="231F20"/>
          <w:w w:val="105"/>
        </w:rPr>
        <w:t xml:space="preserve"> </w:t>
      </w:r>
      <w:r>
        <w:rPr>
          <w:color w:val="231F20"/>
          <w:w w:val="105"/>
        </w:rPr>
        <w:t>bringing the policy rate range to 2.75%–3% before halting further increases in the face of</w:t>
      </w:r>
      <w:r>
        <w:rPr>
          <w:color w:val="231F20"/>
          <w:w w:val="105"/>
        </w:rPr>
        <w:t xml:space="preserve"> </w:t>
      </w:r>
      <w:r>
        <w:rPr>
          <w:color w:val="231F20"/>
          <w:w w:val="105"/>
        </w:rPr>
        <w:t xml:space="preserve">nonaccelerating inflation and decelerating growth. Other developed- </w:t>
      </w:r>
      <w:r>
        <w:rPr>
          <w:color w:val="231F20"/>
          <w:spacing w:val="-4"/>
          <w:w w:val="105"/>
        </w:rPr>
        <w:t xml:space="preserve">market central banks </w:t>
      </w:r>
      <w:r>
        <w:rPr>
          <w:color w:val="231F20"/>
          <w:spacing w:val="-3"/>
          <w:w w:val="105"/>
        </w:rPr>
        <w:t>will only</w:t>
      </w:r>
      <w:r>
        <w:rPr>
          <w:color w:val="231F20"/>
          <w:spacing w:val="-3"/>
          <w:w w:val="105"/>
        </w:rPr>
        <w:t xml:space="preserve"> </w:t>
      </w:r>
      <w:r>
        <w:rPr>
          <w:color w:val="231F20"/>
          <w:spacing w:val="-4"/>
          <w:w w:val="105"/>
        </w:rPr>
        <w:t xml:space="preserve">begin </w:t>
      </w:r>
      <w:r>
        <w:rPr>
          <w:color w:val="231F20"/>
          <w:w w:val="105"/>
        </w:rPr>
        <w:t xml:space="preserve">to </w:t>
      </w:r>
      <w:r>
        <w:rPr>
          <w:color w:val="231F20"/>
          <w:spacing w:val="-3"/>
          <w:w w:val="105"/>
        </w:rPr>
        <w:t xml:space="preserve">lift </w:t>
      </w:r>
      <w:r>
        <w:rPr>
          <w:color w:val="231F20"/>
          <w:spacing w:val="-4"/>
          <w:w w:val="105"/>
        </w:rPr>
        <w:t xml:space="preserve">interest rates </w:t>
      </w:r>
      <w:r>
        <w:rPr>
          <w:color w:val="231F20"/>
          <w:spacing w:val="-3"/>
          <w:w w:val="105"/>
        </w:rPr>
        <w:t xml:space="preserve">from </w:t>
      </w:r>
      <w:proofErr w:type="spellStart"/>
      <w:r>
        <w:rPr>
          <w:color w:val="231F20"/>
          <w:spacing w:val="-4"/>
          <w:w w:val="105"/>
        </w:rPr>
        <w:t>postcrisis</w:t>
      </w:r>
      <w:proofErr w:type="spellEnd"/>
      <w:r>
        <w:rPr>
          <w:color w:val="231F20"/>
          <w:spacing w:val="-4"/>
          <w:w w:val="105"/>
        </w:rPr>
        <w:t xml:space="preserve"> lows. </w:t>
      </w:r>
      <w:r>
        <w:rPr>
          <w:color w:val="231F20"/>
          <w:w w:val="105"/>
        </w:rPr>
        <w:t xml:space="preserve">We </w:t>
      </w:r>
      <w:r>
        <w:rPr>
          <w:color w:val="231F20"/>
          <w:spacing w:val="-4"/>
          <w:w w:val="105"/>
        </w:rPr>
        <w:t xml:space="preserve">expect </w:t>
      </w:r>
      <w:r>
        <w:rPr>
          <w:color w:val="231F20"/>
          <w:spacing w:val="-3"/>
          <w:w w:val="105"/>
        </w:rPr>
        <w:t xml:space="preserve">the </w:t>
      </w:r>
      <w:r>
        <w:rPr>
          <w:color w:val="231F20"/>
          <w:spacing w:val="-4"/>
          <w:w w:val="105"/>
        </w:rPr>
        <w:t xml:space="preserve">first </w:t>
      </w:r>
      <w:r>
        <w:rPr>
          <w:color w:val="231F20"/>
          <w:spacing w:val="-3"/>
          <w:w w:val="105"/>
        </w:rPr>
        <w:t xml:space="preserve">rate </w:t>
      </w:r>
      <w:r>
        <w:rPr>
          <w:color w:val="231F20"/>
          <w:spacing w:val="-4"/>
          <w:w w:val="105"/>
        </w:rPr>
        <w:t xml:space="preserve">increase </w:t>
      </w:r>
      <w:r>
        <w:rPr>
          <w:color w:val="231F20"/>
          <w:w w:val="105"/>
        </w:rPr>
        <w:t>from the European</w:t>
      </w:r>
      <w:r>
        <w:rPr>
          <w:color w:val="231F20"/>
          <w:w w:val="105"/>
        </w:rPr>
        <w:t xml:space="preserve"> </w:t>
      </w:r>
      <w:r>
        <w:rPr>
          <w:color w:val="231F20"/>
          <w:w w:val="105"/>
        </w:rPr>
        <w:t>Central Bank in late 2019, followed by a very gradual hiking path thereafter. Japan is late   to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party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and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we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do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not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expect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any</w:t>
      </w:r>
      <w:r>
        <w:rPr>
          <w:color w:val="231F20"/>
          <w:spacing w:val="14"/>
          <w:w w:val="105"/>
        </w:rPr>
        <w:t xml:space="preserve"> </w:t>
      </w:r>
      <w:r>
        <w:rPr>
          <w:color w:val="231F20"/>
          <w:w w:val="105"/>
        </w:rPr>
        <w:t>rate</w:t>
      </w:r>
      <w:r>
        <w:rPr>
          <w:color w:val="231F20"/>
          <w:spacing w:val="15"/>
          <w:w w:val="105"/>
        </w:rPr>
        <w:t xml:space="preserve"> </w:t>
      </w:r>
      <w:r>
        <w:rPr>
          <w:color w:val="231F20"/>
          <w:w w:val="105"/>
        </w:rPr>
        <w:t>increases</w:t>
      </w:r>
      <w:r>
        <w:t xml:space="preserve"> </w:t>
      </w:r>
      <w:r>
        <w:rPr>
          <w:color w:val="231F20"/>
          <w:w w:val="105"/>
        </w:rPr>
        <w:t xml:space="preserve">in 2019, though some fine-tuning of </w:t>
      </w:r>
      <w:r>
        <w:rPr>
          <w:color w:val="231F20"/>
          <w:spacing w:val="-3"/>
          <w:w w:val="105"/>
        </w:rPr>
        <w:t xml:space="preserve">its </w:t>
      </w:r>
      <w:r>
        <w:rPr>
          <w:color w:val="231F20"/>
          <w:spacing w:val="-4"/>
          <w:w w:val="105"/>
        </w:rPr>
        <w:t xml:space="preserve">policy framework </w:t>
      </w:r>
      <w:r>
        <w:rPr>
          <w:color w:val="231F20"/>
          <w:w w:val="105"/>
        </w:rPr>
        <w:t>is</w:t>
      </w:r>
      <w:r>
        <w:rPr>
          <w:color w:val="231F20"/>
          <w:w w:val="105"/>
        </w:rPr>
        <w:t xml:space="preserve"> </w:t>
      </w:r>
      <w:r>
        <w:rPr>
          <w:color w:val="231F20"/>
          <w:spacing w:val="-4"/>
          <w:w w:val="105"/>
        </w:rPr>
        <w:t xml:space="preserve">likely </w:t>
      </w:r>
      <w:r>
        <w:rPr>
          <w:color w:val="231F20"/>
          <w:w w:val="105"/>
        </w:rPr>
        <w:t xml:space="preserve">to </w:t>
      </w:r>
      <w:r>
        <w:rPr>
          <w:color w:val="231F20"/>
          <w:spacing w:val="-3"/>
          <w:w w:val="105"/>
        </w:rPr>
        <w:t xml:space="preserve">ease </w:t>
      </w:r>
      <w:r>
        <w:rPr>
          <w:color w:val="231F20"/>
          <w:spacing w:val="-4"/>
          <w:w w:val="105"/>
        </w:rPr>
        <w:t xml:space="preserve">growing </w:t>
      </w:r>
      <w:r>
        <w:rPr>
          <w:color w:val="231F20"/>
          <w:spacing w:val="-3"/>
          <w:w w:val="105"/>
        </w:rPr>
        <w:t xml:space="preserve">financial-stability </w:t>
      </w:r>
      <w:r>
        <w:rPr>
          <w:color w:val="231F20"/>
          <w:w w:val="105"/>
        </w:rPr>
        <w:t>risk. Emerging- market countries don’t control their own</w:t>
      </w:r>
      <w:r>
        <w:rPr>
          <w:color w:val="231F20"/>
          <w:w w:val="105"/>
        </w:rPr>
        <w:t xml:space="preserve"> </w:t>
      </w:r>
      <w:r>
        <w:rPr>
          <w:color w:val="231F20"/>
          <w:w w:val="105"/>
        </w:rPr>
        <w:t>destiny and will</w:t>
      </w:r>
      <w:r>
        <w:rPr>
          <w:color w:val="231F20"/>
          <w:spacing w:val="11"/>
          <w:w w:val="105"/>
        </w:rPr>
        <w:t xml:space="preserve"> </w:t>
      </w:r>
      <w:r>
        <w:rPr>
          <w:color w:val="231F20"/>
          <w:w w:val="105"/>
        </w:rPr>
        <w:t>be</w:t>
      </w:r>
      <w:r>
        <w:rPr>
          <w:color w:val="231F20"/>
          <w:spacing w:val="11"/>
          <w:w w:val="105"/>
        </w:rPr>
        <w:t xml:space="preserve"> </w:t>
      </w:r>
      <w:r>
        <w:rPr>
          <w:color w:val="231F20"/>
          <w:w w:val="105"/>
        </w:rPr>
        <w:t>proactively</w:t>
      </w:r>
      <w:r>
        <w:rPr>
          <w:color w:val="231F20"/>
          <w:spacing w:val="12"/>
          <w:w w:val="105"/>
        </w:rPr>
        <w:t xml:space="preserve"> </w:t>
      </w:r>
      <w:r>
        <w:rPr>
          <w:color w:val="231F20"/>
          <w:w w:val="105"/>
        </w:rPr>
        <w:t>forced</w:t>
      </w:r>
      <w:r>
        <w:rPr>
          <w:color w:val="231F20"/>
          <w:spacing w:val="11"/>
          <w:w w:val="105"/>
        </w:rPr>
        <w:t xml:space="preserve"> </w:t>
      </w:r>
      <w:r>
        <w:rPr>
          <w:color w:val="231F20"/>
          <w:w w:val="105"/>
        </w:rPr>
        <w:t>to</w:t>
      </w:r>
      <w:r>
        <w:rPr>
          <w:color w:val="231F20"/>
          <w:spacing w:val="12"/>
          <w:w w:val="105"/>
        </w:rPr>
        <w:t xml:space="preserve"> </w:t>
      </w:r>
      <w:r>
        <w:rPr>
          <w:color w:val="231F20"/>
          <w:w w:val="105"/>
        </w:rPr>
        <w:t>tighten</w:t>
      </w:r>
      <w:r>
        <w:rPr>
          <w:color w:val="231F20"/>
          <w:spacing w:val="11"/>
          <w:w w:val="105"/>
        </w:rPr>
        <w:t xml:space="preserve"> </w:t>
      </w:r>
      <w:r>
        <w:rPr>
          <w:color w:val="231F20"/>
          <w:w w:val="105"/>
        </w:rPr>
        <w:t>along</w:t>
      </w:r>
      <w:r>
        <w:rPr>
          <w:color w:val="231F20"/>
          <w:spacing w:val="11"/>
          <w:w w:val="105"/>
        </w:rPr>
        <w:t xml:space="preserve"> </w:t>
      </w:r>
      <w:r>
        <w:rPr>
          <w:color w:val="231F20"/>
          <w:w w:val="105"/>
        </w:rPr>
        <w:t>with</w:t>
      </w:r>
      <w:r>
        <w:rPr>
          <w:color w:val="231F20"/>
          <w:spacing w:val="12"/>
          <w:w w:val="105"/>
        </w:rPr>
        <w:t xml:space="preserve"> </w:t>
      </w:r>
      <w:r>
        <w:rPr>
          <w:color w:val="231F20"/>
          <w:w w:val="105"/>
        </w:rPr>
        <w:t>the</w:t>
      </w:r>
      <w:r>
        <w:rPr>
          <w:color w:val="231F20"/>
          <w:w w:val="105"/>
        </w:rPr>
        <w:t xml:space="preserve"> </w:t>
      </w:r>
      <w:r>
        <w:rPr>
          <w:color w:val="231F20"/>
          <w:w w:val="105"/>
        </w:rPr>
        <w:t>Fed, while further modest currency</w:t>
      </w:r>
      <w:r>
        <w:rPr>
          <w:color w:val="231F20"/>
          <w:w w:val="105"/>
        </w:rPr>
        <w:t xml:space="preserve"> </w:t>
      </w:r>
      <w:r>
        <w:rPr>
          <w:color w:val="231F20"/>
          <w:w w:val="105"/>
        </w:rPr>
        <w:t>depreciation, tempered by tightened capital controls, is the most likely outcome in China.</w:t>
      </w:r>
    </w:p>
    <w:p w14:paraId="7D8B720D" w14:textId="69A35F9F" w:rsidR="005352A2" w:rsidRDefault="005352A2" w:rsidP="005352A2">
      <w:pPr>
        <w:pStyle w:val="BodyText"/>
        <w:spacing w:before="5" w:line="261" w:lineRule="auto"/>
        <w:ind w:right="1321"/>
      </w:pPr>
    </w:p>
    <w:p w14:paraId="5A703FE4" w14:textId="72A0213B" w:rsidR="005352A2" w:rsidRDefault="005352A2" w:rsidP="005352A2">
      <w:pPr>
        <w:spacing w:before="1"/>
        <w:rPr>
          <w:rFonts w:ascii="Arial"/>
          <w:i/>
          <w:sz w:val="17"/>
        </w:rPr>
      </w:pPr>
      <w:r>
        <w:rPr>
          <w:color w:val="00A0AF"/>
          <w:w w:val="115"/>
          <w:sz w:val="17"/>
        </w:rPr>
        <w:t>I</w:t>
      </w:r>
      <w:r>
        <w:rPr>
          <w:color w:val="00A0AF"/>
          <w:w w:val="115"/>
          <w:sz w:val="17"/>
        </w:rPr>
        <w:t xml:space="preserve">nvestment outlook: </w:t>
      </w:r>
      <w:r>
        <w:rPr>
          <w:rFonts w:ascii="Arial"/>
          <w:i/>
          <w:color w:val="00A0AF"/>
          <w:w w:val="115"/>
          <w:sz w:val="17"/>
        </w:rPr>
        <w:t>No pain, no gain</w:t>
      </w:r>
    </w:p>
    <w:p w14:paraId="1F4FE56C" w14:textId="77777777" w:rsidR="005352A2" w:rsidRDefault="005352A2" w:rsidP="005352A2">
      <w:pPr>
        <w:pStyle w:val="BodyText"/>
        <w:spacing w:before="63" w:line="261" w:lineRule="auto"/>
        <w:ind w:right="352"/>
      </w:pPr>
      <w:r>
        <w:rPr>
          <w:color w:val="231F20"/>
          <w:w w:val="105"/>
        </w:rPr>
        <w:t xml:space="preserve">With slowing growth, disparate rates </w:t>
      </w:r>
      <w:proofErr w:type="gramStart"/>
      <w:r>
        <w:rPr>
          <w:color w:val="231F20"/>
          <w:w w:val="105"/>
        </w:rPr>
        <w:t>of  inflation</w:t>
      </w:r>
      <w:proofErr w:type="gramEnd"/>
      <w:r>
        <w:rPr>
          <w:color w:val="231F20"/>
          <w:w w:val="105"/>
        </w:rPr>
        <w:t>, and continued policy normalization, volatility in financial markets is likely to accelerate. Long term, our ten-year outlook for investment returns remains guarded, given the backdrop of high valuations and depressed</w:t>
      </w:r>
      <w:r>
        <w:rPr>
          <w:color w:val="231F20"/>
          <w:spacing w:val="18"/>
          <w:w w:val="105"/>
        </w:rPr>
        <w:t xml:space="preserve"> </w:t>
      </w:r>
      <w:r>
        <w:rPr>
          <w:color w:val="231F20"/>
          <w:w w:val="105"/>
        </w:rPr>
        <w:t>risk-free</w:t>
      </w:r>
      <w:r>
        <w:rPr>
          <w:color w:val="231F20"/>
          <w:spacing w:val="18"/>
          <w:w w:val="105"/>
        </w:rPr>
        <w:t xml:space="preserve"> </w:t>
      </w:r>
      <w:r>
        <w:rPr>
          <w:color w:val="231F20"/>
          <w:w w:val="105"/>
        </w:rPr>
        <w:t>rates</w:t>
      </w:r>
      <w:r>
        <w:rPr>
          <w:color w:val="231F20"/>
          <w:spacing w:val="19"/>
          <w:w w:val="105"/>
        </w:rPr>
        <w:t xml:space="preserve"> </w:t>
      </w:r>
      <w:r>
        <w:rPr>
          <w:color w:val="231F20"/>
          <w:w w:val="105"/>
        </w:rPr>
        <w:t>across</w:t>
      </w:r>
      <w:r>
        <w:rPr>
          <w:color w:val="231F20"/>
          <w:spacing w:val="18"/>
          <w:w w:val="105"/>
        </w:rPr>
        <w:t xml:space="preserve"> </w:t>
      </w:r>
      <w:r>
        <w:rPr>
          <w:color w:val="231F20"/>
          <w:w w:val="105"/>
        </w:rPr>
        <w:t>major</w:t>
      </w:r>
      <w:r>
        <w:rPr>
          <w:color w:val="231F20"/>
          <w:spacing w:val="18"/>
          <w:w w:val="105"/>
        </w:rPr>
        <w:t xml:space="preserve"> </w:t>
      </w:r>
      <w:r>
        <w:rPr>
          <w:color w:val="231F20"/>
          <w:w w:val="105"/>
        </w:rPr>
        <w:t>markets.</w:t>
      </w:r>
    </w:p>
    <w:p w14:paraId="572120AC" w14:textId="77777777" w:rsidR="005352A2" w:rsidRDefault="005352A2" w:rsidP="005352A2">
      <w:pPr>
        <w:pStyle w:val="BodyText"/>
        <w:spacing w:before="10"/>
        <w:rPr>
          <w:sz w:val="19"/>
        </w:rPr>
      </w:pPr>
    </w:p>
    <w:p w14:paraId="2CEF486B" w14:textId="77777777" w:rsidR="005352A2" w:rsidRDefault="005352A2" w:rsidP="005352A2">
      <w:pPr>
        <w:pStyle w:val="BodyText"/>
        <w:spacing w:before="1" w:line="261" w:lineRule="auto"/>
      </w:pPr>
      <w:r>
        <w:rPr>
          <w:color w:val="231F20"/>
          <w:w w:val="110"/>
        </w:rPr>
        <w:t xml:space="preserve">U.S. fixed income returns are most likely to be in the </w:t>
      </w:r>
      <w:r>
        <w:rPr>
          <w:color w:val="231F20"/>
          <w:spacing w:val="-4"/>
          <w:w w:val="110"/>
        </w:rPr>
        <w:t xml:space="preserve">2.5%–4.5% range, driven </w:t>
      </w:r>
      <w:r>
        <w:rPr>
          <w:color w:val="231F20"/>
          <w:w w:val="110"/>
        </w:rPr>
        <w:t xml:space="preserve">by </w:t>
      </w:r>
      <w:r>
        <w:rPr>
          <w:color w:val="231F20"/>
          <w:spacing w:val="-4"/>
          <w:w w:val="110"/>
        </w:rPr>
        <w:t xml:space="preserve">rising policy rates </w:t>
      </w:r>
      <w:r>
        <w:rPr>
          <w:color w:val="231F20"/>
          <w:spacing w:val="-3"/>
          <w:w w:val="110"/>
        </w:rPr>
        <w:t xml:space="preserve">and </w:t>
      </w:r>
      <w:r>
        <w:rPr>
          <w:color w:val="231F20"/>
          <w:spacing w:val="-4"/>
          <w:w w:val="110"/>
        </w:rPr>
        <w:t xml:space="preserve">higher yields across </w:t>
      </w:r>
      <w:r>
        <w:rPr>
          <w:color w:val="231F20"/>
          <w:spacing w:val="-3"/>
          <w:w w:val="110"/>
        </w:rPr>
        <w:t xml:space="preserve">the </w:t>
      </w:r>
      <w:r>
        <w:rPr>
          <w:color w:val="231F20"/>
          <w:spacing w:val="-4"/>
          <w:w w:val="110"/>
        </w:rPr>
        <w:t xml:space="preserve">maturity curve </w:t>
      </w:r>
      <w:r>
        <w:rPr>
          <w:color w:val="231F20"/>
          <w:w w:val="110"/>
        </w:rPr>
        <w:t xml:space="preserve">as </w:t>
      </w:r>
      <w:r>
        <w:rPr>
          <w:color w:val="231F20"/>
          <w:spacing w:val="-4"/>
          <w:w w:val="110"/>
        </w:rPr>
        <w:t xml:space="preserve">policy normalizes. This </w:t>
      </w:r>
      <w:r>
        <w:rPr>
          <w:color w:val="231F20"/>
          <w:w w:val="110"/>
        </w:rPr>
        <w:t>results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in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a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modestly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higher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outlook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compared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with</w:t>
      </w:r>
      <w:r>
        <w:rPr>
          <w:color w:val="231F20"/>
          <w:spacing w:val="-11"/>
          <w:w w:val="110"/>
        </w:rPr>
        <w:t xml:space="preserve"> </w:t>
      </w:r>
      <w:r>
        <w:rPr>
          <w:color w:val="231F20"/>
          <w:w w:val="110"/>
        </w:rPr>
        <w:t>last year’s outlook of 1.5%–3.5%—albeit still more muted than the historical precedent of</w:t>
      </w:r>
      <w:r>
        <w:rPr>
          <w:color w:val="231F20"/>
          <w:spacing w:val="29"/>
          <w:w w:val="110"/>
        </w:rPr>
        <w:t xml:space="preserve"> </w:t>
      </w:r>
      <w:r>
        <w:rPr>
          <w:color w:val="231F20"/>
          <w:w w:val="110"/>
        </w:rPr>
        <w:t>4.7%.</w:t>
      </w:r>
    </w:p>
    <w:p w14:paraId="23878E2E" w14:textId="77777777" w:rsidR="005352A2" w:rsidRDefault="005352A2" w:rsidP="005352A2">
      <w:pPr>
        <w:pStyle w:val="BodyText"/>
        <w:spacing w:before="12"/>
      </w:pPr>
    </w:p>
    <w:p w14:paraId="62CD013B" w14:textId="2FAD399A" w:rsidR="005352A2" w:rsidRPr="005352A2" w:rsidRDefault="005352A2" w:rsidP="005352A2">
      <w:pPr>
        <w:pStyle w:val="BodyText"/>
        <w:spacing w:before="12"/>
        <w:rPr>
          <w:sz w:val="20"/>
        </w:rPr>
      </w:pPr>
      <w:r>
        <w:rPr>
          <w:color w:val="231F20"/>
          <w:w w:val="110"/>
        </w:rPr>
        <w:t xml:space="preserve">Returns in global equity markets are likely to be about 4.5%–6.5% for U.S.-dollar-based investors. This remains significantly lower than the experience of previous decades and of the </w:t>
      </w:r>
      <w:proofErr w:type="spellStart"/>
      <w:r>
        <w:rPr>
          <w:color w:val="231F20"/>
          <w:w w:val="110"/>
        </w:rPr>
        <w:t>postcrisis</w:t>
      </w:r>
      <w:proofErr w:type="spellEnd"/>
      <w:r>
        <w:rPr>
          <w:color w:val="231F20"/>
          <w:w w:val="110"/>
        </w:rPr>
        <w:t xml:space="preserve"> years, when global equities have risen 12.6% a year since the trough of the market downturn. We do, however, foresee improving return prospects in non-U.S. developed markets, building on slightly more attractive valuations (a key driver of the equity risk premiums) combined with higher expected risk-free rates.</w:t>
      </w:r>
    </w:p>
    <w:p w14:paraId="6DB52B31" w14:textId="77777777" w:rsidR="005352A2" w:rsidRDefault="005352A2" w:rsidP="005352A2">
      <w:pPr>
        <w:pStyle w:val="BodyText"/>
        <w:spacing w:before="1"/>
        <w:rPr>
          <w:sz w:val="20"/>
        </w:rPr>
      </w:pPr>
    </w:p>
    <w:p w14:paraId="5A46F32E" w14:textId="49D501C2" w:rsidR="005352A2" w:rsidRDefault="005352A2" w:rsidP="005352A2">
      <w:pPr>
        <w:pStyle w:val="BodyText"/>
        <w:spacing w:line="261" w:lineRule="auto"/>
        <w:ind w:right="1640"/>
      </w:pPr>
      <w:r>
        <w:rPr>
          <w:color w:val="231F20"/>
          <w:w w:val="110"/>
        </w:rPr>
        <w:t>As was the case last year, the risk of a correction for</w:t>
      </w:r>
      <w:r>
        <w:rPr>
          <w:color w:val="231F20"/>
          <w:spacing w:val="-8"/>
          <w:w w:val="110"/>
        </w:rPr>
        <w:t xml:space="preserve"> </w:t>
      </w:r>
      <w:r>
        <w:rPr>
          <w:color w:val="231F20"/>
          <w:w w:val="110"/>
        </w:rPr>
        <w:t>equities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and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other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high-beta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assets</w:t>
      </w:r>
      <w:r>
        <w:rPr>
          <w:color w:val="231F20"/>
          <w:spacing w:val="-7"/>
          <w:w w:val="110"/>
        </w:rPr>
        <w:t xml:space="preserve"> </w:t>
      </w:r>
      <w:r>
        <w:rPr>
          <w:color w:val="231F20"/>
          <w:w w:val="110"/>
        </w:rPr>
        <w:t>is</w:t>
      </w:r>
      <w:r>
        <w:rPr>
          <w:color w:val="231F20"/>
          <w:spacing w:val="-7"/>
          <w:w w:val="110"/>
        </w:rPr>
        <w:t xml:space="preserve"> </w:t>
      </w:r>
      <w:bookmarkStart w:id="0" w:name="_GoBack"/>
      <w:bookmarkEnd w:id="0"/>
      <w:r>
        <w:rPr>
          <w:color w:val="231F20"/>
          <w:w w:val="110"/>
        </w:rPr>
        <w:t>projected to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be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considerably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higher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than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for</w:t>
      </w:r>
      <w:r>
        <w:rPr>
          <w:color w:val="231F20"/>
          <w:spacing w:val="-15"/>
          <w:w w:val="110"/>
        </w:rPr>
        <w:t xml:space="preserve"> </w:t>
      </w:r>
      <w:r>
        <w:rPr>
          <w:color w:val="231F20"/>
          <w:w w:val="110"/>
        </w:rPr>
        <w:t>high-quality</w:t>
      </w:r>
      <w:r>
        <w:rPr>
          <w:color w:val="231F20"/>
          <w:spacing w:val="-16"/>
          <w:w w:val="110"/>
        </w:rPr>
        <w:t xml:space="preserve"> </w:t>
      </w:r>
      <w:r>
        <w:rPr>
          <w:color w:val="231F20"/>
          <w:w w:val="110"/>
        </w:rPr>
        <w:t>fixed income</w:t>
      </w:r>
      <w:r>
        <w:rPr>
          <w:color w:val="231F20"/>
          <w:spacing w:val="6"/>
          <w:w w:val="110"/>
        </w:rPr>
        <w:t xml:space="preserve"> </w:t>
      </w:r>
      <w:r>
        <w:rPr>
          <w:color w:val="231F20"/>
          <w:w w:val="110"/>
        </w:rPr>
        <w:t>portfolios.</w:t>
      </w:r>
    </w:p>
    <w:p w14:paraId="3B983D30" w14:textId="77777777" w:rsidR="005352A2" w:rsidRDefault="005352A2" w:rsidP="005352A2">
      <w:pPr>
        <w:pStyle w:val="BodyText"/>
        <w:spacing w:before="5" w:line="261" w:lineRule="auto"/>
        <w:ind w:left="-731" w:right="1321"/>
      </w:pPr>
    </w:p>
    <w:sectPr w:rsidR="005352A2" w:rsidSect="00CD6F1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78246D"/>
    <w:multiLevelType w:val="hybridMultilevel"/>
    <w:tmpl w:val="200CE808"/>
    <w:lvl w:ilvl="0" w:tplc="2034B406">
      <w:numFmt w:val="bullet"/>
      <w:lvlText w:val="■"/>
      <w:lvlJc w:val="left"/>
      <w:pPr>
        <w:ind w:left="1580" w:hanging="421"/>
      </w:pPr>
      <w:rPr>
        <w:rFonts w:ascii="Arial" w:eastAsia="Arial" w:hAnsi="Arial" w:cs="Arial" w:hint="default"/>
        <w:color w:val="19B5C2"/>
        <w:w w:val="126"/>
        <w:sz w:val="20"/>
        <w:szCs w:val="20"/>
        <w:lang w:val="en-US" w:eastAsia="en-US" w:bidi="en-US"/>
      </w:rPr>
    </w:lvl>
    <w:lvl w:ilvl="1" w:tplc="E75A1260">
      <w:numFmt w:val="bullet"/>
      <w:lvlText w:val="•"/>
      <w:lvlJc w:val="left"/>
      <w:pPr>
        <w:ind w:left="2612" w:hanging="421"/>
      </w:pPr>
      <w:rPr>
        <w:rFonts w:hint="default"/>
        <w:lang w:val="en-US" w:eastAsia="en-US" w:bidi="en-US"/>
      </w:rPr>
    </w:lvl>
    <w:lvl w:ilvl="2" w:tplc="3AB20A0C">
      <w:numFmt w:val="bullet"/>
      <w:lvlText w:val="•"/>
      <w:lvlJc w:val="left"/>
      <w:pPr>
        <w:ind w:left="3645" w:hanging="421"/>
      </w:pPr>
      <w:rPr>
        <w:rFonts w:hint="default"/>
        <w:lang w:val="en-US" w:eastAsia="en-US" w:bidi="en-US"/>
      </w:rPr>
    </w:lvl>
    <w:lvl w:ilvl="3" w:tplc="F21CE27A">
      <w:numFmt w:val="bullet"/>
      <w:lvlText w:val="•"/>
      <w:lvlJc w:val="left"/>
      <w:pPr>
        <w:ind w:left="4677" w:hanging="421"/>
      </w:pPr>
      <w:rPr>
        <w:rFonts w:hint="default"/>
        <w:lang w:val="en-US" w:eastAsia="en-US" w:bidi="en-US"/>
      </w:rPr>
    </w:lvl>
    <w:lvl w:ilvl="4" w:tplc="07C671BC">
      <w:numFmt w:val="bullet"/>
      <w:lvlText w:val="•"/>
      <w:lvlJc w:val="left"/>
      <w:pPr>
        <w:ind w:left="5710" w:hanging="421"/>
      </w:pPr>
      <w:rPr>
        <w:rFonts w:hint="default"/>
        <w:lang w:val="en-US" w:eastAsia="en-US" w:bidi="en-US"/>
      </w:rPr>
    </w:lvl>
    <w:lvl w:ilvl="5" w:tplc="DA7EA270">
      <w:numFmt w:val="bullet"/>
      <w:lvlText w:val="•"/>
      <w:lvlJc w:val="left"/>
      <w:pPr>
        <w:ind w:left="6742" w:hanging="421"/>
      </w:pPr>
      <w:rPr>
        <w:rFonts w:hint="default"/>
        <w:lang w:val="en-US" w:eastAsia="en-US" w:bidi="en-US"/>
      </w:rPr>
    </w:lvl>
    <w:lvl w:ilvl="6" w:tplc="3CA6410E">
      <w:numFmt w:val="bullet"/>
      <w:lvlText w:val="•"/>
      <w:lvlJc w:val="left"/>
      <w:pPr>
        <w:ind w:left="7775" w:hanging="421"/>
      </w:pPr>
      <w:rPr>
        <w:rFonts w:hint="default"/>
        <w:lang w:val="en-US" w:eastAsia="en-US" w:bidi="en-US"/>
      </w:rPr>
    </w:lvl>
    <w:lvl w:ilvl="7" w:tplc="3D9E6A4E">
      <w:numFmt w:val="bullet"/>
      <w:lvlText w:val="•"/>
      <w:lvlJc w:val="left"/>
      <w:pPr>
        <w:ind w:left="8807" w:hanging="421"/>
      </w:pPr>
      <w:rPr>
        <w:rFonts w:hint="default"/>
        <w:lang w:val="en-US" w:eastAsia="en-US" w:bidi="en-US"/>
      </w:rPr>
    </w:lvl>
    <w:lvl w:ilvl="8" w:tplc="8B38871E">
      <w:numFmt w:val="bullet"/>
      <w:lvlText w:val="•"/>
      <w:lvlJc w:val="left"/>
      <w:pPr>
        <w:ind w:left="9840" w:hanging="421"/>
      </w:pPr>
      <w:rPr>
        <w:rFonts w:hint="default"/>
        <w:lang w:val="en-US" w:eastAsia="en-US" w:bidi="en-US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52A2"/>
    <w:rsid w:val="005352A2"/>
    <w:rsid w:val="00CD6F10"/>
    <w:rsid w:val="00D36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9A6305"/>
  <w15:chartTrackingRefBased/>
  <w15:docId w15:val="{C6DC8737-27DB-0B44-B0AB-F0A363282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1"/>
    <w:qFormat/>
    <w:rsid w:val="005352A2"/>
    <w:pPr>
      <w:widowControl w:val="0"/>
      <w:autoSpaceDE w:val="0"/>
      <w:autoSpaceDN w:val="0"/>
      <w:spacing w:before="121"/>
      <w:ind w:left="681" w:hanging="200"/>
    </w:pPr>
    <w:rPr>
      <w:rFonts w:ascii="Calibri" w:eastAsia="Calibri" w:hAnsi="Calibri" w:cs="Calibri"/>
      <w:sz w:val="22"/>
      <w:szCs w:val="22"/>
      <w:lang w:eastAsia="en-US" w:bidi="en-US"/>
    </w:rPr>
  </w:style>
  <w:style w:type="paragraph" w:styleId="BodyText">
    <w:name w:val="Body Text"/>
    <w:basedOn w:val="Normal"/>
    <w:link w:val="BodyTextChar"/>
    <w:uiPriority w:val="1"/>
    <w:qFormat/>
    <w:rsid w:val="005352A2"/>
    <w:pPr>
      <w:widowControl w:val="0"/>
      <w:autoSpaceDE w:val="0"/>
      <w:autoSpaceDN w:val="0"/>
    </w:pPr>
    <w:rPr>
      <w:rFonts w:ascii="Calibri" w:eastAsia="Calibri" w:hAnsi="Calibri" w:cs="Calibri"/>
      <w:sz w:val="18"/>
      <w:szCs w:val="18"/>
      <w:lang w:eastAsia="en-US" w:bidi="en-US"/>
    </w:rPr>
  </w:style>
  <w:style w:type="character" w:customStyle="1" w:styleId="BodyTextChar">
    <w:name w:val="Body Text Char"/>
    <w:basedOn w:val="DefaultParagraphFont"/>
    <w:link w:val="BodyText"/>
    <w:uiPriority w:val="1"/>
    <w:rsid w:val="005352A2"/>
    <w:rPr>
      <w:rFonts w:ascii="Calibri" w:eastAsia="Calibri" w:hAnsi="Calibri" w:cs="Calibri"/>
      <w:sz w:val="18"/>
      <w:szCs w:val="18"/>
      <w:lang w:eastAsia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959</Words>
  <Characters>5472</Characters>
  <Application>Microsoft Office Word</Application>
  <DocSecurity>0</DocSecurity>
  <Lines>45</Lines>
  <Paragraphs>12</Paragraphs>
  <ScaleCrop>false</ScaleCrop>
  <Company/>
  <LinksUpToDate>false</LinksUpToDate>
  <CharactersWithSpaces>6419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Emmanuel Vallod</dc:creator>
  <cp:keywords/>
  <dc:description/>
  <cp:lastModifiedBy>Emmanuel Vallod</cp:lastModifiedBy>
  <cp:revision>1</cp:revision>
  <dcterms:created xsi:type="dcterms:W3CDTF">2019-05-16T20:17:00Z</dcterms:created>
  <dcterms:modified xsi:type="dcterms:W3CDTF">2019-05-16T20:29:00Z</dcterms:modified>
</cp:coreProperties>
</file>