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Default Extension="jpeg" ContentType="image/jpe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37" w:lineRule="auto" w:before="48"/>
        <w:ind w:left="783" w:right="703" w:firstLine="0"/>
        <w:jc w:val="center"/>
        <w:rPr>
          <w:rFonts w:ascii="Tahoma"/>
          <w:sz w:val="129"/>
        </w:rPr>
      </w:pPr>
      <w:r>
        <w:rPr/>
        <w:pict>
          <v:group style="position:absolute;margin-left:36pt;margin-top:36pt;width:540pt;height:720pt;mso-position-horizontal-relative:page;mso-position-vertical-relative:page;z-index:-252090368" coordorigin="720,720" coordsize="10800,14400">
            <v:shape style="position:absolute;left:720;top:720;width:10800;height:14400" type="#_x0000_t75" stroked="false">
              <v:imagedata r:id="rId5" o:title=""/>
            </v:shape>
            <v:line style="position:absolute" from="1920,5041" to="10560,5041" stroked="true" strokeweight=".77997pt" strokecolor="#ffffff">
              <v:stroke dashstyle="solid"/>
            </v:line>
            <w10:wrap type="none"/>
          </v:group>
        </w:pict>
      </w:r>
      <w:r>
        <w:rPr>
          <w:rFonts w:ascii="Tahoma"/>
          <w:color w:val="FFFFFF"/>
          <w:sz w:val="129"/>
        </w:rPr>
        <w:t>2019 Schwab Market</w:t>
      </w:r>
      <w:r>
        <w:rPr>
          <w:rFonts w:ascii="Tahoma"/>
          <w:color w:val="FFFFFF"/>
          <w:spacing w:val="124"/>
          <w:sz w:val="129"/>
        </w:rPr>
        <w:t> </w:t>
      </w:r>
      <w:r>
        <w:rPr>
          <w:rFonts w:ascii="Tahoma"/>
          <w:color w:val="FFFFFF"/>
          <w:sz w:val="129"/>
        </w:rPr>
        <w:t>Outlook</w:t>
      </w:r>
    </w:p>
    <w:p>
      <w:pPr>
        <w:spacing w:before="35"/>
        <w:ind w:left="781" w:right="703" w:firstLine="0"/>
        <w:jc w:val="center"/>
        <w:rPr>
          <w:rFonts w:ascii="Tahoma" w:hAnsi="Tahoma"/>
          <w:sz w:val="21"/>
        </w:rPr>
      </w:pPr>
      <w:r>
        <w:rPr>
          <w:rFonts w:ascii="Tahoma" w:hAnsi="Tahoma"/>
          <w:color w:val="FFFFFF"/>
          <w:spacing w:val="-1"/>
          <w:w w:val="104"/>
          <w:sz w:val="50"/>
        </w:rPr>
        <w:t>Schwa</w:t>
      </w:r>
      <w:r>
        <w:rPr>
          <w:rFonts w:ascii="Tahoma" w:hAnsi="Tahoma"/>
          <w:color w:val="FFFFFF"/>
          <w:w w:val="104"/>
          <w:sz w:val="50"/>
        </w:rPr>
        <w:t>b</w:t>
      </w:r>
      <w:r>
        <w:rPr>
          <w:rFonts w:ascii="Tahoma" w:hAnsi="Tahoma"/>
          <w:color w:val="FFFFFF"/>
          <w:spacing w:val="-19"/>
          <w:sz w:val="50"/>
        </w:rPr>
        <w:t> </w:t>
      </w:r>
      <w:r>
        <w:rPr>
          <w:rFonts w:ascii="Tahoma" w:hAnsi="Tahoma"/>
          <w:color w:val="FFFFFF"/>
          <w:spacing w:val="-1"/>
          <w:w w:val="102"/>
          <w:sz w:val="50"/>
        </w:rPr>
        <w:t>Cente</w:t>
      </w:r>
      <w:r>
        <w:rPr>
          <w:rFonts w:ascii="Tahoma" w:hAnsi="Tahoma"/>
          <w:color w:val="FFFFFF"/>
          <w:w w:val="102"/>
          <w:sz w:val="50"/>
        </w:rPr>
        <w:t>r</w:t>
      </w:r>
      <w:r>
        <w:rPr>
          <w:rFonts w:ascii="Tahoma" w:hAnsi="Tahoma"/>
          <w:color w:val="FFFFFF"/>
          <w:spacing w:val="-19"/>
          <w:sz w:val="50"/>
        </w:rPr>
        <w:t> </w:t>
      </w:r>
      <w:r>
        <w:rPr>
          <w:rFonts w:ascii="Tahoma" w:hAnsi="Tahoma"/>
          <w:color w:val="FFFFFF"/>
          <w:spacing w:val="-1"/>
          <w:w w:val="98"/>
          <w:sz w:val="50"/>
        </w:rPr>
        <w:t>fo</w:t>
      </w:r>
      <w:r>
        <w:rPr>
          <w:rFonts w:ascii="Tahoma" w:hAnsi="Tahoma"/>
          <w:color w:val="FFFFFF"/>
          <w:w w:val="98"/>
          <w:sz w:val="50"/>
        </w:rPr>
        <w:t>r</w:t>
      </w:r>
      <w:r>
        <w:rPr>
          <w:rFonts w:ascii="Tahoma" w:hAnsi="Tahoma"/>
          <w:color w:val="FFFFFF"/>
          <w:spacing w:val="-19"/>
          <w:sz w:val="50"/>
        </w:rPr>
        <w:t> </w:t>
      </w:r>
      <w:r>
        <w:rPr>
          <w:rFonts w:ascii="Tahoma" w:hAnsi="Tahoma"/>
          <w:color w:val="FFFFFF"/>
          <w:spacing w:val="-1"/>
          <w:w w:val="103"/>
          <w:sz w:val="50"/>
        </w:rPr>
        <w:t>Financia</w:t>
      </w:r>
      <w:r>
        <w:rPr>
          <w:rFonts w:ascii="Tahoma" w:hAnsi="Tahoma"/>
          <w:color w:val="FFFFFF"/>
          <w:w w:val="103"/>
          <w:sz w:val="50"/>
        </w:rPr>
        <w:t>l</w:t>
      </w:r>
      <w:r>
        <w:rPr>
          <w:rFonts w:ascii="Tahoma" w:hAnsi="Tahoma"/>
          <w:color w:val="FFFFFF"/>
          <w:spacing w:val="-19"/>
          <w:sz w:val="50"/>
        </w:rPr>
        <w:t> </w:t>
      </w:r>
      <w:r>
        <w:rPr>
          <w:rFonts w:ascii="Tahoma" w:hAnsi="Tahoma"/>
          <w:color w:val="FFFFFF"/>
          <w:spacing w:val="-1"/>
          <w:w w:val="103"/>
          <w:sz w:val="50"/>
        </w:rPr>
        <w:t>Researc</w:t>
      </w:r>
      <w:r>
        <w:rPr>
          <w:rFonts w:ascii="Tahoma" w:hAnsi="Tahoma"/>
          <w:color w:val="FFFFFF"/>
          <w:w w:val="103"/>
          <w:sz w:val="50"/>
        </w:rPr>
        <w:t>h</w:t>
      </w:r>
      <w:r>
        <w:rPr>
          <w:rFonts w:ascii="Tahoma" w:hAnsi="Tahoma"/>
          <w:color w:val="FFFFFF"/>
          <w:w w:val="101"/>
          <w:position w:val="16"/>
          <w:sz w:val="21"/>
        </w:rPr>
        <w:t>™</w:t>
      </w:r>
    </w:p>
    <w:p>
      <w:pPr>
        <w:pStyle w:val="BodyText"/>
        <w:spacing w:before="7"/>
        <w:rPr>
          <w:rFonts w:ascii="Tahoma"/>
          <w:sz w:val="57"/>
        </w:rPr>
      </w:pPr>
    </w:p>
    <w:p>
      <w:pPr>
        <w:spacing w:before="0"/>
        <w:ind w:left="1860" w:right="1780" w:firstLine="0"/>
        <w:jc w:val="center"/>
        <w:rPr>
          <w:rFonts w:ascii="Tahoma" w:hAnsi="Tahoma"/>
          <w:sz w:val="26"/>
        </w:rPr>
      </w:pPr>
      <w:r>
        <w:rPr>
          <w:rFonts w:ascii="Tahoma" w:hAnsi="Tahoma"/>
          <w:color w:val="FFFFFF"/>
          <w:sz w:val="26"/>
        </w:rPr>
        <w:t>Schwab’s team of market experts share their perspectives and provide investment guidance</w:t>
      </w:r>
    </w:p>
    <w:p>
      <w:pPr>
        <w:spacing w:after="0"/>
        <w:jc w:val="center"/>
        <w:rPr>
          <w:rFonts w:ascii="Tahoma" w:hAnsi="Tahoma"/>
          <w:sz w:val="26"/>
        </w:rPr>
        <w:sectPr>
          <w:type w:val="continuous"/>
          <w:pgSz w:w="12240" w:h="15840"/>
          <w:pgMar w:top="940" w:bottom="280" w:left="980" w:right="940"/>
        </w:sectPr>
      </w:pPr>
    </w:p>
    <w:p>
      <w:pPr>
        <w:pStyle w:val="BodyText"/>
        <w:ind w:left="100"/>
        <w:rPr>
          <w:rFonts w:ascii="Tahoma"/>
          <w:sz w:val="20"/>
        </w:rPr>
      </w:pPr>
      <w:r>
        <w:rPr>
          <w:rFonts w:ascii="Tahoma"/>
          <w:sz w:val="20"/>
        </w:rPr>
        <w:pict>
          <v:shape style="width:504pt;height:120pt;mso-position-horizontal-relative:char;mso-position-vertical-relative:line" type="#_x0000_t202" filled="true" fillcolor="#000000" stroked="false">
            <w10:anchorlock/>
            <v:textbox inset="0,0,0,0">
              <w:txbxContent>
                <w:p>
                  <w:pPr>
                    <w:spacing w:before="152"/>
                    <w:ind w:left="264" w:right="0" w:firstLine="0"/>
                    <w:jc w:val="left"/>
                    <w:rPr>
                      <w:rFonts w:ascii="Tahoma"/>
                      <w:sz w:val="24"/>
                    </w:rPr>
                  </w:pPr>
                  <w:r>
                    <w:rPr>
                      <w:rFonts w:ascii="Tahoma"/>
                      <w:color w:val="FFFFFF"/>
                      <w:w w:val="105"/>
                      <w:sz w:val="24"/>
                    </w:rPr>
                    <w:t>EXECUTIVE SUMMARY</w:t>
                  </w:r>
                </w:p>
                <w:p>
                  <w:pPr>
                    <w:spacing w:before="12"/>
                    <w:ind w:left="264" w:right="0" w:firstLine="0"/>
                    <w:jc w:val="left"/>
                    <w:rPr>
                      <w:sz w:val="64"/>
                    </w:rPr>
                  </w:pPr>
                  <w:r>
                    <w:rPr>
                      <w:color w:val="FFFFFF"/>
                      <w:w w:val="110"/>
                      <w:sz w:val="64"/>
                    </w:rPr>
                    <w:t>Be Prepared</w:t>
                  </w:r>
                </w:p>
              </w:txbxContent>
            </v:textbox>
            <v:fill type="solid"/>
          </v:shape>
        </w:pict>
      </w:r>
      <w:r>
        <w:rPr>
          <w:rFonts w:ascii="Tahoma"/>
          <w:sz w:val="20"/>
        </w:rPr>
      </w:r>
    </w:p>
    <w:p>
      <w:pPr>
        <w:pStyle w:val="BodyText"/>
        <w:spacing w:before="9"/>
        <w:rPr>
          <w:rFonts w:ascii="Tahoma"/>
          <w:sz w:val="12"/>
        </w:rPr>
      </w:pPr>
    </w:p>
    <w:p>
      <w:pPr>
        <w:pStyle w:val="Heading2"/>
        <w:spacing w:line="352" w:lineRule="auto" w:before="104"/>
        <w:ind w:left="266" w:right="491"/>
      </w:pPr>
      <w:r>
        <w:rPr>
          <w:color w:val="2A3F4D"/>
          <w:w w:val="105"/>
        </w:rPr>
        <w:t>Last year, our Market Outlook theme was “it’s getting late,” which accurately forecast what happened in 2018: an expansion of the late-stage business cycle and an increasingly bumpy ride for stock markets. We’ve already seen declining growth rates in 2018, and heading into 2019 there are signs that an economic peak and potential recession may be coming. Rising interest rates, declining liquidity, and sluggish global growth—with trade conflicts as an additional headwind—may weigh on economic growth and market performance in 2019.</w:t>
      </w:r>
    </w:p>
    <w:p>
      <w:pPr>
        <w:spacing w:line="352" w:lineRule="auto" w:before="8"/>
        <w:ind w:left="266" w:right="491" w:firstLine="0"/>
        <w:jc w:val="left"/>
        <w:rPr>
          <w:sz w:val="24"/>
        </w:rPr>
      </w:pPr>
      <w:r>
        <w:rPr>
          <w:color w:val="2A3F4D"/>
          <w:w w:val="105"/>
          <w:sz w:val="24"/>
        </w:rPr>
        <w:t>Investors should be prepared for increasing market volatility, and possibly even a bear market, in the coming year.</w:t>
      </w:r>
    </w:p>
    <w:p>
      <w:pPr>
        <w:pStyle w:val="BodyText"/>
        <w:spacing w:before="7"/>
        <w:rPr>
          <w:sz w:val="35"/>
        </w:rPr>
      </w:pPr>
    </w:p>
    <w:p>
      <w:pPr>
        <w:spacing w:line="352" w:lineRule="auto" w:before="0"/>
        <w:ind w:left="266" w:right="491" w:firstLine="0"/>
        <w:jc w:val="left"/>
        <w:rPr>
          <w:sz w:val="24"/>
        </w:rPr>
      </w:pPr>
      <w:r>
        <w:rPr>
          <w:color w:val="2A3F4D"/>
          <w:w w:val="105"/>
          <w:sz w:val="24"/>
        </w:rPr>
        <w:t>Each section in this 2019 Schwab Market Outlook—U.S. Stocks &amp; Economy, Global Stocks &amp; Economy, and Fixed Income—will discuss ways to prepare for potentially changing  conditions. Having a financial plan and an appropriately diversified portfolio are two key first steps for weathering any market environment. Note that this is just a one-year outlook, and investors</w:t>
      </w:r>
      <w:r>
        <w:rPr>
          <w:color w:val="2A3F4D"/>
          <w:spacing w:val="12"/>
          <w:w w:val="105"/>
          <w:sz w:val="24"/>
        </w:rPr>
        <w:t> </w:t>
      </w:r>
      <w:r>
        <w:rPr>
          <w:color w:val="2A3F4D"/>
          <w:w w:val="105"/>
          <w:sz w:val="24"/>
        </w:rPr>
        <w:t>should</w:t>
      </w:r>
      <w:r>
        <w:rPr>
          <w:color w:val="2A3F4D"/>
          <w:spacing w:val="13"/>
          <w:w w:val="105"/>
          <w:sz w:val="24"/>
        </w:rPr>
        <w:t> </w:t>
      </w:r>
      <w:r>
        <w:rPr>
          <w:color w:val="2A3F4D"/>
          <w:w w:val="105"/>
          <w:sz w:val="24"/>
        </w:rPr>
        <w:t>keep</w:t>
      </w:r>
      <w:r>
        <w:rPr>
          <w:color w:val="2A3F4D"/>
          <w:spacing w:val="13"/>
          <w:w w:val="105"/>
          <w:sz w:val="24"/>
        </w:rPr>
        <w:t> </w:t>
      </w:r>
      <w:r>
        <w:rPr>
          <w:color w:val="2A3F4D"/>
          <w:w w:val="105"/>
          <w:sz w:val="24"/>
        </w:rPr>
        <w:t>their</w:t>
      </w:r>
      <w:r>
        <w:rPr>
          <w:color w:val="2A3F4D"/>
          <w:spacing w:val="13"/>
          <w:w w:val="105"/>
          <w:sz w:val="24"/>
        </w:rPr>
        <w:t> </w:t>
      </w:r>
      <w:r>
        <w:rPr>
          <w:color w:val="2A3F4D"/>
          <w:w w:val="105"/>
          <w:sz w:val="24"/>
        </w:rPr>
        <w:t>investing</w:t>
      </w:r>
      <w:r>
        <w:rPr>
          <w:color w:val="2A3F4D"/>
          <w:spacing w:val="13"/>
          <w:w w:val="105"/>
          <w:sz w:val="24"/>
        </w:rPr>
        <w:t> </w:t>
      </w:r>
      <w:r>
        <w:rPr>
          <w:color w:val="2A3F4D"/>
          <w:w w:val="105"/>
          <w:sz w:val="24"/>
        </w:rPr>
        <w:t>time</w:t>
      </w:r>
      <w:r>
        <w:rPr>
          <w:color w:val="2A3F4D"/>
          <w:spacing w:val="13"/>
          <w:w w:val="105"/>
          <w:sz w:val="24"/>
        </w:rPr>
        <w:t> </w:t>
      </w:r>
      <w:r>
        <w:rPr>
          <w:color w:val="2A3F4D"/>
          <w:w w:val="105"/>
          <w:sz w:val="24"/>
        </w:rPr>
        <w:t>horizon</w:t>
      </w:r>
      <w:r>
        <w:rPr>
          <w:color w:val="2A3F4D"/>
          <w:spacing w:val="13"/>
          <w:w w:val="105"/>
          <w:sz w:val="24"/>
        </w:rPr>
        <w:t> </w:t>
      </w:r>
      <w:r>
        <w:rPr>
          <w:color w:val="2A3F4D"/>
          <w:w w:val="105"/>
          <w:sz w:val="24"/>
        </w:rPr>
        <w:t>in</w:t>
      </w:r>
      <w:r>
        <w:rPr>
          <w:color w:val="2A3F4D"/>
          <w:spacing w:val="13"/>
          <w:w w:val="105"/>
          <w:sz w:val="24"/>
        </w:rPr>
        <w:t> </w:t>
      </w:r>
      <w:r>
        <w:rPr>
          <w:color w:val="2A3F4D"/>
          <w:w w:val="105"/>
          <w:sz w:val="24"/>
        </w:rPr>
        <w:t>mind</w:t>
      </w:r>
      <w:r>
        <w:rPr>
          <w:color w:val="2A3F4D"/>
          <w:spacing w:val="13"/>
          <w:w w:val="105"/>
          <w:sz w:val="24"/>
        </w:rPr>
        <w:t> </w:t>
      </w:r>
      <w:r>
        <w:rPr>
          <w:color w:val="2A3F4D"/>
          <w:w w:val="105"/>
          <w:sz w:val="24"/>
        </w:rPr>
        <w:t>before</w:t>
      </w:r>
      <w:r>
        <w:rPr>
          <w:color w:val="2A3F4D"/>
          <w:spacing w:val="12"/>
          <w:w w:val="105"/>
          <w:sz w:val="24"/>
        </w:rPr>
        <w:t> </w:t>
      </w:r>
      <w:r>
        <w:rPr>
          <w:color w:val="2A3F4D"/>
          <w:w w:val="105"/>
          <w:sz w:val="24"/>
        </w:rPr>
        <w:t>reacting</w:t>
      </w:r>
      <w:r>
        <w:rPr>
          <w:color w:val="2A3F4D"/>
          <w:spacing w:val="13"/>
          <w:w w:val="105"/>
          <w:sz w:val="24"/>
        </w:rPr>
        <w:t> </w:t>
      </w:r>
      <w:r>
        <w:rPr>
          <w:color w:val="2A3F4D"/>
          <w:w w:val="105"/>
          <w:sz w:val="24"/>
        </w:rPr>
        <w:t>to</w:t>
      </w:r>
      <w:r>
        <w:rPr>
          <w:color w:val="2A3F4D"/>
          <w:spacing w:val="13"/>
          <w:w w:val="105"/>
          <w:sz w:val="24"/>
        </w:rPr>
        <w:t> </w:t>
      </w:r>
      <w:r>
        <w:rPr>
          <w:color w:val="2A3F4D"/>
          <w:w w:val="105"/>
          <w:sz w:val="24"/>
        </w:rPr>
        <w:t>any</w:t>
      </w:r>
      <w:r>
        <w:rPr>
          <w:color w:val="2A3F4D"/>
          <w:spacing w:val="13"/>
          <w:w w:val="105"/>
          <w:sz w:val="24"/>
        </w:rPr>
        <w:t> </w:t>
      </w:r>
      <w:r>
        <w:rPr>
          <w:color w:val="2A3F4D"/>
          <w:w w:val="105"/>
          <w:sz w:val="24"/>
        </w:rPr>
        <w:t>forecasts.</w:t>
      </w:r>
    </w:p>
    <w:p>
      <w:pPr>
        <w:pStyle w:val="BodyText"/>
        <w:rPr>
          <w:sz w:val="20"/>
        </w:rPr>
      </w:pPr>
    </w:p>
    <w:p>
      <w:pPr>
        <w:pStyle w:val="BodyText"/>
        <w:spacing w:before="7"/>
        <w:rPr>
          <w:sz w:val="20"/>
        </w:rPr>
      </w:pPr>
    </w:p>
    <w:p>
      <w:pPr>
        <w:spacing w:before="103"/>
        <w:ind w:left="364" w:right="0" w:firstLine="0"/>
        <w:jc w:val="left"/>
        <w:rPr>
          <w:sz w:val="22"/>
        </w:rPr>
      </w:pPr>
      <w:r>
        <w:rPr>
          <w:color w:val="2A3F4D"/>
          <w:w w:val="105"/>
          <w:sz w:val="22"/>
        </w:rPr>
        <w:t>Key points:</w:t>
      </w:r>
    </w:p>
    <w:p>
      <w:pPr>
        <w:pStyle w:val="BodyText"/>
        <w:spacing w:before="3"/>
      </w:pPr>
    </w:p>
    <w:p>
      <w:pPr>
        <w:pStyle w:val="ListParagraph"/>
        <w:numPr>
          <w:ilvl w:val="0"/>
          <w:numId w:val="1"/>
        </w:numPr>
        <w:tabs>
          <w:tab w:pos="540" w:val="left" w:leader="none"/>
        </w:tabs>
        <w:spacing w:line="240" w:lineRule="auto" w:before="0" w:after="0"/>
        <w:ind w:left="539" w:right="0" w:hanging="176"/>
        <w:jc w:val="left"/>
        <w:rPr>
          <w:sz w:val="22"/>
        </w:rPr>
      </w:pPr>
      <w:r>
        <w:rPr>
          <w:color w:val="2A3F4D"/>
          <w:w w:val="105"/>
          <w:sz w:val="22"/>
        </w:rPr>
        <w:t>We</w:t>
      </w:r>
      <w:r>
        <w:rPr>
          <w:color w:val="2A3F4D"/>
          <w:spacing w:val="10"/>
          <w:w w:val="105"/>
          <w:sz w:val="22"/>
        </w:rPr>
        <w:t> </w:t>
      </w:r>
      <w:r>
        <w:rPr>
          <w:color w:val="2A3F4D"/>
          <w:w w:val="105"/>
          <w:sz w:val="22"/>
        </w:rPr>
        <w:t>expect</w:t>
      </w:r>
      <w:r>
        <w:rPr>
          <w:color w:val="2A3F4D"/>
          <w:spacing w:val="12"/>
          <w:w w:val="105"/>
          <w:sz w:val="22"/>
        </w:rPr>
        <w:t> </w:t>
      </w:r>
      <w:r>
        <w:rPr>
          <w:color w:val="2A3F4D"/>
          <w:w w:val="105"/>
          <w:sz w:val="22"/>
        </w:rPr>
        <w:t>U.S.</w:t>
      </w:r>
      <w:r>
        <w:rPr>
          <w:color w:val="2A3F4D"/>
          <w:spacing w:val="14"/>
          <w:w w:val="105"/>
          <w:sz w:val="22"/>
        </w:rPr>
        <w:t> </w:t>
      </w:r>
      <w:r>
        <w:rPr>
          <w:color w:val="2A3F4D"/>
          <w:w w:val="105"/>
          <w:sz w:val="22"/>
        </w:rPr>
        <w:t>economic</w:t>
      </w:r>
      <w:r>
        <w:rPr>
          <w:color w:val="2A3F4D"/>
          <w:spacing w:val="13"/>
          <w:w w:val="105"/>
          <w:sz w:val="22"/>
        </w:rPr>
        <w:t> </w:t>
      </w:r>
      <w:r>
        <w:rPr>
          <w:color w:val="2A3F4D"/>
          <w:w w:val="105"/>
          <w:sz w:val="22"/>
        </w:rPr>
        <w:t>growth</w:t>
      </w:r>
      <w:r>
        <w:rPr>
          <w:color w:val="2A3F4D"/>
          <w:spacing w:val="11"/>
          <w:w w:val="105"/>
          <w:sz w:val="22"/>
        </w:rPr>
        <w:t> </w:t>
      </w:r>
      <w:r>
        <w:rPr>
          <w:color w:val="2A3F4D"/>
          <w:w w:val="105"/>
          <w:sz w:val="22"/>
        </w:rPr>
        <w:t>to</w:t>
      </w:r>
      <w:r>
        <w:rPr>
          <w:color w:val="2A3F4D"/>
          <w:spacing w:val="11"/>
          <w:w w:val="105"/>
          <w:sz w:val="22"/>
        </w:rPr>
        <w:t> </w:t>
      </w:r>
      <w:r>
        <w:rPr>
          <w:color w:val="2A3F4D"/>
          <w:w w:val="105"/>
          <w:sz w:val="22"/>
        </w:rPr>
        <w:t>slow</w:t>
      </w:r>
      <w:r>
        <w:rPr>
          <w:color w:val="2A3F4D"/>
          <w:spacing w:val="7"/>
          <w:w w:val="105"/>
          <w:sz w:val="22"/>
        </w:rPr>
        <w:t> </w:t>
      </w:r>
      <w:r>
        <w:rPr>
          <w:color w:val="2A3F4D"/>
          <w:w w:val="105"/>
          <w:sz w:val="22"/>
        </w:rPr>
        <w:t>in</w:t>
      </w:r>
      <w:r>
        <w:rPr>
          <w:color w:val="2A3F4D"/>
          <w:spacing w:val="8"/>
          <w:w w:val="105"/>
          <w:sz w:val="22"/>
        </w:rPr>
        <w:t> </w:t>
      </w:r>
      <w:r>
        <w:rPr>
          <w:color w:val="2A3F4D"/>
          <w:w w:val="105"/>
          <w:sz w:val="22"/>
        </w:rPr>
        <w:t>2019,</w:t>
      </w:r>
      <w:r>
        <w:rPr>
          <w:color w:val="2A3F4D"/>
          <w:spacing w:val="11"/>
          <w:w w:val="105"/>
          <w:sz w:val="22"/>
        </w:rPr>
        <w:t> </w:t>
      </w:r>
      <w:r>
        <w:rPr>
          <w:color w:val="2A3F4D"/>
          <w:w w:val="105"/>
          <w:sz w:val="22"/>
        </w:rPr>
        <w:t>with</w:t>
      </w:r>
      <w:r>
        <w:rPr>
          <w:color w:val="2A3F4D"/>
          <w:spacing w:val="9"/>
          <w:w w:val="105"/>
          <w:sz w:val="22"/>
        </w:rPr>
        <w:t> </w:t>
      </w:r>
      <w:r>
        <w:rPr>
          <w:color w:val="2A3F4D"/>
          <w:w w:val="105"/>
          <w:sz w:val="22"/>
        </w:rPr>
        <w:t>the</w:t>
      </w:r>
      <w:r>
        <w:rPr>
          <w:color w:val="2A3F4D"/>
          <w:spacing w:val="10"/>
          <w:w w:val="105"/>
          <w:sz w:val="22"/>
        </w:rPr>
        <w:t> </w:t>
      </w:r>
      <w:r>
        <w:rPr>
          <w:color w:val="2A3F4D"/>
          <w:w w:val="105"/>
          <w:sz w:val="22"/>
        </w:rPr>
        <w:t>risk</w:t>
      </w:r>
      <w:r>
        <w:rPr>
          <w:color w:val="2A3F4D"/>
          <w:spacing w:val="11"/>
          <w:w w:val="105"/>
          <w:sz w:val="22"/>
        </w:rPr>
        <w:t> </w:t>
      </w:r>
      <w:r>
        <w:rPr>
          <w:color w:val="2A3F4D"/>
          <w:w w:val="105"/>
          <w:sz w:val="22"/>
        </w:rPr>
        <w:t>of</w:t>
      </w:r>
      <w:r>
        <w:rPr>
          <w:color w:val="2A3F4D"/>
          <w:spacing w:val="11"/>
          <w:w w:val="105"/>
          <w:sz w:val="22"/>
        </w:rPr>
        <w:t> </w:t>
      </w:r>
      <w:r>
        <w:rPr>
          <w:color w:val="2A3F4D"/>
          <w:w w:val="105"/>
          <w:sz w:val="22"/>
        </w:rPr>
        <w:t>a</w:t>
      </w:r>
      <w:r>
        <w:rPr>
          <w:color w:val="2A3F4D"/>
          <w:spacing w:val="10"/>
          <w:w w:val="105"/>
          <w:sz w:val="22"/>
        </w:rPr>
        <w:t> </w:t>
      </w:r>
      <w:r>
        <w:rPr>
          <w:color w:val="2A3F4D"/>
          <w:w w:val="105"/>
          <w:sz w:val="22"/>
        </w:rPr>
        <w:t>recession</w:t>
      </w:r>
      <w:r>
        <w:rPr>
          <w:color w:val="2A3F4D"/>
          <w:spacing w:val="11"/>
          <w:w w:val="105"/>
          <w:sz w:val="22"/>
        </w:rPr>
        <w:t> </w:t>
      </w:r>
      <w:r>
        <w:rPr>
          <w:color w:val="2A3F4D"/>
          <w:w w:val="105"/>
          <w:sz w:val="22"/>
        </w:rPr>
        <w:t>rising.</w:t>
      </w:r>
    </w:p>
    <w:p>
      <w:pPr>
        <w:pStyle w:val="BodyText"/>
        <w:spacing w:before="7"/>
      </w:pPr>
    </w:p>
    <w:p>
      <w:pPr>
        <w:pStyle w:val="ListParagraph"/>
        <w:numPr>
          <w:ilvl w:val="0"/>
          <w:numId w:val="1"/>
        </w:numPr>
        <w:tabs>
          <w:tab w:pos="540" w:val="left" w:leader="none"/>
        </w:tabs>
        <w:spacing w:line="235" w:lineRule="auto" w:before="1" w:after="0"/>
        <w:ind w:left="539" w:right="1108" w:hanging="176"/>
        <w:jc w:val="left"/>
        <w:rPr>
          <w:sz w:val="22"/>
        </w:rPr>
      </w:pPr>
      <w:r>
        <w:rPr>
          <w:color w:val="2A3F4D"/>
          <w:w w:val="110"/>
          <w:sz w:val="22"/>
        </w:rPr>
        <w:t>Earnings</w:t>
      </w:r>
      <w:r>
        <w:rPr>
          <w:color w:val="2A3F4D"/>
          <w:spacing w:val="-15"/>
          <w:w w:val="110"/>
          <w:sz w:val="22"/>
        </w:rPr>
        <w:t> </w:t>
      </w:r>
      <w:r>
        <w:rPr>
          <w:color w:val="2A3F4D"/>
          <w:w w:val="110"/>
          <w:sz w:val="22"/>
        </w:rPr>
        <w:t>growth</w:t>
      </w:r>
      <w:r>
        <w:rPr>
          <w:color w:val="2A3F4D"/>
          <w:spacing w:val="-15"/>
          <w:w w:val="110"/>
          <w:sz w:val="22"/>
        </w:rPr>
        <w:t> </w:t>
      </w:r>
      <w:r>
        <w:rPr>
          <w:color w:val="2A3F4D"/>
          <w:w w:val="110"/>
          <w:sz w:val="22"/>
        </w:rPr>
        <w:t>likely</w:t>
      </w:r>
      <w:r>
        <w:rPr>
          <w:color w:val="2A3F4D"/>
          <w:spacing w:val="-15"/>
          <w:w w:val="110"/>
          <w:sz w:val="22"/>
        </w:rPr>
        <w:t> </w:t>
      </w:r>
      <w:r>
        <w:rPr>
          <w:color w:val="2A3F4D"/>
          <w:w w:val="110"/>
          <w:sz w:val="22"/>
        </w:rPr>
        <w:t>will</w:t>
      </w:r>
      <w:r>
        <w:rPr>
          <w:color w:val="2A3F4D"/>
          <w:spacing w:val="-15"/>
          <w:w w:val="110"/>
          <w:sz w:val="22"/>
        </w:rPr>
        <w:t> </w:t>
      </w:r>
      <w:r>
        <w:rPr>
          <w:color w:val="2A3F4D"/>
          <w:w w:val="110"/>
          <w:sz w:val="22"/>
        </w:rPr>
        <w:t>slow,</w:t>
      </w:r>
      <w:r>
        <w:rPr>
          <w:color w:val="2A3F4D"/>
          <w:spacing w:val="-16"/>
          <w:w w:val="110"/>
          <w:sz w:val="22"/>
        </w:rPr>
        <w:t> </w:t>
      </w:r>
      <w:r>
        <w:rPr>
          <w:color w:val="2A3F4D"/>
          <w:w w:val="110"/>
          <w:sz w:val="22"/>
        </w:rPr>
        <w:t>as</w:t>
      </w:r>
      <w:r>
        <w:rPr>
          <w:color w:val="2A3F4D"/>
          <w:spacing w:val="-16"/>
          <w:w w:val="110"/>
          <w:sz w:val="22"/>
        </w:rPr>
        <w:t> </w:t>
      </w:r>
      <w:r>
        <w:rPr>
          <w:color w:val="2A3F4D"/>
          <w:w w:val="110"/>
          <w:sz w:val="22"/>
        </w:rPr>
        <w:t>year-over-year</w:t>
      </w:r>
      <w:r>
        <w:rPr>
          <w:color w:val="2A3F4D"/>
          <w:spacing w:val="-12"/>
          <w:w w:val="110"/>
          <w:sz w:val="22"/>
        </w:rPr>
        <w:t> </w:t>
      </w:r>
      <w:r>
        <w:rPr>
          <w:color w:val="2A3F4D"/>
          <w:w w:val="110"/>
          <w:sz w:val="22"/>
        </w:rPr>
        <w:t>comparisons</w:t>
      </w:r>
      <w:r>
        <w:rPr>
          <w:color w:val="2A3F4D"/>
          <w:spacing w:val="-13"/>
          <w:w w:val="110"/>
          <w:sz w:val="22"/>
        </w:rPr>
        <w:t> </w:t>
      </w:r>
      <w:r>
        <w:rPr>
          <w:color w:val="2A3F4D"/>
          <w:w w:val="110"/>
          <w:sz w:val="22"/>
        </w:rPr>
        <w:t>with</w:t>
      </w:r>
      <w:r>
        <w:rPr>
          <w:color w:val="2A3F4D"/>
          <w:spacing w:val="-17"/>
          <w:w w:val="110"/>
          <w:sz w:val="22"/>
        </w:rPr>
        <w:t> </w:t>
      </w:r>
      <w:r>
        <w:rPr>
          <w:color w:val="2A3F4D"/>
          <w:w w:val="110"/>
          <w:sz w:val="22"/>
        </w:rPr>
        <w:t>strong</w:t>
      </w:r>
      <w:r>
        <w:rPr>
          <w:color w:val="2A3F4D"/>
          <w:spacing w:val="-15"/>
          <w:w w:val="110"/>
          <w:sz w:val="22"/>
        </w:rPr>
        <w:t> </w:t>
      </w:r>
      <w:r>
        <w:rPr>
          <w:color w:val="2A3F4D"/>
          <w:w w:val="110"/>
          <w:sz w:val="22"/>
        </w:rPr>
        <w:t>2018</w:t>
      </w:r>
      <w:r>
        <w:rPr>
          <w:color w:val="2A3F4D"/>
          <w:spacing w:val="-15"/>
          <w:w w:val="110"/>
          <w:sz w:val="22"/>
        </w:rPr>
        <w:t> </w:t>
      </w:r>
      <w:r>
        <w:rPr>
          <w:color w:val="2A3F4D"/>
          <w:w w:val="110"/>
          <w:sz w:val="22"/>
        </w:rPr>
        <w:t>earnings become more</w:t>
      </w:r>
      <w:r>
        <w:rPr>
          <w:color w:val="2A3F4D"/>
          <w:spacing w:val="14"/>
          <w:w w:val="110"/>
          <w:sz w:val="22"/>
        </w:rPr>
        <w:t> </w:t>
      </w:r>
      <w:r>
        <w:rPr>
          <w:color w:val="2A3F4D"/>
          <w:w w:val="110"/>
          <w:sz w:val="22"/>
        </w:rPr>
        <w:t>challenging.</w:t>
      </w:r>
    </w:p>
    <w:p>
      <w:pPr>
        <w:pStyle w:val="BodyText"/>
        <w:spacing w:before="5"/>
      </w:pPr>
    </w:p>
    <w:p>
      <w:pPr>
        <w:pStyle w:val="ListParagraph"/>
        <w:numPr>
          <w:ilvl w:val="0"/>
          <w:numId w:val="1"/>
        </w:numPr>
        <w:tabs>
          <w:tab w:pos="540" w:val="left" w:leader="none"/>
        </w:tabs>
        <w:spacing w:line="240" w:lineRule="auto" w:before="0" w:after="0"/>
        <w:ind w:left="539" w:right="0" w:hanging="177"/>
        <w:jc w:val="left"/>
        <w:rPr>
          <w:sz w:val="22"/>
        </w:rPr>
      </w:pPr>
      <w:r>
        <w:rPr>
          <w:color w:val="2A3F4D"/>
          <w:w w:val="105"/>
          <w:sz w:val="22"/>
        </w:rPr>
        <w:t>Trade</w:t>
      </w:r>
      <w:r>
        <w:rPr>
          <w:color w:val="2A3F4D"/>
          <w:spacing w:val="11"/>
          <w:w w:val="105"/>
          <w:sz w:val="22"/>
        </w:rPr>
        <w:t> </w:t>
      </w:r>
      <w:r>
        <w:rPr>
          <w:color w:val="2A3F4D"/>
          <w:w w:val="105"/>
          <w:sz w:val="22"/>
        </w:rPr>
        <w:t>tensions</w:t>
      </w:r>
      <w:r>
        <w:rPr>
          <w:color w:val="2A3F4D"/>
          <w:spacing w:val="9"/>
          <w:w w:val="105"/>
          <w:sz w:val="22"/>
        </w:rPr>
        <w:t> </w:t>
      </w:r>
      <w:r>
        <w:rPr>
          <w:color w:val="2A3F4D"/>
          <w:w w:val="105"/>
          <w:sz w:val="22"/>
        </w:rPr>
        <w:t>remain</w:t>
      </w:r>
      <w:r>
        <w:rPr>
          <w:color w:val="2A3F4D"/>
          <w:spacing w:val="10"/>
          <w:w w:val="105"/>
          <w:sz w:val="22"/>
        </w:rPr>
        <w:t> </w:t>
      </w:r>
      <w:r>
        <w:rPr>
          <w:color w:val="2A3F4D"/>
          <w:w w:val="105"/>
          <w:sz w:val="22"/>
        </w:rPr>
        <w:t>a</w:t>
      </w:r>
      <w:r>
        <w:rPr>
          <w:color w:val="2A3F4D"/>
          <w:spacing w:val="8"/>
          <w:w w:val="105"/>
          <w:sz w:val="22"/>
        </w:rPr>
        <w:t> </w:t>
      </w:r>
      <w:r>
        <w:rPr>
          <w:color w:val="2A3F4D"/>
          <w:w w:val="105"/>
          <w:sz w:val="22"/>
        </w:rPr>
        <w:t>risk,</w:t>
      </w:r>
      <w:r>
        <w:rPr>
          <w:color w:val="2A3F4D"/>
          <w:spacing w:val="9"/>
          <w:w w:val="105"/>
          <w:sz w:val="22"/>
        </w:rPr>
        <w:t> </w:t>
      </w:r>
      <w:r>
        <w:rPr>
          <w:color w:val="2A3F4D"/>
          <w:w w:val="105"/>
          <w:sz w:val="22"/>
        </w:rPr>
        <w:t>but</w:t>
      </w:r>
      <w:r>
        <w:rPr>
          <w:color w:val="2A3F4D"/>
          <w:spacing w:val="9"/>
          <w:w w:val="105"/>
          <w:sz w:val="22"/>
        </w:rPr>
        <w:t> </w:t>
      </w:r>
      <w:r>
        <w:rPr>
          <w:color w:val="2A3F4D"/>
          <w:w w:val="105"/>
          <w:sz w:val="22"/>
        </w:rPr>
        <w:t>inflation</w:t>
      </w:r>
      <w:r>
        <w:rPr>
          <w:color w:val="2A3F4D"/>
          <w:spacing w:val="9"/>
          <w:w w:val="105"/>
          <w:sz w:val="22"/>
        </w:rPr>
        <w:t> </w:t>
      </w:r>
      <w:r>
        <w:rPr>
          <w:color w:val="2A3F4D"/>
          <w:w w:val="105"/>
          <w:sz w:val="22"/>
        </w:rPr>
        <w:t>and</w:t>
      </w:r>
      <w:r>
        <w:rPr>
          <w:color w:val="2A3F4D"/>
          <w:spacing w:val="10"/>
          <w:w w:val="105"/>
          <w:sz w:val="22"/>
        </w:rPr>
        <w:t> </w:t>
      </w:r>
      <w:r>
        <w:rPr>
          <w:color w:val="2A3F4D"/>
          <w:w w:val="105"/>
          <w:sz w:val="22"/>
        </w:rPr>
        <w:t>interest</w:t>
      </w:r>
      <w:r>
        <w:rPr>
          <w:color w:val="2A3F4D"/>
          <w:spacing w:val="9"/>
          <w:w w:val="105"/>
          <w:sz w:val="22"/>
        </w:rPr>
        <w:t> </w:t>
      </w:r>
      <w:r>
        <w:rPr>
          <w:color w:val="2A3F4D"/>
          <w:w w:val="105"/>
          <w:sz w:val="22"/>
        </w:rPr>
        <w:t>rates</w:t>
      </w:r>
      <w:r>
        <w:rPr>
          <w:color w:val="2A3F4D"/>
          <w:spacing w:val="8"/>
          <w:w w:val="105"/>
          <w:sz w:val="22"/>
        </w:rPr>
        <w:t> </w:t>
      </w:r>
      <w:r>
        <w:rPr>
          <w:color w:val="2A3F4D"/>
          <w:w w:val="105"/>
          <w:sz w:val="22"/>
        </w:rPr>
        <w:t>are</w:t>
      </w:r>
      <w:r>
        <w:rPr>
          <w:color w:val="2A3F4D"/>
          <w:spacing w:val="9"/>
          <w:w w:val="105"/>
          <w:sz w:val="22"/>
        </w:rPr>
        <w:t> </w:t>
      </w:r>
      <w:r>
        <w:rPr>
          <w:color w:val="2A3F4D"/>
          <w:w w:val="105"/>
          <w:sz w:val="22"/>
        </w:rPr>
        <w:t>the</w:t>
      </w:r>
      <w:r>
        <w:rPr>
          <w:color w:val="2A3F4D"/>
          <w:spacing w:val="9"/>
          <w:w w:val="105"/>
          <w:sz w:val="22"/>
        </w:rPr>
        <w:t> </w:t>
      </w:r>
      <w:r>
        <w:rPr>
          <w:color w:val="2A3F4D"/>
          <w:w w:val="105"/>
          <w:sz w:val="22"/>
        </w:rPr>
        <w:t>key</w:t>
      </w:r>
      <w:r>
        <w:rPr>
          <w:color w:val="2A3F4D"/>
          <w:spacing w:val="8"/>
          <w:w w:val="105"/>
          <w:sz w:val="22"/>
        </w:rPr>
        <w:t> </w:t>
      </w:r>
      <w:r>
        <w:rPr>
          <w:color w:val="2A3F4D"/>
          <w:w w:val="105"/>
          <w:sz w:val="22"/>
        </w:rPr>
        <w:t>indicators</w:t>
      </w:r>
      <w:r>
        <w:rPr>
          <w:color w:val="2A3F4D"/>
          <w:spacing w:val="11"/>
          <w:w w:val="105"/>
          <w:sz w:val="22"/>
        </w:rPr>
        <w:t> </w:t>
      </w:r>
      <w:r>
        <w:rPr>
          <w:color w:val="2A3F4D"/>
          <w:w w:val="105"/>
          <w:sz w:val="22"/>
        </w:rPr>
        <w:t>to</w:t>
      </w:r>
      <w:r>
        <w:rPr>
          <w:color w:val="2A3F4D"/>
          <w:spacing w:val="9"/>
          <w:w w:val="105"/>
          <w:sz w:val="22"/>
        </w:rPr>
        <w:t> </w:t>
      </w:r>
      <w:r>
        <w:rPr>
          <w:color w:val="2A3F4D"/>
          <w:w w:val="105"/>
          <w:sz w:val="22"/>
        </w:rPr>
        <w:t>watch.</w:t>
      </w:r>
    </w:p>
    <w:p>
      <w:pPr>
        <w:pStyle w:val="BodyText"/>
        <w:spacing w:before="7"/>
      </w:pPr>
    </w:p>
    <w:p>
      <w:pPr>
        <w:pStyle w:val="ListParagraph"/>
        <w:numPr>
          <w:ilvl w:val="0"/>
          <w:numId w:val="1"/>
        </w:numPr>
        <w:tabs>
          <w:tab w:pos="540" w:val="left" w:leader="none"/>
        </w:tabs>
        <w:spacing w:line="235" w:lineRule="auto" w:before="0" w:after="0"/>
        <w:ind w:left="539" w:right="714" w:hanging="176"/>
        <w:jc w:val="left"/>
        <w:rPr>
          <w:sz w:val="22"/>
        </w:rPr>
      </w:pPr>
      <w:r>
        <w:rPr>
          <w:color w:val="2A3F4D"/>
          <w:w w:val="105"/>
          <w:sz w:val="22"/>
        </w:rPr>
        <w:t>The Federal Reserve likely will continue to raise short-term interest rates, but at a slower pace than</w:t>
      </w:r>
      <w:r>
        <w:rPr>
          <w:color w:val="2A3F4D"/>
          <w:spacing w:val="6"/>
          <w:w w:val="105"/>
          <w:sz w:val="22"/>
        </w:rPr>
        <w:t> </w:t>
      </w:r>
      <w:r>
        <w:rPr>
          <w:color w:val="2A3F4D"/>
          <w:w w:val="105"/>
          <w:sz w:val="22"/>
        </w:rPr>
        <w:t>in</w:t>
      </w:r>
      <w:r>
        <w:rPr>
          <w:color w:val="2A3F4D"/>
          <w:spacing w:val="10"/>
          <w:w w:val="105"/>
          <w:sz w:val="22"/>
        </w:rPr>
        <w:t> </w:t>
      </w:r>
      <w:r>
        <w:rPr>
          <w:color w:val="2A3F4D"/>
          <w:w w:val="105"/>
          <w:sz w:val="22"/>
        </w:rPr>
        <w:t>the</w:t>
      </w:r>
      <w:r>
        <w:rPr>
          <w:color w:val="2A3F4D"/>
          <w:spacing w:val="10"/>
          <w:w w:val="105"/>
          <w:sz w:val="22"/>
        </w:rPr>
        <w:t> </w:t>
      </w:r>
      <w:r>
        <w:rPr>
          <w:color w:val="2A3F4D"/>
          <w:w w:val="105"/>
          <w:sz w:val="22"/>
        </w:rPr>
        <w:t>past,</w:t>
      </w:r>
      <w:r>
        <w:rPr>
          <w:color w:val="2A3F4D"/>
          <w:spacing w:val="9"/>
          <w:w w:val="105"/>
          <w:sz w:val="22"/>
        </w:rPr>
        <w:t> </w:t>
      </w:r>
      <w:r>
        <w:rPr>
          <w:color w:val="2A3F4D"/>
          <w:w w:val="105"/>
          <w:sz w:val="22"/>
        </w:rPr>
        <w:t>and</w:t>
      </w:r>
      <w:r>
        <w:rPr>
          <w:color w:val="2A3F4D"/>
          <w:spacing w:val="12"/>
          <w:w w:val="105"/>
          <w:sz w:val="22"/>
        </w:rPr>
        <w:t> </w:t>
      </w:r>
      <w:r>
        <w:rPr>
          <w:color w:val="2A3F4D"/>
          <w:w w:val="105"/>
          <w:sz w:val="22"/>
        </w:rPr>
        <w:t>may</w:t>
      </w:r>
      <w:r>
        <w:rPr>
          <w:color w:val="2A3F4D"/>
          <w:spacing w:val="9"/>
          <w:w w:val="105"/>
          <w:sz w:val="22"/>
        </w:rPr>
        <w:t> </w:t>
      </w:r>
      <w:r>
        <w:rPr>
          <w:color w:val="2A3F4D"/>
          <w:w w:val="105"/>
          <w:sz w:val="22"/>
        </w:rPr>
        <w:t>pause</w:t>
      </w:r>
      <w:r>
        <w:rPr>
          <w:color w:val="2A3F4D"/>
          <w:spacing w:val="10"/>
          <w:w w:val="105"/>
          <w:sz w:val="22"/>
        </w:rPr>
        <w:t> </w:t>
      </w:r>
      <w:r>
        <w:rPr>
          <w:color w:val="2A3F4D"/>
          <w:w w:val="105"/>
          <w:sz w:val="22"/>
        </w:rPr>
        <w:t>or</w:t>
      </w:r>
      <w:r>
        <w:rPr>
          <w:color w:val="2A3F4D"/>
          <w:spacing w:val="11"/>
          <w:w w:val="105"/>
          <w:sz w:val="22"/>
        </w:rPr>
        <w:t> </w:t>
      </w:r>
      <w:r>
        <w:rPr>
          <w:color w:val="2A3F4D"/>
          <w:w w:val="105"/>
          <w:sz w:val="22"/>
        </w:rPr>
        <w:t>end</w:t>
      </w:r>
      <w:r>
        <w:rPr>
          <w:color w:val="2A3F4D"/>
          <w:spacing w:val="11"/>
          <w:w w:val="105"/>
          <w:sz w:val="22"/>
        </w:rPr>
        <w:t> </w:t>
      </w:r>
      <w:r>
        <w:rPr>
          <w:color w:val="2A3F4D"/>
          <w:w w:val="105"/>
          <w:sz w:val="22"/>
        </w:rPr>
        <w:t>rate</w:t>
      </w:r>
      <w:r>
        <w:rPr>
          <w:color w:val="2A3F4D"/>
          <w:spacing w:val="10"/>
          <w:w w:val="105"/>
          <w:sz w:val="22"/>
        </w:rPr>
        <w:t> </w:t>
      </w:r>
      <w:r>
        <w:rPr>
          <w:color w:val="2A3F4D"/>
          <w:w w:val="105"/>
          <w:sz w:val="22"/>
        </w:rPr>
        <w:t>hikes</w:t>
      </w:r>
      <w:r>
        <w:rPr>
          <w:color w:val="2A3F4D"/>
          <w:spacing w:val="9"/>
          <w:w w:val="105"/>
          <w:sz w:val="22"/>
        </w:rPr>
        <w:t> </w:t>
      </w:r>
      <w:r>
        <w:rPr>
          <w:color w:val="2A3F4D"/>
          <w:w w:val="105"/>
          <w:sz w:val="22"/>
        </w:rPr>
        <w:t>by</w:t>
      </w:r>
      <w:r>
        <w:rPr>
          <w:color w:val="2A3F4D"/>
          <w:spacing w:val="11"/>
          <w:w w:val="105"/>
          <w:sz w:val="22"/>
        </w:rPr>
        <w:t> </w:t>
      </w:r>
      <w:r>
        <w:rPr>
          <w:color w:val="2A3F4D"/>
          <w:w w:val="105"/>
          <w:sz w:val="22"/>
        </w:rPr>
        <w:t>mid-2019.</w:t>
      </w:r>
    </w:p>
    <w:p>
      <w:pPr>
        <w:pStyle w:val="BodyText"/>
        <w:spacing w:before="5"/>
      </w:pPr>
    </w:p>
    <w:p>
      <w:pPr>
        <w:pStyle w:val="ListParagraph"/>
        <w:numPr>
          <w:ilvl w:val="0"/>
          <w:numId w:val="1"/>
        </w:numPr>
        <w:tabs>
          <w:tab w:pos="540" w:val="left" w:leader="none"/>
        </w:tabs>
        <w:spacing w:line="240" w:lineRule="auto" w:before="0" w:after="0"/>
        <w:ind w:left="539" w:right="0" w:hanging="177"/>
        <w:jc w:val="left"/>
        <w:rPr>
          <w:sz w:val="22"/>
        </w:rPr>
      </w:pPr>
      <w:r>
        <w:rPr>
          <w:color w:val="2A3F4D"/>
          <w:w w:val="105"/>
          <w:sz w:val="22"/>
        </w:rPr>
        <w:t>Ten-year</w:t>
      </w:r>
      <w:r>
        <w:rPr>
          <w:color w:val="2A3F4D"/>
          <w:spacing w:val="11"/>
          <w:w w:val="105"/>
          <w:sz w:val="22"/>
        </w:rPr>
        <w:t> </w:t>
      </w:r>
      <w:r>
        <w:rPr>
          <w:color w:val="2A3F4D"/>
          <w:w w:val="105"/>
          <w:sz w:val="22"/>
        </w:rPr>
        <w:t>Treasury</w:t>
      </w:r>
      <w:r>
        <w:rPr>
          <w:color w:val="2A3F4D"/>
          <w:spacing w:val="10"/>
          <w:w w:val="105"/>
          <w:sz w:val="22"/>
        </w:rPr>
        <w:t> </w:t>
      </w:r>
      <w:r>
        <w:rPr>
          <w:color w:val="2A3F4D"/>
          <w:w w:val="105"/>
          <w:sz w:val="22"/>
        </w:rPr>
        <w:t>yields</w:t>
      </w:r>
      <w:r>
        <w:rPr>
          <w:color w:val="2A3F4D"/>
          <w:spacing w:val="10"/>
          <w:w w:val="105"/>
          <w:sz w:val="22"/>
        </w:rPr>
        <w:t> </w:t>
      </w:r>
      <w:r>
        <w:rPr>
          <w:color w:val="2A3F4D"/>
          <w:w w:val="105"/>
          <w:sz w:val="22"/>
        </w:rPr>
        <w:t>likely</w:t>
      </w:r>
      <w:r>
        <w:rPr>
          <w:color w:val="2A3F4D"/>
          <w:spacing w:val="9"/>
          <w:w w:val="105"/>
          <w:sz w:val="22"/>
        </w:rPr>
        <w:t> </w:t>
      </w:r>
      <w:r>
        <w:rPr>
          <w:color w:val="2A3F4D"/>
          <w:w w:val="105"/>
          <w:sz w:val="22"/>
        </w:rPr>
        <w:t>already</w:t>
      </w:r>
      <w:r>
        <w:rPr>
          <w:color w:val="2A3F4D"/>
          <w:spacing w:val="10"/>
          <w:w w:val="105"/>
          <w:sz w:val="22"/>
        </w:rPr>
        <w:t> </w:t>
      </w:r>
      <w:r>
        <w:rPr>
          <w:color w:val="2A3F4D"/>
          <w:w w:val="105"/>
          <w:sz w:val="22"/>
        </w:rPr>
        <w:t>have</w:t>
      </w:r>
      <w:r>
        <w:rPr>
          <w:color w:val="2A3F4D"/>
          <w:spacing w:val="9"/>
          <w:w w:val="105"/>
          <w:sz w:val="22"/>
        </w:rPr>
        <w:t> </w:t>
      </w:r>
      <w:r>
        <w:rPr>
          <w:color w:val="2A3F4D"/>
          <w:w w:val="105"/>
          <w:sz w:val="22"/>
        </w:rPr>
        <w:t>peaked</w:t>
      </w:r>
      <w:r>
        <w:rPr>
          <w:color w:val="2A3F4D"/>
          <w:spacing w:val="11"/>
          <w:w w:val="105"/>
          <w:sz w:val="22"/>
        </w:rPr>
        <w:t> </w:t>
      </w:r>
      <w:r>
        <w:rPr>
          <w:color w:val="2A3F4D"/>
          <w:w w:val="105"/>
          <w:sz w:val="22"/>
        </w:rPr>
        <w:t>at</w:t>
      </w:r>
      <w:r>
        <w:rPr>
          <w:color w:val="2A3F4D"/>
          <w:spacing w:val="8"/>
          <w:w w:val="105"/>
          <w:sz w:val="22"/>
        </w:rPr>
        <w:t> </w:t>
      </w:r>
      <w:r>
        <w:rPr>
          <w:color w:val="2A3F4D"/>
          <w:w w:val="105"/>
          <w:sz w:val="22"/>
        </w:rPr>
        <w:t>the</w:t>
      </w:r>
      <w:r>
        <w:rPr>
          <w:color w:val="2A3F4D"/>
          <w:spacing w:val="8"/>
          <w:w w:val="105"/>
          <w:sz w:val="22"/>
        </w:rPr>
        <w:t> </w:t>
      </w:r>
      <w:r>
        <w:rPr>
          <w:color w:val="2A3F4D"/>
          <w:w w:val="105"/>
          <w:sz w:val="22"/>
        </w:rPr>
        <w:t>3.25%</w:t>
      </w:r>
      <w:r>
        <w:rPr>
          <w:color w:val="2A3F4D"/>
          <w:spacing w:val="8"/>
          <w:w w:val="105"/>
          <w:sz w:val="22"/>
        </w:rPr>
        <w:t> </w:t>
      </w:r>
      <w:r>
        <w:rPr>
          <w:color w:val="2A3F4D"/>
          <w:w w:val="105"/>
          <w:sz w:val="22"/>
        </w:rPr>
        <w:t>level.</w:t>
      </w:r>
    </w:p>
    <w:p>
      <w:pPr>
        <w:pStyle w:val="BodyText"/>
        <w:rPr>
          <w:sz w:val="20"/>
        </w:rPr>
      </w:pPr>
    </w:p>
    <w:p>
      <w:pPr>
        <w:pStyle w:val="BodyText"/>
        <w:rPr>
          <w:sz w:val="20"/>
        </w:rPr>
      </w:pPr>
    </w:p>
    <w:p>
      <w:pPr>
        <w:pStyle w:val="BodyText"/>
        <w:spacing w:before="5"/>
        <w:rPr>
          <w:sz w:val="17"/>
        </w:rPr>
      </w:pPr>
      <w:r>
        <w:rPr/>
        <w:pict>
          <v:line style="position:absolute;mso-position-horizontal-relative:page;mso-position-vertical-relative:paragraph;z-index:-251656192;mso-wrap-distance-left:0;mso-wrap-distance-right:0" from="54pt,14.411172pt" to="558pt,14.411172pt" stroked="true" strokeweight="3.6pt" strokecolor="#000000">
            <v:stroke dashstyle="solid"/>
            <w10:wrap type="topAndBottom"/>
          </v:line>
        </w:pict>
      </w:r>
    </w:p>
    <w:p>
      <w:pPr>
        <w:spacing w:after="0"/>
        <w:rPr>
          <w:sz w:val="17"/>
        </w:rPr>
        <w:sectPr>
          <w:footerReference w:type="default" r:id="rId6"/>
          <w:pgSz w:w="12240" w:h="15840"/>
          <w:pgMar w:footer="917" w:header="0" w:top="960" w:bottom="1100" w:left="980" w:right="940"/>
          <w:pgNumType w:start="1"/>
        </w:sectPr>
      </w:pPr>
    </w:p>
    <w:p>
      <w:pPr>
        <w:pStyle w:val="BodyText"/>
        <w:spacing w:before="4"/>
        <w:rPr>
          <w:sz w:val="24"/>
        </w:rPr>
      </w:pPr>
    </w:p>
    <w:p>
      <w:pPr>
        <w:pStyle w:val="BodyText"/>
        <w:spacing w:before="2"/>
        <w:rPr>
          <w:sz w:val="5"/>
        </w:rPr>
      </w:pPr>
    </w:p>
    <w:p>
      <w:pPr>
        <w:pStyle w:val="BodyText"/>
        <w:spacing w:line="72" w:lineRule="exact"/>
        <w:ind w:left="3184"/>
        <w:rPr>
          <w:sz w:val="7"/>
        </w:rPr>
      </w:pPr>
      <w:r>
        <w:rPr>
          <w:position w:val="0"/>
          <w:sz w:val="7"/>
        </w:rPr>
        <w:pict>
          <v:group style="width:348pt;height:3.6pt;mso-position-horizontal-relative:char;mso-position-vertical-relative:line" coordorigin="0,0" coordsize="6960,72">
            <v:line style="position:absolute" from="0,36" to="6960,36" stroked="true" strokeweight="3.6pt" strokecolor="#2a3f4d">
              <v:stroke dashstyle="solid"/>
            </v:line>
          </v:group>
        </w:pict>
      </w:r>
      <w:r>
        <w:rPr>
          <w:position w:val="0"/>
          <w:sz w:val="7"/>
        </w:rPr>
      </w:r>
    </w:p>
    <w:p>
      <w:pPr>
        <w:spacing w:before="121"/>
        <w:ind w:left="3364" w:right="0" w:firstLine="0"/>
        <w:jc w:val="left"/>
        <w:rPr>
          <w:sz w:val="32"/>
        </w:rPr>
      </w:pPr>
      <w:r>
        <w:rPr/>
        <w:pict>
          <v:shape style="position:absolute;margin-left:54pt;margin-top:20.384350pt;width:144pt;height:486pt;mso-position-horizontal-relative:page;mso-position-vertical-relative:paragraph;z-index:251663360" type="#_x0000_t202" filled="true" fillcolor="#f2f2f2" stroked="false">
            <v:textbox inset="0,0,0,0">
              <w:txbxContent>
                <w:p>
                  <w:pPr>
                    <w:pStyle w:val="BodyText"/>
                    <w:spacing w:before="11"/>
                    <w:rPr>
                      <w:sz w:val="25"/>
                    </w:rPr>
                  </w:pPr>
                </w:p>
                <w:p>
                  <w:pPr>
                    <w:numPr>
                      <w:ilvl w:val="0"/>
                      <w:numId w:val="2"/>
                    </w:numPr>
                    <w:tabs>
                      <w:tab w:pos="534" w:val="left" w:leader="none"/>
                    </w:tabs>
                    <w:spacing w:line="235" w:lineRule="auto" w:before="0"/>
                    <w:ind w:left="533" w:right="326" w:hanging="270"/>
                    <w:jc w:val="left"/>
                    <w:rPr>
                      <w:sz w:val="20"/>
                    </w:rPr>
                  </w:pPr>
                  <w:r>
                    <w:rPr>
                      <w:color w:val="2A3F4D"/>
                      <w:spacing w:val="-2"/>
                      <w:w w:val="105"/>
                      <w:sz w:val="20"/>
                    </w:rPr>
                    <w:t>Corporate </w:t>
                  </w:r>
                  <w:r>
                    <w:rPr>
                      <w:color w:val="2A3F4D"/>
                      <w:w w:val="105"/>
                      <w:sz w:val="20"/>
                    </w:rPr>
                    <w:t>and consumer “animal spirits” may come under pressure from trade uncertainty, tightening financial conditions, slowing earnings growth as </w:t>
                  </w:r>
                  <w:r>
                    <w:rPr>
                      <w:color w:val="2A3F4D"/>
                      <w:spacing w:val="-5"/>
                      <w:w w:val="105"/>
                      <w:sz w:val="20"/>
                    </w:rPr>
                    <w:t>the </w:t>
                  </w:r>
                  <w:r>
                    <w:rPr>
                      <w:color w:val="2A3F4D"/>
                      <w:w w:val="105"/>
                      <w:sz w:val="20"/>
                    </w:rPr>
                    <w:t>impact of tax cuts fades, and financial market</w:t>
                  </w:r>
                  <w:r>
                    <w:rPr>
                      <w:color w:val="2A3F4D"/>
                      <w:spacing w:val="6"/>
                      <w:w w:val="105"/>
                      <w:sz w:val="20"/>
                    </w:rPr>
                    <w:t> </w:t>
                  </w:r>
                  <w:r>
                    <w:rPr>
                      <w:color w:val="2A3F4D"/>
                      <w:w w:val="105"/>
                      <w:sz w:val="20"/>
                    </w:rPr>
                    <w:t>volatility.</w:t>
                  </w:r>
                </w:p>
                <w:p>
                  <w:pPr>
                    <w:pStyle w:val="BodyText"/>
                    <w:spacing w:before="4"/>
                    <w:rPr>
                      <w:sz w:val="20"/>
                    </w:rPr>
                  </w:pPr>
                </w:p>
                <w:p>
                  <w:pPr>
                    <w:numPr>
                      <w:ilvl w:val="0"/>
                      <w:numId w:val="2"/>
                    </w:numPr>
                    <w:tabs>
                      <w:tab w:pos="534" w:val="left" w:leader="none"/>
                    </w:tabs>
                    <w:spacing w:line="235" w:lineRule="auto" w:before="0"/>
                    <w:ind w:left="533" w:right="280" w:hanging="270"/>
                    <w:jc w:val="left"/>
                    <w:rPr>
                      <w:sz w:val="20"/>
                    </w:rPr>
                  </w:pPr>
                  <w:r>
                    <w:rPr>
                      <w:color w:val="2A3F4D"/>
                      <w:w w:val="105"/>
                      <w:sz w:val="20"/>
                    </w:rPr>
                    <w:t>The tight labor </w:t>
                  </w:r>
                  <w:r>
                    <w:rPr>
                      <w:color w:val="2A3F4D"/>
                      <w:spacing w:val="-2"/>
                      <w:w w:val="105"/>
                      <w:sz w:val="20"/>
                    </w:rPr>
                    <w:t>market </w:t>
                  </w:r>
                  <w:r>
                    <w:rPr>
                      <w:color w:val="2A3F4D"/>
                      <w:w w:val="105"/>
                      <w:sz w:val="20"/>
                    </w:rPr>
                    <w:t>has put increased pressure on wage growth, which could compress corporate profit margins and lead to higher interest </w:t>
                  </w:r>
                  <w:r>
                    <w:rPr>
                      <w:color w:val="2A3F4D"/>
                      <w:spacing w:val="-3"/>
                      <w:w w:val="105"/>
                      <w:sz w:val="20"/>
                    </w:rPr>
                    <w:t>rates. </w:t>
                  </w:r>
                  <w:r>
                    <w:rPr>
                      <w:color w:val="2A3F4D"/>
                      <w:w w:val="105"/>
                      <w:sz w:val="20"/>
                    </w:rPr>
                    <w:t>Additional U.S. dollar strength and continued market volatility could further strain financial conditions.</w:t>
                  </w:r>
                </w:p>
                <w:p>
                  <w:pPr>
                    <w:pStyle w:val="BodyText"/>
                    <w:spacing w:before="4"/>
                    <w:rPr>
                      <w:sz w:val="20"/>
                    </w:rPr>
                  </w:pPr>
                </w:p>
                <w:p>
                  <w:pPr>
                    <w:numPr>
                      <w:ilvl w:val="0"/>
                      <w:numId w:val="2"/>
                    </w:numPr>
                    <w:tabs>
                      <w:tab w:pos="534" w:val="left" w:leader="none"/>
                    </w:tabs>
                    <w:spacing w:line="235" w:lineRule="auto" w:before="0"/>
                    <w:ind w:left="533" w:right="287" w:hanging="270"/>
                    <w:jc w:val="left"/>
                    <w:rPr>
                      <w:sz w:val="20"/>
                    </w:rPr>
                  </w:pPr>
                  <w:r>
                    <w:rPr>
                      <w:color w:val="2A3F4D"/>
                      <w:w w:val="105"/>
                      <w:sz w:val="20"/>
                    </w:rPr>
                    <w:t>Economic data  in “level” terms remain healthy, but 2019 will increasingly see “rate </w:t>
                  </w:r>
                  <w:r>
                    <w:rPr>
                      <w:color w:val="2A3F4D"/>
                      <w:spacing w:val="-7"/>
                      <w:w w:val="105"/>
                      <w:sz w:val="20"/>
                    </w:rPr>
                    <w:t>of </w:t>
                  </w:r>
                  <w:r>
                    <w:rPr>
                      <w:color w:val="2A3F4D"/>
                      <w:w w:val="105"/>
                      <w:sz w:val="20"/>
                    </w:rPr>
                    <w:t>change” </w:t>
                  </w:r>
                  <w:r>
                    <w:rPr>
                      <w:color w:val="2A3F4D"/>
                      <w:spacing w:val="-3"/>
                      <w:w w:val="105"/>
                      <w:sz w:val="20"/>
                    </w:rPr>
                    <w:t>deterioration. </w:t>
                  </w:r>
                  <w:r>
                    <w:rPr>
                      <w:color w:val="2A3F4D"/>
                      <w:w w:val="105"/>
                      <w:sz w:val="20"/>
                    </w:rPr>
                    <w:t>Remember my well- worn adage: “When it comes to the relationship between economic  fundamentals  and stock prices, better or worse matters more than good or</w:t>
                  </w:r>
                  <w:r>
                    <w:rPr>
                      <w:color w:val="2A3F4D"/>
                      <w:spacing w:val="19"/>
                      <w:w w:val="105"/>
                      <w:sz w:val="20"/>
                    </w:rPr>
                    <w:t> </w:t>
                  </w:r>
                  <w:r>
                    <w:rPr>
                      <w:color w:val="2A3F4D"/>
                      <w:w w:val="105"/>
                      <w:sz w:val="20"/>
                    </w:rPr>
                    <w:t>bad.”</w:t>
                  </w:r>
                </w:p>
              </w:txbxContent>
            </v:textbox>
            <v:fill type="solid"/>
            <w10:wrap type="none"/>
          </v:shape>
        </w:pict>
      </w:r>
      <w:r>
        <w:rPr/>
        <w:pict>
          <v:shape style="position:absolute;margin-left:54pt;margin-top:-4.21565pt;width:144pt;height:24.6pt;mso-position-horizontal-relative:page;mso-position-vertical-relative:paragraph;z-index:251664384" type="#_x0000_t202" filled="true" fillcolor="#2a3f4d" stroked="false">
            <v:textbox inset="0,0,0,0">
              <w:txbxContent>
                <w:p>
                  <w:pPr>
                    <w:spacing w:line="416" w:lineRule="exact" w:before="0"/>
                    <w:ind w:left="264" w:right="0" w:firstLine="0"/>
                    <w:jc w:val="left"/>
                    <w:rPr>
                      <w:sz w:val="36"/>
                    </w:rPr>
                  </w:pPr>
                  <w:r>
                    <w:rPr>
                      <w:color w:val="FFFFFF"/>
                      <w:sz w:val="36"/>
                    </w:rPr>
                    <w:t>KEY POINTS</w:t>
                  </w:r>
                </w:p>
              </w:txbxContent>
            </v:textbox>
            <v:fill type="solid"/>
            <w10:wrap type="none"/>
          </v:shape>
        </w:pict>
      </w:r>
      <w:r>
        <w:rPr>
          <w:color w:val="2A3F4D"/>
          <w:w w:val="105"/>
          <w:sz w:val="32"/>
        </w:rPr>
        <w:t>Animal spirits sustainable?</w:t>
      </w:r>
    </w:p>
    <w:p>
      <w:pPr>
        <w:pStyle w:val="BodyText"/>
        <w:spacing w:line="235" w:lineRule="auto" w:before="249"/>
        <w:ind w:left="3364" w:right="410"/>
      </w:pPr>
      <w:r>
        <w:rPr>
          <w:color w:val="2A3F4D"/>
          <w:w w:val="105"/>
        </w:rPr>
        <w:t>U.S. economic growth was strong in 2018,  but some of  the forces behind that strength were either short-term or likely to fade going forward. We expect U.S. economic growth to slow in 2019, with the risk of a recession rising. Trade friction, which remains an uncertainty heading into 2019, could be an important indicator of the length of runway between now and the next</w:t>
      </w:r>
      <w:r>
        <w:rPr>
          <w:color w:val="2A3F4D"/>
          <w:spacing w:val="44"/>
          <w:w w:val="105"/>
        </w:rPr>
        <w:t> </w:t>
      </w:r>
      <w:r>
        <w:rPr>
          <w:color w:val="2A3F4D"/>
          <w:w w:val="105"/>
        </w:rPr>
        <w:t>recession.</w:t>
      </w:r>
    </w:p>
    <w:p>
      <w:pPr>
        <w:pStyle w:val="BodyText"/>
      </w:pPr>
    </w:p>
    <w:p>
      <w:pPr>
        <w:pStyle w:val="BodyText"/>
        <w:spacing w:line="235" w:lineRule="auto"/>
        <w:ind w:left="3364" w:right="365"/>
      </w:pPr>
      <w:r>
        <w:rPr>
          <w:color w:val="2A3F4D"/>
          <w:w w:val="110"/>
        </w:rPr>
        <w:t>There has been a relatively unprecedented gap between consistently better-than-expected “soft” economic data (survey- and confidence- based) and worse-than-expected “hard” economic data (quantifiable metrics).</w:t>
      </w:r>
      <w:r>
        <w:rPr>
          <w:color w:val="2A3F4D"/>
          <w:spacing w:val="-17"/>
          <w:w w:val="110"/>
        </w:rPr>
        <w:t> </w:t>
      </w:r>
      <w:r>
        <w:rPr>
          <w:color w:val="2A3F4D"/>
          <w:w w:val="110"/>
        </w:rPr>
        <w:t>Soft</w:t>
      </w:r>
      <w:r>
        <w:rPr>
          <w:color w:val="2A3F4D"/>
          <w:spacing w:val="-16"/>
          <w:w w:val="110"/>
        </w:rPr>
        <w:t> </w:t>
      </w:r>
      <w:r>
        <w:rPr>
          <w:color w:val="2A3F4D"/>
          <w:w w:val="110"/>
        </w:rPr>
        <w:t>data</w:t>
      </w:r>
      <w:r>
        <w:rPr>
          <w:color w:val="2A3F4D"/>
          <w:spacing w:val="-16"/>
          <w:w w:val="110"/>
        </w:rPr>
        <w:t> </w:t>
      </w:r>
      <w:r>
        <w:rPr>
          <w:color w:val="2A3F4D"/>
          <w:w w:val="110"/>
        </w:rPr>
        <w:t>have</w:t>
      </w:r>
      <w:r>
        <w:rPr>
          <w:color w:val="2A3F4D"/>
          <w:spacing w:val="-16"/>
          <w:w w:val="110"/>
        </w:rPr>
        <w:t> </w:t>
      </w:r>
      <w:r>
        <w:rPr>
          <w:color w:val="2A3F4D"/>
          <w:w w:val="110"/>
        </w:rPr>
        <w:t>been</w:t>
      </w:r>
      <w:r>
        <w:rPr>
          <w:color w:val="2A3F4D"/>
          <w:spacing w:val="-16"/>
          <w:w w:val="110"/>
        </w:rPr>
        <w:t> </w:t>
      </w:r>
      <w:r>
        <w:rPr>
          <w:color w:val="2A3F4D"/>
          <w:w w:val="110"/>
        </w:rPr>
        <w:t>supported</w:t>
      </w:r>
      <w:r>
        <w:rPr>
          <w:color w:val="2A3F4D"/>
          <w:spacing w:val="-19"/>
          <w:w w:val="110"/>
        </w:rPr>
        <w:t> </w:t>
      </w:r>
      <w:r>
        <w:rPr>
          <w:color w:val="2A3F4D"/>
          <w:w w:val="110"/>
        </w:rPr>
        <w:t>by</w:t>
      </w:r>
      <w:r>
        <w:rPr>
          <w:color w:val="2A3F4D"/>
          <w:spacing w:val="-17"/>
          <w:w w:val="110"/>
        </w:rPr>
        <w:t> </w:t>
      </w:r>
      <w:r>
        <w:rPr>
          <w:color w:val="2A3F4D"/>
          <w:w w:val="110"/>
        </w:rPr>
        <w:t>persistently</w:t>
      </w:r>
      <w:r>
        <w:rPr>
          <w:color w:val="2A3F4D"/>
          <w:spacing w:val="-18"/>
          <w:w w:val="110"/>
        </w:rPr>
        <w:t> </w:t>
      </w:r>
      <w:r>
        <w:rPr>
          <w:color w:val="2A3F4D"/>
          <w:w w:val="110"/>
        </w:rPr>
        <w:t>strong</w:t>
      </w:r>
      <w:r>
        <w:rPr>
          <w:color w:val="2A3F4D"/>
          <w:spacing w:val="-15"/>
          <w:w w:val="110"/>
        </w:rPr>
        <w:t> </w:t>
      </w:r>
      <w:r>
        <w:rPr>
          <w:color w:val="2A3F4D"/>
          <w:w w:val="110"/>
        </w:rPr>
        <w:t>business and consumer confidence, but a risk heading into 2019 is that animal spirits could</w:t>
      </w:r>
      <w:r>
        <w:rPr>
          <w:color w:val="2A3F4D"/>
          <w:spacing w:val="4"/>
          <w:w w:val="110"/>
        </w:rPr>
        <w:t> </w:t>
      </w:r>
      <w:r>
        <w:rPr>
          <w:color w:val="2A3F4D"/>
          <w:w w:val="110"/>
        </w:rPr>
        <w:t>fade.</w:t>
      </w:r>
    </w:p>
    <w:p>
      <w:pPr>
        <w:pStyle w:val="BodyText"/>
        <w:rPr>
          <w:sz w:val="20"/>
        </w:rPr>
      </w:pPr>
    </w:p>
    <w:p>
      <w:pPr>
        <w:pStyle w:val="BodyText"/>
        <w:rPr>
          <w:sz w:val="20"/>
        </w:rPr>
      </w:pPr>
    </w:p>
    <w:p>
      <w:pPr>
        <w:pStyle w:val="BodyText"/>
        <w:spacing w:before="3"/>
        <w:rPr>
          <w:sz w:val="23"/>
        </w:rPr>
      </w:pPr>
      <w:r>
        <w:rPr/>
        <w:drawing>
          <wp:anchor distT="0" distB="0" distL="0" distR="0" allowOverlap="1" layoutInCell="1" locked="0" behindDoc="0" simplePos="0" relativeHeight="4">
            <wp:simplePos x="0" y="0"/>
            <wp:positionH relativeFrom="page">
              <wp:posOffset>2667000</wp:posOffset>
            </wp:positionH>
            <wp:positionV relativeFrom="paragraph">
              <wp:posOffset>205291</wp:posOffset>
            </wp:positionV>
            <wp:extent cx="4381977" cy="3189731"/>
            <wp:effectExtent l="0" t="0" r="0" b="0"/>
            <wp:wrapTopAndBottom/>
            <wp:docPr id="1" name="image2.jpeg"/>
            <wp:cNvGraphicFramePr>
              <a:graphicFrameLocks noChangeAspect="1"/>
            </wp:cNvGraphicFramePr>
            <a:graphic>
              <a:graphicData uri="http://schemas.openxmlformats.org/drawingml/2006/picture">
                <pic:pic>
                  <pic:nvPicPr>
                    <pic:cNvPr id="2" name="image2.jpeg"/>
                    <pic:cNvPicPr/>
                  </pic:nvPicPr>
                  <pic:blipFill>
                    <a:blip r:embed="rId9" cstate="print"/>
                    <a:stretch>
                      <a:fillRect/>
                    </a:stretch>
                  </pic:blipFill>
                  <pic:spPr>
                    <a:xfrm>
                      <a:off x="0" y="0"/>
                      <a:ext cx="4381977" cy="3189731"/>
                    </a:xfrm>
                    <a:prstGeom prst="rect">
                      <a:avLst/>
                    </a:prstGeom>
                  </pic:spPr>
                </pic:pic>
              </a:graphicData>
            </a:graphic>
          </wp:anchor>
        </w:drawing>
      </w:r>
    </w:p>
    <w:p>
      <w:pPr>
        <w:spacing w:after="0"/>
        <w:rPr>
          <w:sz w:val="23"/>
        </w:rPr>
        <w:sectPr>
          <w:headerReference w:type="default" r:id="rId7"/>
          <w:footerReference w:type="default" r:id="rId8"/>
          <w:pgSz w:w="12240" w:h="15840"/>
          <w:pgMar w:header="960" w:footer="1280" w:top="3360" w:bottom="1480" w:left="980" w:right="940"/>
          <w:pgNumType w:start="2"/>
        </w:sectPr>
      </w:pPr>
    </w:p>
    <w:p>
      <w:pPr>
        <w:pStyle w:val="BodyText"/>
        <w:spacing w:before="4"/>
        <w:rPr>
          <w:sz w:val="24"/>
        </w:rPr>
      </w:pPr>
    </w:p>
    <w:p>
      <w:pPr>
        <w:pStyle w:val="BodyText"/>
        <w:spacing w:before="2"/>
        <w:rPr>
          <w:sz w:val="5"/>
        </w:rPr>
      </w:pPr>
    </w:p>
    <w:p>
      <w:pPr>
        <w:pStyle w:val="BodyText"/>
        <w:spacing w:line="72" w:lineRule="exact"/>
        <w:ind w:left="3184"/>
        <w:rPr>
          <w:sz w:val="7"/>
        </w:rPr>
      </w:pPr>
      <w:r>
        <w:rPr>
          <w:position w:val="0"/>
          <w:sz w:val="7"/>
        </w:rPr>
        <w:pict>
          <v:group style="width:348pt;height:3.6pt;mso-position-horizontal-relative:char;mso-position-vertical-relative:line" coordorigin="0,0" coordsize="6960,72">
            <v:line style="position:absolute" from="0,36" to="6960,36" stroked="true" strokeweight="3.6pt" strokecolor="#2a3f4d">
              <v:stroke dashstyle="solid"/>
            </v:line>
          </v:group>
        </w:pict>
      </w:r>
      <w:r>
        <w:rPr>
          <w:position w:val="0"/>
          <w:sz w:val="7"/>
        </w:rPr>
      </w:r>
    </w:p>
    <w:p>
      <w:pPr>
        <w:pStyle w:val="Heading1"/>
      </w:pPr>
      <w:r>
        <w:rPr/>
        <w:pict>
          <v:shape style="position:absolute;margin-left:54pt;margin-top:20.384350pt;width:144pt;height:486pt;mso-position-horizontal-relative:page;mso-position-vertical-relative:paragraph;z-index:251667456" type="#_x0000_t202" filled="true" fillcolor="#f2f2f2" stroked="false">
            <v:textbox inset="0,0,0,0">
              <w:txbxContent>
                <w:p>
                  <w:pPr>
                    <w:pStyle w:val="BodyText"/>
                    <w:spacing w:before="11"/>
                    <w:rPr>
                      <w:sz w:val="25"/>
                    </w:rPr>
                  </w:pPr>
                </w:p>
                <w:p>
                  <w:pPr>
                    <w:numPr>
                      <w:ilvl w:val="0"/>
                      <w:numId w:val="3"/>
                    </w:numPr>
                    <w:tabs>
                      <w:tab w:pos="534" w:val="left" w:leader="none"/>
                    </w:tabs>
                    <w:spacing w:line="235" w:lineRule="auto" w:before="0"/>
                    <w:ind w:left="533" w:right="297" w:hanging="270"/>
                    <w:jc w:val="left"/>
                    <w:rPr>
                      <w:sz w:val="20"/>
                    </w:rPr>
                  </w:pPr>
                  <w:r>
                    <w:rPr>
                      <w:color w:val="2A3F4D"/>
                      <w:w w:val="105"/>
                      <w:sz w:val="20"/>
                    </w:rPr>
                    <w:t>Discipline </w:t>
                  </w:r>
                  <w:r>
                    <w:rPr>
                      <w:color w:val="2A3F4D"/>
                      <w:spacing w:val="-2"/>
                      <w:w w:val="105"/>
                      <w:sz w:val="20"/>
                    </w:rPr>
                    <w:t>around </w:t>
                  </w:r>
                  <w:r>
                    <w:rPr>
                      <w:color w:val="2A3F4D"/>
                      <w:spacing w:val="-3"/>
                      <w:w w:val="105"/>
                      <w:sz w:val="20"/>
                    </w:rPr>
                    <w:t>diversification </w:t>
                  </w:r>
                  <w:r>
                    <w:rPr>
                      <w:color w:val="2A3F4D"/>
                      <w:w w:val="105"/>
                      <w:sz w:val="20"/>
                    </w:rPr>
                    <w:t>and rebalancing will be important in 2019. Recession risk is </w:t>
                  </w:r>
                  <w:r>
                    <w:rPr>
                      <w:color w:val="2A3F4D"/>
                      <w:spacing w:val="-3"/>
                      <w:w w:val="105"/>
                      <w:sz w:val="20"/>
                    </w:rPr>
                    <w:t>rising, </w:t>
                  </w:r>
                  <w:r>
                    <w:rPr>
                      <w:color w:val="2A3F4D"/>
                      <w:w w:val="105"/>
                      <w:sz w:val="20"/>
                    </w:rPr>
                    <w:t>and stocks historically have posted their weakest performance during the six months leading up to recessions.</w:t>
                  </w:r>
                </w:p>
                <w:p>
                  <w:pPr>
                    <w:pStyle w:val="BodyText"/>
                    <w:spacing w:before="4"/>
                    <w:rPr>
                      <w:sz w:val="20"/>
                    </w:rPr>
                  </w:pPr>
                </w:p>
                <w:p>
                  <w:pPr>
                    <w:numPr>
                      <w:ilvl w:val="0"/>
                      <w:numId w:val="3"/>
                    </w:numPr>
                    <w:tabs>
                      <w:tab w:pos="534" w:val="left" w:leader="none"/>
                    </w:tabs>
                    <w:spacing w:line="235" w:lineRule="auto" w:before="0"/>
                    <w:ind w:left="533" w:right="401" w:hanging="270"/>
                    <w:jc w:val="left"/>
                    <w:rPr>
                      <w:sz w:val="20"/>
                    </w:rPr>
                  </w:pPr>
                  <w:r>
                    <w:rPr>
                      <w:color w:val="2A3F4D"/>
                      <w:w w:val="105"/>
                      <w:sz w:val="20"/>
                    </w:rPr>
                    <w:t>Stocks’ </w:t>
                  </w:r>
                  <w:r>
                    <w:rPr>
                      <w:color w:val="2A3F4D"/>
                      <w:spacing w:val="-3"/>
                      <w:w w:val="105"/>
                      <w:sz w:val="20"/>
                    </w:rPr>
                    <w:t>historically </w:t>
                  </w:r>
                  <w:r>
                    <w:rPr>
                      <w:color w:val="2A3F4D"/>
                      <w:w w:val="105"/>
                      <w:sz w:val="20"/>
                    </w:rPr>
                    <w:t>strong post-midterm- election </w:t>
                  </w:r>
                  <w:r>
                    <w:rPr>
                      <w:color w:val="2A3F4D"/>
                      <w:spacing w:val="-3"/>
                      <w:w w:val="105"/>
                      <w:sz w:val="20"/>
                    </w:rPr>
                    <w:t>performance </w:t>
                  </w:r>
                  <w:r>
                    <w:rPr>
                      <w:color w:val="2A3F4D"/>
                      <w:w w:val="105"/>
                      <w:sz w:val="20"/>
                    </w:rPr>
                    <w:t>trend is a </w:t>
                  </w:r>
                  <w:r>
                    <w:rPr>
                      <w:color w:val="2A3F4D"/>
                      <w:spacing w:val="-3"/>
                      <w:w w:val="105"/>
                      <w:sz w:val="20"/>
                    </w:rPr>
                    <w:t>tailwind, </w:t>
                  </w:r>
                  <w:r>
                    <w:rPr>
                      <w:color w:val="2A3F4D"/>
                      <w:w w:val="105"/>
                      <w:sz w:val="20"/>
                    </w:rPr>
                    <w:t>but trade uncertainty and/or the political landscape could serve as offsetting headwinds.</w:t>
                  </w:r>
                </w:p>
                <w:p>
                  <w:pPr>
                    <w:pStyle w:val="BodyText"/>
                    <w:spacing w:before="2"/>
                    <w:rPr>
                      <w:sz w:val="20"/>
                    </w:rPr>
                  </w:pPr>
                </w:p>
                <w:p>
                  <w:pPr>
                    <w:numPr>
                      <w:ilvl w:val="0"/>
                      <w:numId w:val="3"/>
                    </w:numPr>
                    <w:tabs>
                      <w:tab w:pos="534" w:val="left" w:leader="none"/>
                    </w:tabs>
                    <w:spacing w:line="235" w:lineRule="auto" w:before="0"/>
                    <w:ind w:left="533" w:right="325" w:hanging="270"/>
                    <w:jc w:val="left"/>
                    <w:rPr>
                      <w:sz w:val="20"/>
                    </w:rPr>
                  </w:pPr>
                  <w:r>
                    <w:rPr>
                      <w:color w:val="2A3F4D"/>
                      <w:w w:val="105"/>
                      <w:sz w:val="20"/>
                    </w:rPr>
                    <w:t>“Rolling” or “stealth” bear markets—in</w:t>
                  </w:r>
                  <w:r>
                    <w:rPr>
                      <w:color w:val="2A3F4D"/>
                      <w:spacing w:val="-21"/>
                      <w:w w:val="105"/>
                      <w:sz w:val="20"/>
                    </w:rPr>
                    <w:t> </w:t>
                  </w:r>
                  <w:r>
                    <w:rPr>
                      <w:color w:val="2A3F4D"/>
                      <w:w w:val="105"/>
                      <w:sz w:val="20"/>
                    </w:rPr>
                    <w:t>which certain stocks or market sectors fall into bear territory, even if the overall market isn’t—may continue in 2019 as sectors and asset classes continue to reprice for receding global</w:t>
                  </w:r>
                  <w:r>
                    <w:rPr>
                      <w:color w:val="2A3F4D"/>
                      <w:spacing w:val="3"/>
                      <w:w w:val="105"/>
                      <w:sz w:val="20"/>
                    </w:rPr>
                    <w:t> </w:t>
                  </w:r>
                  <w:r>
                    <w:rPr>
                      <w:color w:val="2A3F4D"/>
                      <w:w w:val="105"/>
                      <w:sz w:val="20"/>
                    </w:rPr>
                    <w:t>liquidity.</w:t>
                  </w:r>
                </w:p>
              </w:txbxContent>
            </v:textbox>
            <v:fill type="solid"/>
            <w10:wrap type="none"/>
          </v:shape>
        </w:pict>
      </w:r>
      <w:r>
        <w:rPr/>
        <w:pict>
          <v:shape style="position:absolute;margin-left:54pt;margin-top:-4.21565pt;width:144pt;height:24.6pt;mso-position-horizontal-relative:page;mso-position-vertical-relative:paragraph;z-index:251668480" type="#_x0000_t202" filled="true" fillcolor="#2a3f4d" stroked="false">
            <v:textbox inset="0,0,0,0">
              <w:txbxContent>
                <w:p>
                  <w:pPr>
                    <w:spacing w:line="416" w:lineRule="exact" w:before="0"/>
                    <w:ind w:left="264" w:right="0" w:firstLine="0"/>
                    <w:jc w:val="left"/>
                    <w:rPr>
                      <w:sz w:val="36"/>
                    </w:rPr>
                  </w:pPr>
                  <w:r>
                    <w:rPr>
                      <w:color w:val="FFFFFF"/>
                      <w:sz w:val="36"/>
                    </w:rPr>
                    <w:t>TAKEAWAYS</w:t>
                  </w:r>
                </w:p>
              </w:txbxContent>
            </v:textbox>
            <v:fill type="solid"/>
            <w10:wrap type="none"/>
          </v:shape>
        </w:pict>
      </w:r>
      <w:r>
        <w:rPr>
          <w:color w:val="2A3F4D"/>
          <w:w w:val="105"/>
        </w:rPr>
        <w:t>Liquidity tide is heading out</w:t>
      </w:r>
    </w:p>
    <w:p>
      <w:pPr>
        <w:pStyle w:val="BodyText"/>
        <w:spacing w:line="235" w:lineRule="auto" w:before="249"/>
        <w:ind w:left="3364" w:right="491"/>
      </w:pPr>
      <w:r>
        <w:rPr>
          <w:color w:val="2A3F4D"/>
          <w:w w:val="105"/>
        </w:rPr>
        <w:t>Market volatility is a 2018 theme that is likely to persist in 2019. After a decade of unprecedented liquidity provision courtesy of the Federal Reserve, liquidity is draining out of the system as the Fed and other central banks move toward tighter monetary policy.</w:t>
      </w:r>
    </w:p>
    <w:p>
      <w:pPr>
        <w:pStyle w:val="BodyText"/>
        <w:spacing w:before="10"/>
        <w:rPr>
          <w:sz w:val="20"/>
        </w:rPr>
      </w:pPr>
    </w:p>
    <w:p>
      <w:pPr>
        <w:pStyle w:val="BodyText"/>
        <w:spacing w:line="235" w:lineRule="auto"/>
        <w:ind w:left="3364" w:right="229"/>
      </w:pPr>
      <w:r>
        <w:rPr>
          <w:color w:val="2A3F4D"/>
          <w:w w:val="110"/>
        </w:rPr>
        <w:t>Earnings</w:t>
      </w:r>
      <w:r>
        <w:rPr>
          <w:color w:val="2A3F4D"/>
          <w:spacing w:val="-18"/>
          <w:w w:val="110"/>
        </w:rPr>
        <w:t> </w:t>
      </w:r>
      <w:r>
        <w:rPr>
          <w:color w:val="2A3F4D"/>
          <w:w w:val="110"/>
        </w:rPr>
        <w:t>growth</w:t>
      </w:r>
      <w:r>
        <w:rPr>
          <w:color w:val="2A3F4D"/>
          <w:spacing w:val="-17"/>
          <w:w w:val="110"/>
        </w:rPr>
        <w:t> </w:t>
      </w:r>
      <w:r>
        <w:rPr>
          <w:color w:val="2A3F4D"/>
          <w:w w:val="110"/>
        </w:rPr>
        <w:t>likely</w:t>
      </w:r>
      <w:r>
        <w:rPr>
          <w:color w:val="2A3F4D"/>
          <w:spacing w:val="-18"/>
          <w:w w:val="110"/>
        </w:rPr>
        <w:t> </w:t>
      </w:r>
      <w:r>
        <w:rPr>
          <w:color w:val="2A3F4D"/>
          <w:w w:val="110"/>
        </w:rPr>
        <w:t>will</w:t>
      </w:r>
      <w:r>
        <w:rPr>
          <w:color w:val="2A3F4D"/>
          <w:spacing w:val="-19"/>
          <w:w w:val="110"/>
        </w:rPr>
        <w:t> </w:t>
      </w:r>
      <w:r>
        <w:rPr>
          <w:color w:val="2A3F4D"/>
          <w:w w:val="110"/>
        </w:rPr>
        <w:t>decelerate</w:t>
      </w:r>
      <w:r>
        <w:rPr>
          <w:color w:val="2A3F4D"/>
          <w:spacing w:val="-17"/>
          <w:w w:val="110"/>
        </w:rPr>
        <w:t> </w:t>
      </w:r>
      <w:r>
        <w:rPr>
          <w:color w:val="2A3F4D"/>
          <w:w w:val="110"/>
        </w:rPr>
        <w:t>sharply</w:t>
      </w:r>
      <w:r>
        <w:rPr>
          <w:color w:val="2A3F4D"/>
          <w:spacing w:val="-20"/>
          <w:w w:val="110"/>
        </w:rPr>
        <w:t> </w:t>
      </w:r>
      <w:r>
        <w:rPr>
          <w:color w:val="2A3F4D"/>
          <w:w w:val="110"/>
        </w:rPr>
        <w:t>in</w:t>
      </w:r>
      <w:r>
        <w:rPr>
          <w:color w:val="2A3F4D"/>
          <w:spacing w:val="-17"/>
          <w:w w:val="110"/>
        </w:rPr>
        <w:t> </w:t>
      </w:r>
      <w:r>
        <w:rPr>
          <w:color w:val="2A3F4D"/>
          <w:w w:val="110"/>
        </w:rPr>
        <w:t>2019,</w:t>
      </w:r>
      <w:r>
        <w:rPr>
          <w:color w:val="2A3F4D"/>
          <w:spacing w:val="-13"/>
          <w:w w:val="110"/>
        </w:rPr>
        <w:t> </w:t>
      </w:r>
      <w:r>
        <w:rPr>
          <w:color w:val="2A3F4D"/>
          <w:w w:val="110"/>
        </w:rPr>
        <w:t>as</w:t>
      </w:r>
      <w:r>
        <w:rPr>
          <w:color w:val="2A3F4D"/>
          <w:spacing w:val="-19"/>
          <w:w w:val="110"/>
        </w:rPr>
        <w:t> </w:t>
      </w:r>
      <w:r>
        <w:rPr>
          <w:color w:val="2A3F4D"/>
          <w:w w:val="110"/>
        </w:rPr>
        <w:t>year-over-year comparisons become more challenging in light of the tax-cut-related boost to earnings in 2018. Continued U.S. dollar strength and the impact</w:t>
      </w:r>
      <w:r>
        <w:rPr>
          <w:color w:val="2A3F4D"/>
          <w:spacing w:val="-19"/>
          <w:w w:val="110"/>
        </w:rPr>
        <w:t> </w:t>
      </w:r>
      <w:r>
        <w:rPr>
          <w:color w:val="2A3F4D"/>
          <w:w w:val="110"/>
        </w:rPr>
        <w:t>of</w:t>
      </w:r>
      <w:r>
        <w:rPr>
          <w:color w:val="2A3F4D"/>
          <w:spacing w:val="-16"/>
          <w:w w:val="110"/>
        </w:rPr>
        <w:t> </w:t>
      </w:r>
      <w:r>
        <w:rPr>
          <w:color w:val="2A3F4D"/>
          <w:w w:val="110"/>
        </w:rPr>
        <w:t>trade</w:t>
      </w:r>
      <w:r>
        <w:rPr>
          <w:color w:val="2A3F4D"/>
          <w:spacing w:val="-19"/>
          <w:w w:val="110"/>
        </w:rPr>
        <w:t> </w:t>
      </w:r>
      <w:r>
        <w:rPr>
          <w:color w:val="2A3F4D"/>
          <w:w w:val="110"/>
        </w:rPr>
        <w:t>tariffs</w:t>
      </w:r>
      <w:r>
        <w:rPr>
          <w:color w:val="2A3F4D"/>
          <w:spacing w:val="-16"/>
          <w:w w:val="110"/>
        </w:rPr>
        <w:t> </w:t>
      </w:r>
      <w:r>
        <w:rPr>
          <w:color w:val="2A3F4D"/>
          <w:w w:val="110"/>
        </w:rPr>
        <w:t>could</w:t>
      </w:r>
      <w:r>
        <w:rPr>
          <w:color w:val="2A3F4D"/>
          <w:spacing w:val="-19"/>
          <w:w w:val="110"/>
        </w:rPr>
        <w:t> </w:t>
      </w:r>
      <w:r>
        <w:rPr>
          <w:color w:val="2A3F4D"/>
          <w:w w:val="110"/>
        </w:rPr>
        <w:t>be</w:t>
      </w:r>
      <w:r>
        <w:rPr>
          <w:color w:val="2A3F4D"/>
          <w:spacing w:val="-18"/>
          <w:w w:val="110"/>
        </w:rPr>
        <w:t> </w:t>
      </w:r>
      <w:r>
        <w:rPr>
          <w:color w:val="2A3F4D"/>
          <w:w w:val="110"/>
        </w:rPr>
        <w:t>additional</w:t>
      </w:r>
      <w:r>
        <w:rPr>
          <w:color w:val="2A3F4D"/>
          <w:spacing w:val="-18"/>
          <w:w w:val="110"/>
        </w:rPr>
        <w:t> </w:t>
      </w:r>
      <w:r>
        <w:rPr>
          <w:color w:val="2A3F4D"/>
          <w:w w:val="110"/>
        </w:rPr>
        <w:t>headwinds</w:t>
      </w:r>
      <w:r>
        <w:rPr>
          <w:color w:val="2A3F4D"/>
          <w:spacing w:val="-20"/>
          <w:w w:val="110"/>
        </w:rPr>
        <w:t> </w:t>
      </w:r>
      <w:r>
        <w:rPr>
          <w:color w:val="2A3F4D"/>
          <w:w w:val="110"/>
        </w:rPr>
        <w:t>for</w:t>
      </w:r>
      <w:r>
        <w:rPr>
          <w:color w:val="2A3F4D"/>
          <w:spacing w:val="-17"/>
          <w:w w:val="110"/>
        </w:rPr>
        <w:t> </w:t>
      </w:r>
      <w:r>
        <w:rPr>
          <w:color w:val="2A3F4D"/>
          <w:w w:val="110"/>
        </w:rPr>
        <w:t>earnings,</w:t>
      </w:r>
      <w:r>
        <w:rPr>
          <w:color w:val="2A3F4D"/>
          <w:spacing w:val="-16"/>
          <w:w w:val="110"/>
        </w:rPr>
        <w:t> </w:t>
      </w:r>
      <w:r>
        <w:rPr>
          <w:color w:val="2A3F4D"/>
          <w:w w:val="110"/>
        </w:rPr>
        <w:t>even though stock valuations have become more</w:t>
      </w:r>
      <w:r>
        <w:rPr>
          <w:color w:val="2A3F4D"/>
          <w:spacing w:val="-6"/>
          <w:w w:val="110"/>
        </w:rPr>
        <w:t> </w:t>
      </w:r>
      <w:r>
        <w:rPr>
          <w:color w:val="2A3F4D"/>
          <w:w w:val="110"/>
        </w:rPr>
        <w:t>reasonable.</w:t>
      </w:r>
    </w:p>
    <w:p>
      <w:pPr>
        <w:pStyle w:val="BodyText"/>
      </w:pPr>
    </w:p>
    <w:p>
      <w:pPr>
        <w:pStyle w:val="BodyText"/>
        <w:spacing w:line="235" w:lineRule="auto"/>
        <w:ind w:left="3364" w:right="491"/>
      </w:pPr>
      <w:r>
        <w:rPr>
          <w:color w:val="2A3F4D"/>
          <w:w w:val="105"/>
        </w:rPr>
        <w:t>Investor sentiment is likely to swing in a wider range in 2019 assuming volatility persists, although the bouts of excessive optimism seen in 2018 likely will</w:t>
      </w:r>
      <w:r>
        <w:rPr>
          <w:color w:val="2A3F4D"/>
          <w:spacing w:val="21"/>
          <w:w w:val="105"/>
        </w:rPr>
        <w:t> </w:t>
      </w:r>
      <w:r>
        <w:rPr>
          <w:color w:val="2A3F4D"/>
          <w:w w:val="105"/>
        </w:rPr>
        <w:t>fade.</w:t>
      </w:r>
    </w:p>
    <w:p>
      <w:pPr>
        <w:pStyle w:val="BodyText"/>
        <w:rPr>
          <w:sz w:val="20"/>
        </w:rPr>
      </w:pPr>
    </w:p>
    <w:p>
      <w:pPr>
        <w:pStyle w:val="BodyText"/>
        <w:rPr>
          <w:sz w:val="20"/>
        </w:rPr>
      </w:pPr>
    </w:p>
    <w:p>
      <w:pPr>
        <w:pStyle w:val="BodyText"/>
        <w:rPr>
          <w:sz w:val="16"/>
        </w:rPr>
      </w:pPr>
      <w:r>
        <w:rPr/>
        <w:drawing>
          <wp:anchor distT="0" distB="0" distL="0" distR="0" allowOverlap="1" layoutInCell="1" locked="0" behindDoc="0" simplePos="0" relativeHeight="8">
            <wp:simplePos x="0" y="0"/>
            <wp:positionH relativeFrom="page">
              <wp:posOffset>2771394</wp:posOffset>
            </wp:positionH>
            <wp:positionV relativeFrom="paragraph">
              <wp:posOffset>149068</wp:posOffset>
            </wp:positionV>
            <wp:extent cx="4239101" cy="3204400"/>
            <wp:effectExtent l="0" t="0" r="0" b="0"/>
            <wp:wrapTopAndBottom/>
            <wp:docPr id="3" name="image3.png"/>
            <wp:cNvGraphicFramePr>
              <a:graphicFrameLocks noChangeAspect="1"/>
            </wp:cNvGraphicFramePr>
            <a:graphic>
              <a:graphicData uri="http://schemas.openxmlformats.org/drawingml/2006/picture">
                <pic:pic>
                  <pic:nvPicPr>
                    <pic:cNvPr id="4" name="image3.png"/>
                    <pic:cNvPicPr/>
                  </pic:nvPicPr>
                  <pic:blipFill>
                    <a:blip r:embed="rId10" cstate="print"/>
                    <a:stretch>
                      <a:fillRect/>
                    </a:stretch>
                  </pic:blipFill>
                  <pic:spPr>
                    <a:xfrm>
                      <a:off x="0" y="0"/>
                      <a:ext cx="4239101" cy="3204400"/>
                    </a:xfrm>
                    <a:prstGeom prst="rect">
                      <a:avLst/>
                    </a:prstGeom>
                  </pic:spPr>
                </pic:pic>
              </a:graphicData>
            </a:graphic>
          </wp:anchor>
        </w:drawing>
      </w:r>
    </w:p>
    <w:p>
      <w:pPr>
        <w:spacing w:after="0"/>
        <w:rPr>
          <w:sz w:val="16"/>
        </w:rPr>
        <w:sectPr>
          <w:pgSz w:w="12240" w:h="15840"/>
          <w:pgMar w:header="960" w:footer="1280" w:top="3360" w:bottom="1480" w:left="980" w:right="940"/>
        </w:sectPr>
      </w:pPr>
    </w:p>
    <w:p>
      <w:pPr>
        <w:pStyle w:val="BodyText"/>
        <w:spacing w:before="4"/>
        <w:rPr>
          <w:sz w:val="24"/>
        </w:rPr>
      </w:pPr>
      <w:r>
        <w:rPr/>
        <w:pict>
          <v:shape style="position:absolute;margin-left:307.559998pt;margin-top:529.133972pt;width:145.75pt;height:21.85pt;mso-position-horizontal-relative:page;mso-position-vertical-relative:page;z-index:-252077056" type="#_x0000_t202" filled="false" stroked="false">
            <v:textbox inset="0,0,0,0">
              <w:txbxContent>
                <w:p>
                  <w:pPr>
                    <w:spacing w:line="422" w:lineRule="exact" w:before="0"/>
                    <w:ind w:left="0" w:right="0" w:firstLine="0"/>
                    <w:jc w:val="left"/>
                    <w:rPr>
                      <w:rFonts w:ascii="Tahoma"/>
                      <w:sz w:val="36"/>
                    </w:rPr>
                  </w:pPr>
                  <w:r>
                    <w:rPr>
                      <w:rFonts w:ascii="Tahoma"/>
                      <w:sz w:val="36"/>
                    </w:rPr>
                    <w:t>Graphic goes here</w:t>
                  </w:r>
                </w:p>
              </w:txbxContent>
            </v:textbox>
            <w10:wrap type="none"/>
          </v:shape>
        </w:pict>
      </w:r>
    </w:p>
    <w:p>
      <w:pPr>
        <w:pStyle w:val="BodyText"/>
        <w:spacing w:before="2"/>
        <w:rPr>
          <w:sz w:val="5"/>
        </w:rPr>
      </w:pPr>
    </w:p>
    <w:p>
      <w:pPr>
        <w:pStyle w:val="BodyText"/>
        <w:spacing w:line="72" w:lineRule="exact"/>
        <w:ind w:left="3184"/>
        <w:rPr>
          <w:sz w:val="7"/>
        </w:rPr>
      </w:pPr>
      <w:r>
        <w:rPr>
          <w:position w:val="0"/>
          <w:sz w:val="7"/>
        </w:rPr>
        <w:pict>
          <v:group style="width:348pt;height:3.6pt;mso-position-horizontal-relative:char;mso-position-vertical-relative:line" coordorigin="0,0" coordsize="6960,72">
            <v:line style="position:absolute" from="0,36" to="6960,36" stroked="true" strokeweight="3.6pt" strokecolor="#7a9c49">
              <v:stroke dashstyle="solid"/>
            </v:line>
          </v:group>
        </w:pict>
      </w:r>
      <w:r>
        <w:rPr>
          <w:position w:val="0"/>
          <w:sz w:val="7"/>
        </w:rPr>
      </w:r>
    </w:p>
    <w:p>
      <w:pPr>
        <w:pStyle w:val="Heading1"/>
      </w:pPr>
      <w:r>
        <w:rPr/>
        <w:pict>
          <v:shape style="position:absolute;margin-left:54pt;margin-top:20.384350pt;width:144pt;height:486pt;mso-position-horizontal-relative:page;mso-position-vertical-relative:paragraph;z-index:251672576" type="#_x0000_t202" filled="true" fillcolor="#f2f2f2" stroked="false">
            <v:textbox inset="0,0,0,0">
              <w:txbxContent>
                <w:p>
                  <w:pPr>
                    <w:pStyle w:val="BodyText"/>
                    <w:spacing w:before="11"/>
                    <w:rPr>
                      <w:sz w:val="25"/>
                    </w:rPr>
                  </w:pPr>
                </w:p>
                <w:p>
                  <w:pPr>
                    <w:numPr>
                      <w:ilvl w:val="0"/>
                      <w:numId w:val="4"/>
                    </w:numPr>
                    <w:tabs>
                      <w:tab w:pos="534" w:val="left" w:leader="none"/>
                    </w:tabs>
                    <w:spacing w:line="235" w:lineRule="auto" w:before="0"/>
                    <w:ind w:left="533" w:right="295" w:hanging="270"/>
                    <w:jc w:val="left"/>
                    <w:rPr>
                      <w:sz w:val="20"/>
                    </w:rPr>
                  </w:pPr>
                  <w:r>
                    <w:rPr>
                      <w:color w:val="2A3F4D"/>
                      <w:w w:val="105"/>
                      <w:sz w:val="20"/>
                    </w:rPr>
                    <w:t>Global growth is likely to slow as the economic cycle nears </w:t>
                  </w:r>
                  <w:r>
                    <w:rPr>
                      <w:color w:val="2A3F4D"/>
                      <w:spacing w:val="-15"/>
                      <w:w w:val="105"/>
                      <w:sz w:val="20"/>
                    </w:rPr>
                    <w:t>a </w:t>
                  </w:r>
                  <w:r>
                    <w:rPr>
                      <w:color w:val="2A3F4D"/>
                      <w:w w:val="105"/>
                      <w:sz w:val="20"/>
                    </w:rPr>
                    <w:t>peak.</w:t>
                  </w:r>
                </w:p>
                <w:p>
                  <w:pPr>
                    <w:pStyle w:val="BodyText"/>
                    <w:spacing w:before="11"/>
                    <w:rPr>
                      <w:sz w:val="19"/>
                    </w:rPr>
                  </w:pPr>
                </w:p>
                <w:p>
                  <w:pPr>
                    <w:numPr>
                      <w:ilvl w:val="0"/>
                      <w:numId w:val="4"/>
                    </w:numPr>
                    <w:tabs>
                      <w:tab w:pos="534" w:val="left" w:leader="none"/>
                    </w:tabs>
                    <w:spacing w:line="235" w:lineRule="auto" w:before="0"/>
                    <w:ind w:left="533" w:right="275" w:hanging="270"/>
                    <w:jc w:val="left"/>
                    <w:rPr>
                      <w:sz w:val="20"/>
                    </w:rPr>
                  </w:pPr>
                  <w:r>
                    <w:rPr>
                      <w:color w:val="2A3F4D"/>
                      <w:w w:val="105"/>
                      <w:sz w:val="20"/>
                    </w:rPr>
                    <w:t>Trade tensions, </w:t>
                  </w:r>
                  <w:r>
                    <w:rPr>
                      <w:color w:val="2A3F4D"/>
                      <w:spacing w:val="-2"/>
                      <w:w w:val="105"/>
                      <w:sz w:val="20"/>
                    </w:rPr>
                    <w:t>inflation </w:t>
                  </w:r>
                  <w:r>
                    <w:rPr>
                      <w:color w:val="2A3F4D"/>
                      <w:w w:val="105"/>
                      <w:sz w:val="20"/>
                    </w:rPr>
                    <w:t>and interest rates </w:t>
                  </w:r>
                  <w:r>
                    <w:rPr>
                      <w:color w:val="2A3F4D"/>
                      <w:spacing w:val="-2"/>
                      <w:w w:val="105"/>
                      <w:sz w:val="20"/>
                    </w:rPr>
                    <w:t>are </w:t>
                  </w:r>
                  <w:r>
                    <w:rPr>
                      <w:color w:val="2A3F4D"/>
                      <w:w w:val="105"/>
                      <w:sz w:val="20"/>
                    </w:rPr>
                    <w:t>key indicators to watch as financial conditions tighten and act as a drag on markets and the</w:t>
                  </w:r>
                  <w:r>
                    <w:rPr>
                      <w:color w:val="2A3F4D"/>
                      <w:spacing w:val="8"/>
                      <w:w w:val="105"/>
                      <w:sz w:val="20"/>
                    </w:rPr>
                    <w:t> </w:t>
                  </w:r>
                  <w:r>
                    <w:rPr>
                      <w:color w:val="2A3F4D"/>
                      <w:w w:val="105"/>
                      <w:sz w:val="20"/>
                    </w:rPr>
                    <w:t>economy.</w:t>
                  </w:r>
                </w:p>
                <w:p>
                  <w:pPr>
                    <w:pStyle w:val="BodyText"/>
                    <w:spacing w:before="1"/>
                    <w:rPr>
                      <w:sz w:val="20"/>
                    </w:rPr>
                  </w:pPr>
                </w:p>
                <w:p>
                  <w:pPr>
                    <w:numPr>
                      <w:ilvl w:val="0"/>
                      <w:numId w:val="4"/>
                    </w:numPr>
                    <w:tabs>
                      <w:tab w:pos="534" w:val="left" w:leader="none"/>
                    </w:tabs>
                    <w:spacing w:line="235" w:lineRule="auto" w:before="0"/>
                    <w:ind w:left="533" w:right="263" w:hanging="270"/>
                    <w:jc w:val="left"/>
                    <w:rPr>
                      <w:sz w:val="20"/>
                    </w:rPr>
                  </w:pPr>
                  <w:r>
                    <w:rPr>
                      <w:color w:val="2A3F4D"/>
                      <w:w w:val="105"/>
                      <w:sz w:val="20"/>
                    </w:rPr>
                    <w:t>Watch the  gap between </w:t>
                  </w:r>
                  <w:r>
                    <w:rPr>
                      <w:color w:val="2A3F4D"/>
                      <w:spacing w:val="-3"/>
                      <w:w w:val="105"/>
                      <w:sz w:val="20"/>
                    </w:rPr>
                    <w:t>unemployment </w:t>
                  </w:r>
                  <w:r>
                    <w:rPr>
                      <w:color w:val="2A3F4D"/>
                      <w:w w:val="105"/>
                      <w:sz w:val="20"/>
                    </w:rPr>
                    <w:t>and inflation rates, along with the yield curve, for signs of a peak in economic growth ahead of a potential</w:t>
                  </w:r>
                  <w:r>
                    <w:rPr>
                      <w:color w:val="2A3F4D"/>
                      <w:spacing w:val="11"/>
                      <w:w w:val="105"/>
                      <w:sz w:val="20"/>
                    </w:rPr>
                    <w:t> </w:t>
                  </w:r>
                  <w:r>
                    <w:rPr>
                      <w:color w:val="2A3F4D"/>
                      <w:w w:val="105"/>
                      <w:sz w:val="20"/>
                    </w:rPr>
                    <w:t>recession.</w:t>
                  </w:r>
                </w:p>
              </w:txbxContent>
            </v:textbox>
            <v:fill type="solid"/>
            <w10:wrap type="none"/>
          </v:shape>
        </w:pict>
      </w:r>
      <w:r>
        <w:rPr/>
        <w:pict>
          <v:shape style="position:absolute;margin-left:54pt;margin-top:-4.21565pt;width:144pt;height:24.6pt;mso-position-horizontal-relative:page;mso-position-vertical-relative:paragraph;z-index:251673600" type="#_x0000_t202" filled="true" fillcolor="#7a9c49" stroked="false">
            <v:textbox inset="0,0,0,0">
              <w:txbxContent>
                <w:p>
                  <w:pPr>
                    <w:spacing w:line="416" w:lineRule="exact" w:before="0"/>
                    <w:ind w:left="264" w:right="0" w:firstLine="0"/>
                    <w:jc w:val="left"/>
                    <w:rPr>
                      <w:sz w:val="36"/>
                    </w:rPr>
                  </w:pPr>
                  <w:r>
                    <w:rPr>
                      <w:color w:val="FFFFFF"/>
                      <w:sz w:val="36"/>
                    </w:rPr>
                    <w:t>KEY POINTS</w:t>
                  </w:r>
                </w:p>
              </w:txbxContent>
            </v:textbox>
            <v:fill type="solid"/>
            <w10:wrap type="none"/>
          </v:shape>
        </w:pict>
      </w:r>
      <w:r>
        <w:rPr>
          <w:color w:val="2A3F4D"/>
          <w:w w:val="105"/>
        </w:rPr>
        <w:t>Global slowdown</w:t>
      </w:r>
    </w:p>
    <w:p>
      <w:pPr>
        <w:pStyle w:val="BodyText"/>
        <w:spacing w:line="235" w:lineRule="auto" w:before="249"/>
        <w:ind w:left="3364" w:right="413"/>
      </w:pPr>
      <w:r>
        <w:rPr>
          <w:color w:val="2A3F4D"/>
          <w:w w:val="105"/>
        </w:rPr>
        <w:t>Global growth may slow in 2019 as the  economic  cycle nears a peak, with increasing drag from worsening financial conditions combining with full employment and rising prices. Global stock markets may peak in   2019 if leading indicators signal the gathering clouds of a global  recession.</w:t>
      </w:r>
    </w:p>
    <w:p>
      <w:pPr>
        <w:pStyle w:val="BodyText"/>
        <w:spacing w:before="11"/>
        <w:rPr>
          <w:sz w:val="20"/>
        </w:rPr>
      </w:pPr>
    </w:p>
    <w:p>
      <w:pPr>
        <w:pStyle w:val="BodyText"/>
        <w:spacing w:line="235" w:lineRule="auto"/>
        <w:ind w:left="3364" w:right="491"/>
      </w:pPr>
      <w:r>
        <w:rPr>
          <w:color w:val="2A3F4D"/>
          <w:w w:val="105"/>
        </w:rPr>
        <w:t>If we borrow the severe weather scale for storms and apply it to the global economy and markets, we aren’t forecasting “Recession Warning,” meaning a recession is here or imminent. A better term is “Recession Watch,” in which conditions are favorable to a recession if a number of risk factors (e.g., trade, interest rates, inflation)</w:t>
      </w:r>
      <w:r>
        <w:rPr>
          <w:color w:val="2A3F4D"/>
          <w:spacing w:val="49"/>
          <w:w w:val="105"/>
        </w:rPr>
        <w:t> </w:t>
      </w:r>
      <w:r>
        <w:rPr>
          <w:color w:val="2A3F4D"/>
          <w:w w:val="105"/>
        </w:rPr>
        <w:t>deteriorate.</w:t>
      </w:r>
    </w:p>
    <w:p>
      <w:pPr>
        <w:pStyle w:val="BodyText"/>
      </w:pPr>
    </w:p>
    <w:p>
      <w:pPr>
        <w:pStyle w:val="BodyText"/>
        <w:spacing w:line="235" w:lineRule="auto"/>
        <w:ind w:left="3363" w:right="491"/>
      </w:pPr>
      <w:r>
        <w:rPr>
          <w:color w:val="2A3F4D"/>
          <w:w w:val="105"/>
        </w:rPr>
        <w:t>While trade tensions have the potential to inflict substantial damage on the world economy, it would require a significant escalation from the measures implemented so far to trigger the next global recession.</w:t>
      </w:r>
    </w:p>
    <w:p>
      <w:pPr>
        <w:pStyle w:val="BodyText"/>
        <w:rPr>
          <w:sz w:val="20"/>
        </w:rPr>
      </w:pPr>
    </w:p>
    <w:p>
      <w:pPr>
        <w:pStyle w:val="BodyText"/>
        <w:spacing w:before="7"/>
        <w:rPr>
          <w:sz w:val="22"/>
        </w:rPr>
      </w:pPr>
      <w:r>
        <w:rPr/>
        <w:drawing>
          <wp:anchor distT="0" distB="0" distL="0" distR="0" allowOverlap="1" layoutInCell="1" locked="0" behindDoc="0" simplePos="0" relativeHeight="12">
            <wp:simplePos x="0" y="0"/>
            <wp:positionH relativeFrom="page">
              <wp:posOffset>2667000</wp:posOffset>
            </wp:positionH>
            <wp:positionV relativeFrom="paragraph">
              <wp:posOffset>200325</wp:posOffset>
            </wp:positionV>
            <wp:extent cx="4381724" cy="3163443"/>
            <wp:effectExtent l="0" t="0" r="0" b="0"/>
            <wp:wrapTopAndBottom/>
            <wp:docPr id="5" name="image4.jpeg"/>
            <wp:cNvGraphicFramePr>
              <a:graphicFrameLocks noChangeAspect="1"/>
            </wp:cNvGraphicFramePr>
            <a:graphic>
              <a:graphicData uri="http://schemas.openxmlformats.org/drawingml/2006/picture">
                <pic:pic>
                  <pic:nvPicPr>
                    <pic:cNvPr id="6" name="image4.jpeg"/>
                    <pic:cNvPicPr/>
                  </pic:nvPicPr>
                  <pic:blipFill>
                    <a:blip r:embed="rId12" cstate="print"/>
                    <a:stretch>
                      <a:fillRect/>
                    </a:stretch>
                  </pic:blipFill>
                  <pic:spPr>
                    <a:xfrm>
                      <a:off x="0" y="0"/>
                      <a:ext cx="4381724" cy="3163443"/>
                    </a:xfrm>
                    <a:prstGeom prst="rect">
                      <a:avLst/>
                    </a:prstGeom>
                  </pic:spPr>
                </pic:pic>
              </a:graphicData>
            </a:graphic>
          </wp:anchor>
        </w:drawing>
      </w:r>
    </w:p>
    <w:p>
      <w:pPr>
        <w:spacing w:after="0"/>
        <w:rPr>
          <w:sz w:val="22"/>
        </w:rPr>
        <w:sectPr>
          <w:headerReference w:type="default" r:id="rId11"/>
          <w:pgSz w:w="12240" w:h="15840"/>
          <w:pgMar w:header="960" w:footer="1280" w:top="3360" w:bottom="1480" w:left="980" w:right="940"/>
        </w:sectPr>
      </w:pPr>
    </w:p>
    <w:p>
      <w:pPr>
        <w:pStyle w:val="BodyText"/>
        <w:spacing w:before="4"/>
        <w:rPr>
          <w:sz w:val="24"/>
        </w:rPr>
      </w:pPr>
    </w:p>
    <w:p>
      <w:pPr>
        <w:pStyle w:val="BodyText"/>
        <w:spacing w:before="2"/>
        <w:rPr>
          <w:sz w:val="5"/>
        </w:rPr>
      </w:pPr>
    </w:p>
    <w:p>
      <w:pPr>
        <w:pStyle w:val="BodyText"/>
        <w:spacing w:line="72" w:lineRule="exact"/>
        <w:ind w:left="3184"/>
        <w:rPr>
          <w:sz w:val="7"/>
        </w:rPr>
      </w:pPr>
      <w:r>
        <w:rPr>
          <w:position w:val="0"/>
          <w:sz w:val="7"/>
        </w:rPr>
        <w:pict>
          <v:group style="width:348pt;height:3.6pt;mso-position-horizontal-relative:char;mso-position-vertical-relative:line" coordorigin="0,0" coordsize="6960,72">
            <v:line style="position:absolute" from="0,36" to="6960,36" stroked="true" strokeweight="3.6pt" strokecolor="#7a9c49">
              <v:stroke dashstyle="solid"/>
            </v:line>
          </v:group>
        </w:pict>
      </w:r>
      <w:r>
        <w:rPr>
          <w:position w:val="0"/>
          <w:sz w:val="7"/>
        </w:rPr>
      </w:r>
    </w:p>
    <w:p>
      <w:pPr>
        <w:pStyle w:val="Heading1"/>
      </w:pPr>
      <w:r>
        <w:rPr/>
        <w:pict>
          <v:shape style="position:absolute;margin-left:54pt;margin-top:20.384350pt;width:144pt;height:486pt;mso-position-horizontal-relative:page;mso-position-vertical-relative:paragraph;z-index:251676672" type="#_x0000_t202" filled="true" fillcolor="#f2f2f2" stroked="false">
            <v:textbox inset="0,0,0,0">
              <w:txbxContent>
                <w:p>
                  <w:pPr>
                    <w:pStyle w:val="BodyText"/>
                    <w:spacing w:before="11"/>
                    <w:rPr>
                      <w:sz w:val="25"/>
                    </w:rPr>
                  </w:pPr>
                </w:p>
                <w:p>
                  <w:pPr>
                    <w:numPr>
                      <w:ilvl w:val="0"/>
                      <w:numId w:val="5"/>
                    </w:numPr>
                    <w:tabs>
                      <w:tab w:pos="534" w:val="left" w:leader="none"/>
                    </w:tabs>
                    <w:spacing w:line="235" w:lineRule="auto" w:before="0"/>
                    <w:ind w:left="533" w:right="298" w:hanging="270"/>
                    <w:jc w:val="left"/>
                    <w:rPr>
                      <w:sz w:val="20"/>
                    </w:rPr>
                  </w:pPr>
                  <w:r>
                    <w:rPr>
                      <w:color w:val="2A3F4D"/>
                      <w:w w:val="105"/>
                      <w:sz w:val="20"/>
                    </w:rPr>
                    <w:t>International stocks may continue to see </w:t>
                  </w:r>
                  <w:r>
                    <w:rPr>
                      <w:color w:val="2A3F4D"/>
                      <w:spacing w:val="-3"/>
                      <w:w w:val="105"/>
                      <w:sz w:val="20"/>
                    </w:rPr>
                    <w:t>heightened </w:t>
                  </w:r>
                  <w:r>
                    <w:rPr>
                      <w:color w:val="2A3F4D"/>
                      <w:w w:val="105"/>
                      <w:sz w:val="20"/>
                    </w:rPr>
                    <w:t>volatility and could enter a bear market if key indicators continue on their current</w:t>
                  </w:r>
                  <w:r>
                    <w:rPr>
                      <w:color w:val="2A3F4D"/>
                      <w:spacing w:val="10"/>
                      <w:w w:val="105"/>
                      <w:sz w:val="20"/>
                    </w:rPr>
                    <w:t> </w:t>
                  </w:r>
                  <w:r>
                    <w:rPr>
                      <w:color w:val="2A3F4D"/>
                      <w:w w:val="105"/>
                      <w:sz w:val="20"/>
                    </w:rPr>
                    <w:t>path.</w:t>
                  </w:r>
                </w:p>
                <w:p>
                  <w:pPr>
                    <w:pStyle w:val="BodyText"/>
                    <w:spacing w:before="1"/>
                    <w:rPr>
                      <w:sz w:val="20"/>
                    </w:rPr>
                  </w:pPr>
                </w:p>
                <w:p>
                  <w:pPr>
                    <w:numPr>
                      <w:ilvl w:val="0"/>
                      <w:numId w:val="5"/>
                    </w:numPr>
                    <w:tabs>
                      <w:tab w:pos="534" w:val="left" w:leader="none"/>
                    </w:tabs>
                    <w:spacing w:line="235" w:lineRule="auto" w:before="0"/>
                    <w:ind w:left="533" w:right="561" w:hanging="270"/>
                    <w:jc w:val="left"/>
                    <w:rPr>
                      <w:sz w:val="20"/>
                    </w:rPr>
                  </w:pPr>
                  <w:r>
                    <w:rPr>
                      <w:color w:val="2A3F4D"/>
                      <w:w w:val="105"/>
                      <w:sz w:val="20"/>
                    </w:rPr>
                    <w:t>Consider reducing portfolio volatility by trimming </w:t>
                  </w:r>
                  <w:r>
                    <w:rPr>
                      <w:color w:val="2A3F4D"/>
                      <w:spacing w:val="-3"/>
                      <w:w w:val="105"/>
                      <w:sz w:val="20"/>
                    </w:rPr>
                    <w:t>historically </w:t>
                  </w:r>
                  <w:r>
                    <w:rPr>
                      <w:color w:val="2A3F4D"/>
                      <w:w w:val="105"/>
                      <w:sz w:val="20"/>
                    </w:rPr>
                    <w:t>more-volatile asset classes, such as emerging market stocks.</w:t>
                  </w:r>
                </w:p>
                <w:p>
                  <w:pPr>
                    <w:pStyle w:val="BodyText"/>
                    <w:spacing w:before="1"/>
                    <w:rPr>
                      <w:sz w:val="20"/>
                    </w:rPr>
                  </w:pPr>
                </w:p>
                <w:p>
                  <w:pPr>
                    <w:numPr>
                      <w:ilvl w:val="0"/>
                      <w:numId w:val="5"/>
                    </w:numPr>
                    <w:tabs>
                      <w:tab w:pos="534" w:val="left" w:leader="none"/>
                    </w:tabs>
                    <w:spacing w:line="235" w:lineRule="auto" w:before="0"/>
                    <w:ind w:left="533" w:right="282" w:hanging="270"/>
                    <w:jc w:val="left"/>
                    <w:rPr>
                      <w:sz w:val="20"/>
                    </w:rPr>
                  </w:pPr>
                  <w:r>
                    <w:rPr>
                      <w:color w:val="2A3F4D"/>
                      <w:w w:val="105"/>
                      <w:sz w:val="20"/>
                    </w:rPr>
                    <w:t>Consider </w:t>
                  </w:r>
                  <w:r>
                    <w:rPr>
                      <w:color w:val="2A3F4D"/>
                      <w:spacing w:val="-3"/>
                      <w:w w:val="105"/>
                      <w:sz w:val="20"/>
                    </w:rPr>
                    <w:t>rebalancing </w:t>
                  </w:r>
                  <w:r>
                    <w:rPr>
                      <w:color w:val="2A3F4D"/>
                      <w:w w:val="105"/>
                      <w:sz w:val="20"/>
                    </w:rPr>
                    <w:t>back to long-term asset allocation targets. Historically, long-term asset class trends have tended to reverse  in the year prior to global recessions and bear markets. This may begin to favor international over U.S., value over growth, and large- over small-cap stocks.</w:t>
                  </w:r>
                </w:p>
              </w:txbxContent>
            </v:textbox>
            <v:fill type="solid"/>
            <w10:wrap type="none"/>
          </v:shape>
        </w:pict>
      </w:r>
      <w:r>
        <w:rPr/>
        <w:pict>
          <v:shape style="position:absolute;margin-left:54pt;margin-top:-4.21565pt;width:144pt;height:24.6pt;mso-position-horizontal-relative:page;mso-position-vertical-relative:paragraph;z-index:251677696" type="#_x0000_t202" filled="true" fillcolor="#7a9c49" stroked="false">
            <v:textbox inset="0,0,0,0">
              <w:txbxContent>
                <w:p>
                  <w:pPr>
                    <w:spacing w:line="416" w:lineRule="exact" w:before="0"/>
                    <w:ind w:left="264" w:right="0" w:firstLine="0"/>
                    <w:jc w:val="left"/>
                    <w:rPr>
                      <w:sz w:val="36"/>
                    </w:rPr>
                  </w:pPr>
                  <w:r>
                    <w:rPr>
                      <w:color w:val="FFFFFF"/>
                      <w:sz w:val="36"/>
                    </w:rPr>
                    <w:t>TAKEAWAYS</w:t>
                  </w:r>
                </w:p>
              </w:txbxContent>
            </v:textbox>
            <v:fill type="solid"/>
            <w10:wrap type="none"/>
          </v:shape>
        </w:pict>
      </w:r>
      <w:r>
        <w:rPr>
          <w:color w:val="2A3F4D"/>
          <w:spacing w:val="-3"/>
          <w:w w:val="105"/>
        </w:rPr>
        <w:t>Indicators </w:t>
      </w:r>
      <w:r>
        <w:rPr>
          <w:color w:val="2A3F4D"/>
          <w:spacing w:val="-2"/>
          <w:w w:val="105"/>
        </w:rPr>
        <w:t>may </w:t>
      </w:r>
      <w:r>
        <w:rPr>
          <w:color w:val="2A3F4D"/>
          <w:w w:val="105"/>
        </w:rPr>
        <w:t>point to </w:t>
      </w:r>
      <w:r>
        <w:rPr>
          <w:color w:val="2A3F4D"/>
          <w:spacing w:val="-3"/>
          <w:w w:val="105"/>
        </w:rPr>
        <w:t>stock </w:t>
      </w:r>
      <w:r>
        <w:rPr>
          <w:color w:val="2A3F4D"/>
          <w:spacing w:val="-2"/>
          <w:w w:val="105"/>
        </w:rPr>
        <w:t>market</w:t>
      </w:r>
      <w:r>
        <w:rPr>
          <w:color w:val="2A3F4D"/>
          <w:spacing w:val="57"/>
          <w:w w:val="105"/>
        </w:rPr>
        <w:t> </w:t>
      </w:r>
      <w:r>
        <w:rPr>
          <w:color w:val="2A3F4D"/>
          <w:w w:val="105"/>
        </w:rPr>
        <w:t>peak</w:t>
      </w:r>
    </w:p>
    <w:p>
      <w:pPr>
        <w:pStyle w:val="BodyText"/>
        <w:spacing w:line="235" w:lineRule="auto" w:before="249"/>
        <w:ind w:left="3364" w:right="410"/>
      </w:pPr>
      <w:r>
        <w:rPr>
          <w:color w:val="2A3F4D"/>
          <w:w w:val="105"/>
        </w:rPr>
        <w:t>For all the concerns about trade policy, Brexit and other issues, 2018's big stock market declines generally were driven by inflation and interest rate concerns. These are the indicators investors should watch most closely in</w:t>
      </w:r>
      <w:r>
        <w:rPr>
          <w:color w:val="2A3F4D"/>
          <w:spacing w:val="13"/>
          <w:w w:val="105"/>
        </w:rPr>
        <w:t> </w:t>
      </w:r>
      <w:r>
        <w:rPr>
          <w:color w:val="2A3F4D"/>
          <w:w w:val="105"/>
        </w:rPr>
        <w:t>2019.</w:t>
      </w:r>
    </w:p>
    <w:p>
      <w:pPr>
        <w:pStyle w:val="BodyText"/>
        <w:spacing w:before="10"/>
        <w:rPr>
          <w:sz w:val="20"/>
        </w:rPr>
      </w:pPr>
    </w:p>
    <w:p>
      <w:pPr>
        <w:pStyle w:val="BodyText"/>
        <w:spacing w:line="235" w:lineRule="auto"/>
        <w:ind w:left="3364" w:right="410" w:hanging="1"/>
      </w:pPr>
      <w:r>
        <w:rPr>
          <w:color w:val="2A3F4D"/>
          <w:w w:val="105"/>
        </w:rPr>
        <w:t>Historically, when </w:t>
      </w:r>
      <w:r>
        <w:rPr>
          <w:w w:val="105"/>
        </w:rPr>
        <w:t>unemployment and inflation rates have converged </w:t>
      </w:r>
      <w:r>
        <w:rPr>
          <w:color w:val="2A3F4D"/>
          <w:w w:val="105"/>
        </w:rPr>
        <w:t>to become the same number—signaling an overheating economy—it has marked the beginning of a prolonged downturn for the stock market, followed about a year later by a recession. The gap between the unemployment rate and the inflation rate is close to one percentage  point in major countries like Germany, Japan, the United Kingdom, and the United States. Another leading indicator, </w:t>
      </w:r>
      <w:r>
        <w:rPr>
          <w:w w:val="105"/>
        </w:rPr>
        <w:t>the yield curve</w:t>
      </w:r>
      <w:r>
        <w:rPr>
          <w:color w:val="2A3F4D"/>
          <w:w w:val="105"/>
        </w:rPr>
        <w:t>, also has shown a narrowing gap between short- and longer-term Treasury </w:t>
      </w:r>
      <w:r>
        <w:rPr>
          <w:color w:val="2A3F4D"/>
          <w:spacing w:val="-3"/>
          <w:w w:val="105"/>
        </w:rPr>
        <w:t>yields. </w:t>
      </w:r>
      <w:r>
        <w:rPr>
          <w:color w:val="2A3F4D"/>
          <w:w w:val="105"/>
        </w:rPr>
        <w:t>These gaps may close in 2019 and signal a peak for international stocks ahead of a global</w:t>
      </w:r>
      <w:r>
        <w:rPr>
          <w:color w:val="2A3F4D"/>
          <w:spacing w:val="31"/>
          <w:w w:val="105"/>
        </w:rPr>
        <w:t> </w:t>
      </w:r>
      <w:r>
        <w:rPr>
          <w:color w:val="2A3F4D"/>
          <w:w w:val="105"/>
        </w:rPr>
        <w:t>recession.</w:t>
      </w:r>
    </w:p>
    <w:p>
      <w:pPr>
        <w:pStyle w:val="BodyText"/>
        <w:rPr>
          <w:sz w:val="20"/>
        </w:rPr>
      </w:pPr>
    </w:p>
    <w:p>
      <w:pPr>
        <w:pStyle w:val="BodyText"/>
        <w:spacing w:before="2"/>
        <w:rPr>
          <w:sz w:val="18"/>
        </w:rPr>
      </w:pPr>
      <w:r>
        <w:rPr/>
        <w:drawing>
          <wp:anchor distT="0" distB="0" distL="0" distR="0" allowOverlap="1" layoutInCell="1" locked="0" behindDoc="0" simplePos="0" relativeHeight="17">
            <wp:simplePos x="0" y="0"/>
            <wp:positionH relativeFrom="page">
              <wp:posOffset>2779014</wp:posOffset>
            </wp:positionH>
            <wp:positionV relativeFrom="paragraph">
              <wp:posOffset>166115</wp:posOffset>
            </wp:positionV>
            <wp:extent cx="4207487" cy="3156394"/>
            <wp:effectExtent l="0" t="0" r="0" b="0"/>
            <wp:wrapTopAndBottom/>
            <wp:docPr id="7" name="image5.png"/>
            <wp:cNvGraphicFramePr>
              <a:graphicFrameLocks noChangeAspect="1"/>
            </wp:cNvGraphicFramePr>
            <a:graphic>
              <a:graphicData uri="http://schemas.openxmlformats.org/drawingml/2006/picture">
                <pic:pic>
                  <pic:nvPicPr>
                    <pic:cNvPr id="8" name="image5.png"/>
                    <pic:cNvPicPr/>
                  </pic:nvPicPr>
                  <pic:blipFill>
                    <a:blip r:embed="rId13" cstate="print"/>
                    <a:stretch>
                      <a:fillRect/>
                    </a:stretch>
                  </pic:blipFill>
                  <pic:spPr>
                    <a:xfrm>
                      <a:off x="0" y="0"/>
                      <a:ext cx="4207487" cy="3156394"/>
                    </a:xfrm>
                    <a:prstGeom prst="rect">
                      <a:avLst/>
                    </a:prstGeom>
                  </pic:spPr>
                </pic:pic>
              </a:graphicData>
            </a:graphic>
          </wp:anchor>
        </w:drawing>
      </w:r>
    </w:p>
    <w:p>
      <w:pPr>
        <w:spacing w:after="0"/>
        <w:rPr>
          <w:sz w:val="18"/>
        </w:rPr>
        <w:sectPr>
          <w:pgSz w:w="12240" w:h="15840"/>
          <w:pgMar w:header="960" w:footer="1280" w:top="3360" w:bottom="1480" w:left="980" w:right="940"/>
        </w:sectPr>
      </w:pPr>
    </w:p>
    <w:p>
      <w:pPr>
        <w:pStyle w:val="BodyText"/>
        <w:spacing w:before="4"/>
        <w:rPr>
          <w:sz w:val="24"/>
        </w:rPr>
      </w:pPr>
    </w:p>
    <w:p>
      <w:pPr>
        <w:pStyle w:val="BodyText"/>
        <w:rPr>
          <w:sz w:val="5"/>
        </w:rPr>
      </w:pPr>
    </w:p>
    <w:p>
      <w:pPr>
        <w:pStyle w:val="BodyText"/>
        <w:spacing w:line="72" w:lineRule="exact"/>
        <w:ind w:left="3184"/>
        <w:rPr>
          <w:sz w:val="7"/>
        </w:rPr>
      </w:pPr>
      <w:r>
        <w:rPr>
          <w:position w:val="0"/>
          <w:sz w:val="7"/>
        </w:rPr>
        <w:pict>
          <v:group style="width:348pt;height:3.6pt;mso-position-horizontal-relative:char;mso-position-vertical-relative:line" coordorigin="0,0" coordsize="6960,72">
            <v:line style="position:absolute" from="0,36" to="6960,36" stroked="true" strokeweight="3.6pt" strokecolor="#a04878">
              <v:stroke dashstyle="solid"/>
            </v:line>
          </v:group>
        </w:pict>
      </w:r>
      <w:r>
        <w:rPr>
          <w:position w:val="0"/>
          <w:sz w:val="7"/>
        </w:rPr>
      </w:r>
    </w:p>
    <w:p>
      <w:pPr>
        <w:pStyle w:val="Heading1"/>
        <w:spacing w:before="123"/>
      </w:pPr>
      <w:r>
        <w:rPr/>
        <w:pict>
          <v:shape style="position:absolute;margin-left:54pt;margin-top:20.48435pt;width:144pt;height:486pt;mso-position-horizontal-relative:page;mso-position-vertical-relative:paragraph;z-index:251680768" type="#_x0000_t202" filled="true" fillcolor="#f2f2f2" stroked="false">
            <v:textbox inset="0,0,0,0">
              <w:txbxContent>
                <w:p>
                  <w:pPr>
                    <w:pStyle w:val="BodyText"/>
                    <w:spacing w:before="11"/>
                    <w:rPr>
                      <w:sz w:val="25"/>
                    </w:rPr>
                  </w:pPr>
                </w:p>
                <w:p>
                  <w:pPr>
                    <w:numPr>
                      <w:ilvl w:val="0"/>
                      <w:numId w:val="6"/>
                    </w:numPr>
                    <w:tabs>
                      <w:tab w:pos="534" w:val="left" w:leader="none"/>
                    </w:tabs>
                    <w:spacing w:line="235" w:lineRule="auto" w:before="0"/>
                    <w:ind w:left="533" w:right="305" w:hanging="270"/>
                    <w:jc w:val="left"/>
                    <w:rPr>
                      <w:sz w:val="20"/>
                    </w:rPr>
                  </w:pPr>
                  <w:r>
                    <w:rPr>
                      <w:color w:val="2A3F4D"/>
                      <w:w w:val="110"/>
                      <w:sz w:val="20"/>
                    </w:rPr>
                    <w:t>Ten-year </w:t>
                  </w:r>
                  <w:r>
                    <w:rPr>
                      <w:color w:val="2A3F4D"/>
                      <w:spacing w:val="-3"/>
                      <w:w w:val="110"/>
                      <w:sz w:val="20"/>
                    </w:rPr>
                    <w:t>Treasury </w:t>
                  </w:r>
                  <w:r>
                    <w:rPr>
                      <w:color w:val="2A3F4D"/>
                      <w:w w:val="110"/>
                      <w:sz w:val="20"/>
                    </w:rPr>
                    <w:t>yields</w:t>
                  </w:r>
                  <w:r>
                    <w:rPr>
                      <w:color w:val="2A3F4D"/>
                      <w:spacing w:val="-25"/>
                      <w:w w:val="110"/>
                      <w:sz w:val="20"/>
                    </w:rPr>
                    <w:t> </w:t>
                  </w:r>
                  <w:r>
                    <w:rPr>
                      <w:color w:val="2A3F4D"/>
                      <w:w w:val="110"/>
                      <w:sz w:val="20"/>
                    </w:rPr>
                    <w:t>may</w:t>
                  </w:r>
                  <w:r>
                    <w:rPr>
                      <w:color w:val="2A3F4D"/>
                      <w:spacing w:val="-24"/>
                      <w:w w:val="110"/>
                      <w:sz w:val="20"/>
                    </w:rPr>
                    <w:t> </w:t>
                  </w:r>
                  <w:r>
                    <w:rPr>
                      <w:color w:val="2A3F4D"/>
                      <w:w w:val="110"/>
                      <w:sz w:val="20"/>
                    </w:rPr>
                    <w:t>have</w:t>
                  </w:r>
                  <w:r>
                    <w:rPr>
                      <w:color w:val="2A3F4D"/>
                      <w:spacing w:val="-26"/>
                      <w:w w:val="110"/>
                      <w:sz w:val="20"/>
                    </w:rPr>
                    <w:t> </w:t>
                  </w:r>
                  <w:r>
                    <w:rPr>
                      <w:color w:val="2A3F4D"/>
                      <w:spacing w:val="-3"/>
                      <w:w w:val="110"/>
                      <w:sz w:val="20"/>
                    </w:rPr>
                    <w:t>peaked </w:t>
                  </w:r>
                  <w:r>
                    <w:rPr>
                      <w:color w:val="2A3F4D"/>
                      <w:w w:val="110"/>
                      <w:sz w:val="20"/>
                    </w:rPr>
                    <w:t>for this cycle at 3.25%. Tighter central bank monetary policy, a strong dollar and weaker global growth may dampen growth and inflation</w:t>
                  </w:r>
                  <w:r>
                    <w:rPr>
                      <w:color w:val="2A3F4D"/>
                      <w:spacing w:val="-33"/>
                      <w:w w:val="110"/>
                      <w:sz w:val="20"/>
                    </w:rPr>
                    <w:t> </w:t>
                  </w:r>
                  <w:r>
                    <w:rPr>
                      <w:color w:val="2A3F4D"/>
                      <w:w w:val="110"/>
                      <w:sz w:val="20"/>
                    </w:rPr>
                    <w:t>prospects in 2019, limiting the rise in bond</w:t>
                  </w:r>
                  <w:r>
                    <w:rPr>
                      <w:color w:val="2A3F4D"/>
                      <w:spacing w:val="-3"/>
                      <w:w w:val="110"/>
                      <w:sz w:val="20"/>
                    </w:rPr>
                    <w:t> </w:t>
                  </w:r>
                  <w:r>
                    <w:rPr>
                      <w:color w:val="2A3F4D"/>
                      <w:w w:val="110"/>
                      <w:sz w:val="20"/>
                    </w:rPr>
                    <w:t>yields.</w:t>
                  </w:r>
                </w:p>
                <w:p>
                  <w:pPr>
                    <w:pStyle w:val="BodyText"/>
                    <w:spacing w:before="4"/>
                    <w:rPr>
                      <w:sz w:val="20"/>
                    </w:rPr>
                  </w:pPr>
                </w:p>
                <w:p>
                  <w:pPr>
                    <w:numPr>
                      <w:ilvl w:val="0"/>
                      <w:numId w:val="6"/>
                    </w:numPr>
                    <w:tabs>
                      <w:tab w:pos="534" w:val="left" w:leader="none"/>
                    </w:tabs>
                    <w:spacing w:line="235" w:lineRule="auto" w:before="0"/>
                    <w:ind w:left="533" w:right="323" w:hanging="270"/>
                    <w:jc w:val="left"/>
                    <w:rPr>
                      <w:sz w:val="20"/>
                    </w:rPr>
                  </w:pPr>
                  <w:r>
                    <w:rPr>
                      <w:color w:val="2A3F4D"/>
                      <w:w w:val="110"/>
                      <w:sz w:val="20"/>
                    </w:rPr>
                    <w:t>The Fed may pause or end federal funds rate hikes by mid-2019, near 3%, if the yield curve flattens and </w:t>
                  </w:r>
                  <w:r>
                    <w:rPr>
                      <w:color w:val="2A3F4D"/>
                      <w:w w:val="105"/>
                      <w:sz w:val="20"/>
                    </w:rPr>
                    <w:t>inflation remains</w:t>
                  </w:r>
                  <w:r>
                    <w:rPr>
                      <w:color w:val="2A3F4D"/>
                      <w:spacing w:val="12"/>
                      <w:w w:val="105"/>
                      <w:sz w:val="20"/>
                    </w:rPr>
                    <w:t> </w:t>
                  </w:r>
                  <w:r>
                    <w:rPr>
                      <w:color w:val="2A3F4D"/>
                      <w:w w:val="105"/>
                      <w:sz w:val="20"/>
                    </w:rPr>
                    <w:t>tame.</w:t>
                  </w:r>
                </w:p>
                <w:p>
                  <w:pPr>
                    <w:pStyle w:val="BodyText"/>
                    <w:rPr>
                      <w:sz w:val="20"/>
                    </w:rPr>
                  </w:pPr>
                </w:p>
                <w:p>
                  <w:pPr>
                    <w:numPr>
                      <w:ilvl w:val="0"/>
                      <w:numId w:val="6"/>
                    </w:numPr>
                    <w:tabs>
                      <w:tab w:pos="534" w:val="left" w:leader="none"/>
                    </w:tabs>
                    <w:spacing w:line="235" w:lineRule="auto" w:before="0"/>
                    <w:ind w:left="533" w:right="289" w:hanging="270"/>
                    <w:jc w:val="left"/>
                    <w:rPr>
                      <w:sz w:val="20"/>
                    </w:rPr>
                  </w:pPr>
                  <w:r>
                    <w:rPr>
                      <w:color w:val="2A3F4D"/>
                      <w:w w:val="110"/>
                      <w:sz w:val="20"/>
                    </w:rPr>
                    <w:t>Volatility likely will continue as markets adjust</w:t>
                  </w:r>
                  <w:r>
                    <w:rPr>
                      <w:color w:val="2A3F4D"/>
                      <w:spacing w:val="-8"/>
                      <w:w w:val="110"/>
                      <w:sz w:val="20"/>
                    </w:rPr>
                    <w:t> </w:t>
                  </w:r>
                  <w:r>
                    <w:rPr>
                      <w:color w:val="2A3F4D"/>
                      <w:w w:val="110"/>
                      <w:sz w:val="20"/>
                    </w:rPr>
                    <w:t>to</w:t>
                  </w:r>
                  <w:r>
                    <w:rPr>
                      <w:color w:val="2A3F4D"/>
                      <w:spacing w:val="-11"/>
                      <w:w w:val="110"/>
                      <w:sz w:val="20"/>
                    </w:rPr>
                    <w:t> </w:t>
                  </w:r>
                  <w:r>
                    <w:rPr>
                      <w:color w:val="2A3F4D"/>
                      <w:w w:val="110"/>
                      <w:sz w:val="20"/>
                    </w:rPr>
                    <w:t>the</w:t>
                  </w:r>
                  <w:r>
                    <w:rPr>
                      <w:color w:val="2A3F4D"/>
                      <w:spacing w:val="-10"/>
                      <w:w w:val="110"/>
                      <w:sz w:val="20"/>
                    </w:rPr>
                    <w:t> </w:t>
                  </w:r>
                  <w:r>
                    <w:rPr>
                      <w:color w:val="2A3F4D"/>
                      <w:w w:val="110"/>
                      <w:sz w:val="20"/>
                    </w:rPr>
                    <w:t>end</w:t>
                  </w:r>
                  <w:r>
                    <w:rPr>
                      <w:color w:val="2A3F4D"/>
                      <w:spacing w:val="-10"/>
                      <w:w w:val="110"/>
                      <w:sz w:val="20"/>
                    </w:rPr>
                    <w:t> </w:t>
                  </w:r>
                  <w:r>
                    <w:rPr>
                      <w:color w:val="2A3F4D"/>
                      <w:w w:val="110"/>
                      <w:sz w:val="20"/>
                    </w:rPr>
                    <w:t>of</w:t>
                  </w:r>
                  <w:r>
                    <w:rPr>
                      <w:color w:val="2A3F4D"/>
                      <w:spacing w:val="-12"/>
                      <w:w w:val="110"/>
                      <w:sz w:val="20"/>
                    </w:rPr>
                    <w:t> </w:t>
                  </w:r>
                  <w:r>
                    <w:rPr>
                      <w:color w:val="2A3F4D"/>
                      <w:spacing w:val="-5"/>
                      <w:w w:val="110"/>
                      <w:sz w:val="20"/>
                    </w:rPr>
                    <w:t>the </w:t>
                  </w:r>
                  <w:r>
                    <w:rPr>
                      <w:color w:val="2A3F4D"/>
                      <w:w w:val="110"/>
                      <w:sz w:val="20"/>
                    </w:rPr>
                    <w:t>easy-money era.</w:t>
                  </w:r>
                </w:p>
                <w:p>
                  <w:pPr>
                    <w:pStyle w:val="BodyText"/>
                    <w:spacing w:before="11"/>
                    <w:rPr>
                      <w:sz w:val="19"/>
                    </w:rPr>
                  </w:pPr>
                </w:p>
                <w:p>
                  <w:pPr>
                    <w:numPr>
                      <w:ilvl w:val="0"/>
                      <w:numId w:val="6"/>
                    </w:numPr>
                    <w:tabs>
                      <w:tab w:pos="534" w:val="left" w:leader="none"/>
                    </w:tabs>
                    <w:spacing w:line="235" w:lineRule="auto" w:before="0"/>
                    <w:ind w:left="533" w:right="331" w:hanging="270"/>
                    <w:jc w:val="left"/>
                    <w:rPr>
                      <w:sz w:val="20"/>
                    </w:rPr>
                  </w:pPr>
                  <w:r>
                    <w:rPr>
                      <w:color w:val="2A3F4D"/>
                      <w:w w:val="105"/>
                      <w:sz w:val="20"/>
                    </w:rPr>
                    <w:t>We expect the dollar </w:t>
                  </w:r>
                  <w:r>
                    <w:rPr>
                      <w:color w:val="2A3F4D"/>
                      <w:spacing w:val="-7"/>
                      <w:w w:val="105"/>
                      <w:sz w:val="20"/>
                    </w:rPr>
                    <w:t>to </w:t>
                  </w:r>
                  <w:r>
                    <w:rPr>
                      <w:color w:val="2A3F4D"/>
                      <w:w w:val="105"/>
                      <w:sz w:val="20"/>
                    </w:rPr>
                    <w:t>stay firm until there is evidence that the Fed is done tightening and/or global growth picks</w:t>
                  </w:r>
                  <w:r>
                    <w:rPr>
                      <w:color w:val="2A3F4D"/>
                      <w:spacing w:val="11"/>
                      <w:w w:val="105"/>
                      <w:sz w:val="20"/>
                    </w:rPr>
                    <w:t> </w:t>
                  </w:r>
                  <w:r>
                    <w:rPr>
                      <w:color w:val="2A3F4D"/>
                      <w:w w:val="105"/>
                      <w:sz w:val="20"/>
                    </w:rPr>
                    <w:t>up.</w:t>
                  </w:r>
                </w:p>
              </w:txbxContent>
            </v:textbox>
            <v:fill type="solid"/>
            <w10:wrap type="none"/>
          </v:shape>
        </w:pict>
      </w:r>
      <w:r>
        <w:rPr/>
        <w:pict>
          <v:shape style="position:absolute;margin-left:54pt;margin-top:-4.115649pt;width:144pt;height:24.6pt;mso-position-horizontal-relative:page;mso-position-vertical-relative:paragraph;z-index:251681792" type="#_x0000_t202" filled="true" fillcolor="#a04878" stroked="false">
            <v:textbox inset="0,0,0,0">
              <w:txbxContent>
                <w:p>
                  <w:pPr>
                    <w:spacing w:line="416" w:lineRule="exact" w:before="0"/>
                    <w:ind w:left="264" w:right="0" w:firstLine="0"/>
                    <w:jc w:val="left"/>
                    <w:rPr>
                      <w:sz w:val="36"/>
                    </w:rPr>
                  </w:pPr>
                  <w:r>
                    <w:rPr>
                      <w:color w:val="FFFFFF"/>
                      <w:sz w:val="36"/>
                    </w:rPr>
                    <w:t>KEY POINTS</w:t>
                  </w:r>
                </w:p>
              </w:txbxContent>
            </v:textbox>
            <v:fill type="solid"/>
            <w10:wrap type="none"/>
          </v:shape>
        </w:pict>
      </w:r>
      <w:r>
        <w:rPr>
          <w:color w:val="2A3F4D"/>
          <w:w w:val="110"/>
        </w:rPr>
        <w:t>Peak expectations</w:t>
      </w:r>
    </w:p>
    <w:p>
      <w:pPr>
        <w:pStyle w:val="BodyText"/>
        <w:spacing w:line="235" w:lineRule="auto" w:before="249"/>
        <w:ind w:left="3364" w:right="491"/>
      </w:pPr>
      <w:r>
        <w:rPr>
          <w:color w:val="2A3F4D"/>
          <w:w w:val="105"/>
        </w:rPr>
        <w:t>The worst may be over for the bond bear market. After more than two years of steadily rising bond yields (and falling bond prices, which move inversely to yields), our research suggests that 10-year Treasury bond yields may have peaked for this tightening cycle at the 3.25% level. The Federal Reserve likely will continue to raise short-term interest rates to about 3% in 2019, but we don’t see longer-term yields moving much above the recent highs. Tighter global monetary policy, a strong U.S. dollar and sluggish global growth exacerbated by trade conflicts are likely to weigh on economic growth and inflation, limiting the rise in bond</w:t>
      </w:r>
      <w:r>
        <w:rPr>
          <w:color w:val="2A3F4D"/>
          <w:spacing w:val="5"/>
          <w:w w:val="105"/>
        </w:rPr>
        <w:t> </w:t>
      </w:r>
      <w:r>
        <w:rPr>
          <w:color w:val="2A3F4D"/>
          <w:w w:val="105"/>
        </w:rPr>
        <w:t>yields.</w:t>
      </w:r>
    </w:p>
    <w:p>
      <w:pPr>
        <w:pStyle w:val="BodyText"/>
        <w:spacing w:before="3"/>
      </w:pPr>
    </w:p>
    <w:p>
      <w:pPr>
        <w:pStyle w:val="BodyText"/>
        <w:spacing w:line="235" w:lineRule="auto"/>
        <w:ind w:left="3364" w:right="491"/>
      </w:pPr>
      <w:r>
        <w:rPr>
          <w:color w:val="2A3F4D"/>
          <w:w w:val="105"/>
        </w:rPr>
        <w:t>However, the path forward isn’t likely to be smooth. As markets adjust to tightening financial conditions, volatility is likely to increase.</w:t>
      </w:r>
    </w:p>
    <w:p>
      <w:pPr>
        <w:pStyle w:val="BodyText"/>
        <w:rPr>
          <w:sz w:val="20"/>
        </w:rPr>
      </w:pPr>
    </w:p>
    <w:p>
      <w:pPr>
        <w:pStyle w:val="BodyText"/>
        <w:rPr>
          <w:sz w:val="20"/>
        </w:rPr>
      </w:pPr>
    </w:p>
    <w:p>
      <w:pPr>
        <w:pStyle w:val="BodyText"/>
        <w:rPr>
          <w:sz w:val="20"/>
        </w:rPr>
      </w:pPr>
    </w:p>
    <w:p>
      <w:pPr>
        <w:pStyle w:val="BodyText"/>
        <w:rPr>
          <w:sz w:val="20"/>
        </w:rPr>
      </w:pPr>
      <w:r>
        <w:rPr/>
        <w:drawing>
          <wp:anchor distT="0" distB="0" distL="0" distR="0" allowOverlap="1" layoutInCell="1" locked="0" behindDoc="0" simplePos="0" relativeHeight="21">
            <wp:simplePos x="0" y="0"/>
            <wp:positionH relativeFrom="page">
              <wp:posOffset>2677667</wp:posOffset>
            </wp:positionH>
            <wp:positionV relativeFrom="paragraph">
              <wp:posOffset>180183</wp:posOffset>
            </wp:positionV>
            <wp:extent cx="4354016" cy="3171825"/>
            <wp:effectExtent l="0" t="0" r="0" b="0"/>
            <wp:wrapTopAndBottom/>
            <wp:docPr id="9" name="image6.jpeg"/>
            <wp:cNvGraphicFramePr>
              <a:graphicFrameLocks noChangeAspect="1"/>
            </wp:cNvGraphicFramePr>
            <a:graphic>
              <a:graphicData uri="http://schemas.openxmlformats.org/drawingml/2006/picture">
                <pic:pic>
                  <pic:nvPicPr>
                    <pic:cNvPr id="10" name="image6.jpeg"/>
                    <pic:cNvPicPr/>
                  </pic:nvPicPr>
                  <pic:blipFill>
                    <a:blip r:embed="rId15" cstate="print"/>
                    <a:stretch>
                      <a:fillRect/>
                    </a:stretch>
                  </pic:blipFill>
                  <pic:spPr>
                    <a:xfrm>
                      <a:off x="0" y="0"/>
                      <a:ext cx="4354016" cy="3171825"/>
                    </a:xfrm>
                    <a:prstGeom prst="rect">
                      <a:avLst/>
                    </a:prstGeom>
                  </pic:spPr>
                </pic:pic>
              </a:graphicData>
            </a:graphic>
          </wp:anchor>
        </w:drawing>
      </w:r>
    </w:p>
    <w:p>
      <w:pPr>
        <w:spacing w:after="0"/>
        <w:rPr>
          <w:sz w:val="20"/>
        </w:rPr>
        <w:sectPr>
          <w:headerReference w:type="default" r:id="rId14"/>
          <w:pgSz w:w="12240" w:h="15840"/>
          <w:pgMar w:header="960" w:footer="1280" w:top="3360" w:bottom="1480" w:left="980" w:right="940"/>
        </w:sectPr>
      </w:pPr>
    </w:p>
    <w:p>
      <w:pPr>
        <w:pStyle w:val="BodyText"/>
        <w:spacing w:before="4"/>
        <w:rPr>
          <w:sz w:val="24"/>
        </w:rPr>
      </w:pPr>
    </w:p>
    <w:p>
      <w:pPr>
        <w:pStyle w:val="BodyText"/>
        <w:spacing w:before="2"/>
        <w:rPr>
          <w:sz w:val="5"/>
        </w:rPr>
      </w:pPr>
    </w:p>
    <w:p>
      <w:pPr>
        <w:pStyle w:val="BodyText"/>
        <w:spacing w:line="72" w:lineRule="exact"/>
        <w:ind w:left="3184"/>
        <w:rPr>
          <w:sz w:val="7"/>
        </w:rPr>
      </w:pPr>
      <w:r>
        <w:rPr>
          <w:position w:val="0"/>
          <w:sz w:val="7"/>
        </w:rPr>
        <w:pict>
          <v:group style="width:348pt;height:3.6pt;mso-position-horizontal-relative:char;mso-position-vertical-relative:line" coordorigin="0,0" coordsize="6960,72">
            <v:line style="position:absolute" from="0,36" to="6960,36" stroked="true" strokeweight="3.6pt" strokecolor="#a04878">
              <v:stroke dashstyle="solid"/>
            </v:line>
          </v:group>
        </w:pict>
      </w:r>
      <w:r>
        <w:rPr>
          <w:position w:val="0"/>
          <w:sz w:val="7"/>
        </w:rPr>
      </w:r>
    </w:p>
    <w:p>
      <w:pPr>
        <w:pStyle w:val="Heading1"/>
      </w:pPr>
      <w:r>
        <w:rPr/>
        <w:pict>
          <v:shape style="position:absolute;margin-left:54pt;margin-top:20.384350pt;width:144pt;height:486pt;mso-position-horizontal-relative:page;mso-position-vertical-relative:paragraph;z-index:251684864" type="#_x0000_t202" filled="true" fillcolor="#f2f2f2" stroked="false">
            <v:textbox inset="0,0,0,0">
              <w:txbxContent>
                <w:p>
                  <w:pPr>
                    <w:pStyle w:val="BodyText"/>
                    <w:spacing w:before="11"/>
                    <w:rPr>
                      <w:sz w:val="25"/>
                    </w:rPr>
                  </w:pPr>
                </w:p>
                <w:p>
                  <w:pPr>
                    <w:numPr>
                      <w:ilvl w:val="0"/>
                      <w:numId w:val="7"/>
                    </w:numPr>
                    <w:tabs>
                      <w:tab w:pos="534" w:val="left" w:leader="none"/>
                    </w:tabs>
                    <w:spacing w:line="235" w:lineRule="auto" w:before="0"/>
                    <w:ind w:left="533" w:right="402" w:hanging="270"/>
                    <w:jc w:val="left"/>
                    <w:rPr>
                      <w:sz w:val="20"/>
                    </w:rPr>
                  </w:pPr>
                  <w:r>
                    <w:rPr>
                      <w:color w:val="2A3F4D"/>
                      <w:w w:val="110"/>
                      <w:sz w:val="20"/>
                    </w:rPr>
                    <w:t>Consider </w:t>
                  </w:r>
                  <w:r>
                    <w:rPr>
                      <w:color w:val="2A3F4D"/>
                      <w:spacing w:val="-2"/>
                      <w:w w:val="110"/>
                      <w:sz w:val="20"/>
                    </w:rPr>
                    <w:t>adding </w:t>
                  </w:r>
                  <w:r>
                    <w:rPr>
                      <w:color w:val="2A3F4D"/>
                      <w:w w:val="110"/>
                      <w:sz w:val="20"/>
                    </w:rPr>
                    <w:t>to portfolio duration as bond yields rise, in order</w:t>
                  </w:r>
                  <w:r>
                    <w:rPr>
                      <w:color w:val="2A3F4D"/>
                      <w:spacing w:val="-23"/>
                      <w:w w:val="110"/>
                      <w:sz w:val="20"/>
                    </w:rPr>
                    <w:t> </w:t>
                  </w:r>
                  <w:r>
                    <w:rPr>
                      <w:color w:val="2A3F4D"/>
                      <w:w w:val="110"/>
                      <w:sz w:val="20"/>
                    </w:rPr>
                    <w:t>to</w:t>
                  </w:r>
                  <w:r>
                    <w:rPr>
                      <w:color w:val="2A3F4D"/>
                      <w:spacing w:val="-23"/>
                      <w:w w:val="110"/>
                      <w:sz w:val="20"/>
                    </w:rPr>
                    <w:t> </w:t>
                  </w:r>
                  <w:r>
                    <w:rPr>
                      <w:color w:val="2A3F4D"/>
                      <w:w w:val="110"/>
                      <w:sz w:val="20"/>
                    </w:rPr>
                    <w:t>capture</w:t>
                  </w:r>
                  <w:r>
                    <w:rPr>
                      <w:color w:val="2A3F4D"/>
                      <w:spacing w:val="-21"/>
                      <w:w w:val="110"/>
                      <w:sz w:val="20"/>
                    </w:rPr>
                    <w:t> </w:t>
                  </w:r>
                  <w:r>
                    <w:rPr>
                      <w:color w:val="2A3F4D"/>
                      <w:w w:val="110"/>
                      <w:sz w:val="20"/>
                    </w:rPr>
                    <w:t>more income, as the business cycle advances.</w:t>
                  </w:r>
                </w:p>
                <w:p>
                  <w:pPr>
                    <w:pStyle w:val="BodyText"/>
                    <w:spacing w:before="1"/>
                    <w:rPr>
                      <w:sz w:val="20"/>
                    </w:rPr>
                  </w:pPr>
                </w:p>
                <w:p>
                  <w:pPr>
                    <w:numPr>
                      <w:ilvl w:val="0"/>
                      <w:numId w:val="7"/>
                    </w:numPr>
                    <w:tabs>
                      <w:tab w:pos="534" w:val="left" w:leader="none"/>
                    </w:tabs>
                    <w:spacing w:line="235" w:lineRule="auto" w:before="0"/>
                    <w:ind w:left="533" w:right="289" w:hanging="270"/>
                    <w:jc w:val="left"/>
                    <w:rPr>
                      <w:sz w:val="20"/>
                    </w:rPr>
                  </w:pPr>
                  <w:r>
                    <w:rPr>
                      <w:color w:val="2A3F4D"/>
                      <w:w w:val="105"/>
                      <w:sz w:val="20"/>
                    </w:rPr>
                    <w:t>Consider moving up in </w:t>
                  </w:r>
                  <w:r>
                    <w:rPr>
                      <w:color w:val="2A3F4D"/>
                      <w:spacing w:val="-3"/>
                      <w:w w:val="105"/>
                      <w:sz w:val="20"/>
                    </w:rPr>
                    <w:t>corporate </w:t>
                  </w:r>
                  <w:r>
                    <w:rPr>
                      <w:color w:val="2A3F4D"/>
                      <w:w w:val="105"/>
                      <w:sz w:val="20"/>
                    </w:rPr>
                    <w:t>credit </w:t>
                  </w:r>
                  <w:r>
                    <w:rPr>
                      <w:color w:val="2A3F4D"/>
                      <w:spacing w:val="-3"/>
                      <w:w w:val="105"/>
                      <w:sz w:val="20"/>
                    </w:rPr>
                    <w:t>quality. </w:t>
                  </w:r>
                  <w:r>
                    <w:rPr>
                      <w:color w:val="2A3F4D"/>
                      <w:w w:val="105"/>
                      <w:sz w:val="20"/>
                    </w:rPr>
                    <w:t>Corporate bond market risks are rising, but the additional “yield premium” that both investment-grade and high-yield corporate bonds offer versus Treasuries remains relatively</w:t>
                  </w:r>
                  <w:r>
                    <w:rPr>
                      <w:color w:val="2A3F4D"/>
                      <w:spacing w:val="4"/>
                      <w:w w:val="105"/>
                      <w:sz w:val="20"/>
                    </w:rPr>
                    <w:t> </w:t>
                  </w:r>
                  <w:r>
                    <w:rPr>
                      <w:color w:val="2A3F4D"/>
                      <w:w w:val="105"/>
                      <w:sz w:val="20"/>
                    </w:rPr>
                    <w:t>low.</w:t>
                  </w:r>
                </w:p>
                <w:p>
                  <w:pPr>
                    <w:pStyle w:val="BodyText"/>
                    <w:spacing w:before="4"/>
                    <w:rPr>
                      <w:sz w:val="20"/>
                    </w:rPr>
                  </w:pPr>
                </w:p>
                <w:p>
                  <w:pPr>
                    <w:numPr>
                      <w:ilvl w:val="0"/>
                      <w:numId w:val="7"/>
                    </w:numPr>
                    <w:tabs>
                      <w:tab w:pos="534" w:val="left" w:leader="none"/>
                    </w:tabs>
                    <w:spacing w:line="235" w:lineRule="auto" w:before="0"/>
                    <w:ind w:left="533" w:right="320" w:hanging="270"/>
                    <w:jc w:val="left"/>
                    <w:rPr>
                      <w:sz w:val="20"/>
                    </w:rPr>
                  </w:pPr>
                  <w:r>
                    <w:rPr>
                      <w:color w:val="2A3F4D"/>
                      <w:w w:val="105"/>
                      <w:sz w:val="20"/>
                    </w:rPr>
                    <w:t>Consider </w:t>
                  </w:r>
                  <w:r>
                    <w:rPr>
                      <w:color w:val="2A3F4D"/>
                      <w:spacing w:val="-3"/>
                      <w:w w:val="105"/>
                      <w:sz w:val="20"/>
                    </w:rPr>
                    <w:t>higher-rated </w:t>
                  </w:r>
                  <w:r>
                    <w:rPr>
                      <w:color w:val="2A3F4D"/>
                      <w:w w:val="105"/>
                      <w:sz w:val="20"/>
                    </w:rPr>
                    <w:t>municipal bonds, in </w:t>
                  </w:r>
                  <w:r>
                    <w:rPr>
                      <w:color w:val="2A3F4D"/>
                      <w:spacing w:val="-4"/>
                      <w:w w:val="105"/>
                      <w:sz w:val="20"/>
                    </w:rPr>
                    <w:t>the </w:t>
                  </w:r>
                  <w:r>
                    <w:rPr>
                      <w:color w:val="2A3F4D"/>
                      <w:w w:val="105"/>
                      <w:sz w:val="20"/>
                    </w:rPr>
                    <w:t>five- to eight-year part of the yield curve. Although muni credit quality is generally strong (albeit with pockets of risk), tight credit spreads don’t justify taking on additional credit</w:t>
                  </w:r>
                  <w:r>
                    <w:rPr>
                      <w:color w:val="2A3F4D"/>
                      <w:spacing w:val="17"/>
                      <w:w w:val="105"/>
                      <w:sz w:val="20"/>
                    </w:rPr>
                    <w:t> </w:t>
                  </w:r>
                  <w:r>
                    <w:rPr>
                      <w:color w:val="2A3F4D"/>
                      <w:w w:val="105"/>
                      <w:sz w:val="20"/>
                    </w:rPr>
                    <w:t>risk.</w:t>
                  </w:r>
                </w:p>
              </w:txbxContent>
            </v:textbox>
            <v:fill type="solid"/>
            <w10:wrap type="none"/>
          </v:shape>
        </w:pict>
      </w:r>
      <w:r>
        <w:rPr/>
        <w:pict>
          <v:shape style="position:absolute;margin-left:54pt;margin-top:-4.21565pt;width:144pt;height:24.6pt;mso-position-horizontal-relative:page;mso-position-vertical-relative:paragraph;z-index:251685888" type="#_x0000_t202" filled="true" fillcolor="#a04878" stroked="false">
            <v:textbox inset="0,0,0,0">
              <w:txbxContent>
                <w:p>
                  <w:pPr>
                    <w:spacing w:line="416" w:lineRule="exact" w:before="0"/>
                    <w:ind w:left="264" w:right="0" w:firstLine="0"/>
                    <w:jc w:val="left"/>
                    <w:rPr>
                      <w:sz w:val="36"/>
                    </w:rPr>
                  </w:pPr>
                  <w:r>
                    <w:rPr>
                      <w:color w:val="FFFFFF"/>
                      <w:sz w:val="36"/>
                    </w:rPr>
                    <w:t>TAKEAWAYS</w:t>
                  </w:r>
                </w:p>
              </w:txbxContent>
            </v:textbox>
            <v:fill type="solid"/>
            <w10:wrap type="none"/>
          </v:shape>
        </w:pict>
      </w:r>
      <w:r>
        <w:rPr>
          <w:color w:val="2A3F4D"/>
          <w:w w:val="105"/>
        </w:rPr>
        <w:t>It’s stormy at the top</w:t>
      </w:r>
    </w:p>
    <w:p>
      <w:pPr>
        <w:pStyle w:val="BodyText"/>
        <w:spacing w:line="235" w:lineRule="auto" w:before="249"/>
        <w:ind w:left="3364" w:right="491"/>
      </w:pPr>
      <w:r>
        <w:rPr>
          <w:color w:val="2A3F4D"/>
          <w:w w:val="105"/>
        </w:rPr>
        <w:t>We expect the Federal Reserve to raise rates two to three more times, bringing the federal funds target rate to the 2.75% to 3% area in early 2019, short of the Federal Open Market Committee’s 3.4% median estimate for 2020.¹ Because short- and long-term interest rates tend to converge at cycle peaks, the yield curve likely will flatten toward zero.</w:t>
      </w:r>
    </w:p>
    <w:p>
      <w:pPr>
        <w:pStyle w:val="BodyText"/>
        <w:spacing w:line="235" w:lineRule="auto" w:before="3"/>
        <w:ind w:left="3364" w:right="491"/>
      </w:pPr>
      <w:r>
        <w:rPr>
          <w:color w:val="2A3F4D"/>
          <w:w w:val="105"/>
        </w:rPr>
        <w:t>We suggest investors gradually add to average portfolio duration when yields rise.</w:t>
      </w:r>
    </w:p>
    <w:p>
      <w:pPr>
        <w:pStyle w:val="BodyText"/>
        <w:spacing w:before="10"/>
        <w:rPr>
          <w:sz w:val="20"/>
        </w:rPr>
      </w:pPr>
    </w:p>
    <w:p>
      <w:pPr>
        <w:pStyle w:val="BodyText"/>
        <w:spacing w:line="235" w:lineRule="auto"/>
        <w:ind w:left="3364" w:right="304"/>
        <w:jc w:val="both"/>
      </w:pPr>
      <w:r>
        <w:rPr>
          <w:color w:val="2A3F4D"/>
          <w:w w:val="105"/>
        </w:rPr>
        <w:t>As the Fed normalizes rates and reduces its balance sheet, volatility may increase in riskier parts of the fixed income market—such as bank loans, high-yield and emerging-market bonds—due to issuers’ high leverage.</w:t>
      </w:r>
    </w:p>
    <w:p>
      <w:pPr>
        <w:pStyle w:val="BodyText"/>
        <w:spacing w:line="235" w:lineRule="auto" w:before="2"/>
        <w:ind w:left="3364" w:right="491"/>
      </w:pPr>
      <w:r>
        <w:rPr>
          <w:color w:val="2A3F4D"/>
          <w:w w:val="105"/>
        </w:rPr>
        <w:t>We suggest investors move up in credit quality and/or limit exposure to these asset classes. Municipal bonds may post solid performance in 2019, as demand appears strong for tax-exempt</w:t>
      </w:r>
      <w:r>
        <w:rPr>
          <w:color w:val="2A3F4D"/>
          <w:spacing w:val="16"/>
          <w:w w:val="105"/>
        </w:rPr>
        <w:t> </w:t>
      </w:r>
      <w:r>
        <w:rPr>
          <w:color w:val="2A3F4D"/>
          <w:w w:val="105"/>
        </w:rPr>
        <w:t>income.</w:t>
      </w:r>
    </w:p>
    <w:p>
      <w:pPr>
        <w:pStyle w:val="BodyText"/>
        <w:spacing w:before="7"/>
        <w:rPr>
          <w:sz w:val="20"/>
        </w:rPr>
      </w:pPr>
    </w:p>
    <w:p>
      <w:pPr>
        <w:spacing w:before="0"/>
        <w:ind w:left="3364" w:right="0" w:firstLine="0"/>
        <w:jc w:val="both"/>
        <w:rPr>
          <w:sz w:val="16"/>
        </w:rPr>
      </w:pPr>
      <w:r>
        <w:rPr>
          <w:color w:val="2A3F4D"/>
          <w:w w:val="105"/>
          <w:sz w:val="16"/>
        </w:rPr>
        <w:t>¹Based on the FOMC Summary of Economic Projections, 09/26/2018</w:t>
      </w:r>
    </w:p>
    <w:p>
      <w:pPr>
        <w:pStyle w:val="BodyText"/>
        <w:rPr>
          <w:sz w:val="20"/>
        </w:rPr>
      </w:pPr>
    </w:p>
    <w:p>
      <w:pPr>
        <w:pStyle w:val="BodyText"/>
        <w:spacing w:before="4"/>
        <w:rPr>
          <w:sz w:val="15"/>
        </w:rPr>
      </w:pPr>
      <w:r>
        <w:rPr/>
        <w:drawing>
          <wp:anchor distT="0" distB="0" distL="0" distR="0" allowOverlap="1" layoutInCell="1" locked="0" behindDoc="0" simplePos="0" relativeHeight="25">
            <wp:simplePos x="0" y="0"/>
            <wp:positionH relativeFrom="page">
              <wp:posOffset>2809494</wp:posOffset>
            </wp:positionH>
            <wp:positionV relativeFrom="paragraph">
              <wp:posOffset>144124</wp:posOffset>
            </wp:positionV>
            <wp:extent cx="4161765" cy="3156394"/>
            <wp:effectExtent l="0" t="0" r="0" b="0"/>
            <wp:wrapTopAndBottom/>
            <wp:docPr id="11" name="image7.png"/>
            <wp:cNvGraphicFramePr>
              <a:graphicFrameLocks noChangeAspect="1"/>
            </wp:cNvGraphicFramePr>
            <a:graphic>
              <a:graphicData uri="http://schemas.openxmlformats.org/drawingml/2006/picture">
                <pic:pic>
                  <pic:nvPicPr>
                    <pic:cNvPr id="12" name="image7.png"/>
                    <pic:cNvPicPr/>
                  </pic:nvPicPr>
                  <pic:blipFill>
                    <a:blip r:embed="rId16" cstate="print"/>
                    <a:stretch>
                      <a:fillRect/>
                    </a:stretch>
                  </pic:blipFill>
                  <pic:spPr>
                    <a:xfrm>
                      <a:off x="0" y="0"/>
                      <a:ext cx="4161765" cy="3156394"/>
                    </a:xfrm>
                    <a:prstGeom prst="rect">
                      <a:avLst/>
                    </a:prstGeom>
                  </pic:spPr>
                </pic:pic>
              </a:graphicData>
            </a:graphic>
          </wp:anchor>
        </w:drawing>
      </w:r>
    </w:p>
    <w:p>
      <w:pPr>
        <w:spacing w:after="0"/>
        <w:rPr>
          <w:sz w:val="15"/>
        </w:rPr>
        <w:sectPr>
          <w:pgSz w:w="12240" w:h="15840"/>
          <w:pgMar w:header="960" w:footer="1280" w:top="3360" w:bottom="1480" w:left="980" w:right="940"/>
        </w:sectPr>
      </w:pPr>
    </w:p>
    <w:p>
      <w:pPr>
        <w:pStyle w:val="BodyText"/>
        <w:ind w:left="100"/>
        <w:rPr>
          <w:sz w:val="20"/>
        </w:rPr>
      </w:pPr>
      <w:r>
        <w:rPr/>
        <w:pict>
          <v:group style="position:absolute;margin-left:48pt;margin-top:173.759995pt;width:510pt;height:552.25pt;mso-position-horizontal-relative:page;mso-position-vertical-relative:page;z-index:251687936" coordorigin="960,3475" coordsize="10200,11045">
            <v:shape style="position:absolute;left:960;top:3475;width:10145;height:10925" type="#_x0000_t75" stroked="false">
              <v:imagedata r:id="rId19" o:title=""/>
            </v:shape>
            <v:line style="position:absolute" from="1080,14460" to="11160,14460" stroked="true" strokeweight="6pt" strokecolor="#000000">
              <v:stroke dashstyle="solid"/>
            </v:line>
            <w10:wrap type="none"/>
          </v:group>
        </w:pict>
      </w:r>
      <w:r>
        <w:rPr>
          <w:sz w:val="20"/>
        </w:rPr>
        <w:pict>
          <v:shape style="width:504pt;height:120pt;mso-position-horizontal-relative:char;mso-position-vertical-relative:line" type="#_x0000_t202" filled="true" fillcolor="#000000" stroked="false">
            <w10:anchorlock/>
            <v:textbox inset="0,0,0,0">
              <w:txbxContent>
                <w:p>
                  <w:pPr>
                    <w:spacing w:before="152"/>
                    <w:ind w:left="264" w:right="0" w:firstLine="0"/>
                    <w:jc w:val="left"/>
                    <w:rPr>
                      <w:rFonts w:ascii="Tahoma"/>
                      <w:sz w:val="24"/>
                    </w:rPr>
                  </w:pPr>
                  <w:r>
                    <w:rPr>
                      <w:rFonts w:ascii="Tahoma"/>
                      <w:color w:val="FFFFFF"/>
                      <w:w w:val="105"/>
                      <w:sz w:val="24"/>
                    </w:rPr>
                    <w:t>OUR TEAM</w:t>
                  </w:r>
                </w:p>
                <w:p>
                  <w:pPr>
                    <w:spacing w:before="12"/>
                    <w:ind w:left="264" w:right="0" w:firstLine="0"/>
                    <w:jc w:val="left"/>
                    <w:rPr>
                      <w:sz w:val="64"/>
                    </w:rPr>
                  </w:pPr>
                  <w:r>
                    <w:rPr>
                      <w:color w:val="FFFFFF"/>
                      <w:w w:val="110"/>
                      <w:sz w:val="64"/>
                    </w:rPr>
                    <w:t>Schwab’s Market Experts</w:t>
                  </w:r>
                </w:p>
              </w:txbxContent>
            </v:textbox>
            <v:fill type="solid"/>
          </v:shape>
        </w:pict>
      </w:r>
      <w:r>
        <w:rPr>
          <w:sz w:val="20"/>
        </w:rPr>
      </w:r>
    </w:p>
    <w:p>
      <w:pPr>
        <w:spacing w:after="0"/>
        <w:rPr>
          <w:sz w:val="20"/>
        </w:rPr>
        <w:sectPr>
          <w:headerReference w:type="default" r:id="rId17"/>
          <w:footerReference w:type="default" r:id="rId18"/>
          <w:pgSz w:w="12240" w:h="15840"/>
          <w:pgMar w:header="0" w:footer="919" w:top="960" w:bottom="1100" w:left="980" w:right="940"/>
          <w:pgNumType w:start="8"/>
        </w:sectPr>
      </w:pPr>
    </w:p>
    <w:p>
      <w:pPr>
        <w:spacing w:before="95"/>
        <w:ind w:left="364" w:right="0" w:firstLine="0"/>
        <w:jc w:val="left"/>
        <w:rPr>
          <w:b/>
          <w:sz w:val="18"/>
        </w:rPr>
      </w:pPr>
      <w:r>
        <w:rPr>
          <w:b/>
          <w:color w:val="2A3F4D"/>
          <w:w w:val="115"/>
          <w:sz w:val="18"/>
        </w:rPr>
        <w:t>Important Disclosures:</w:t>
      </w:r>
    </w:p>
    <w:p>
      <w:pPr>
        <w:pStyle w:val="BodyText"/>
        <w:spacing w:before="9"/>
        <w:rPr>
          <w:b/>
          <w:sz w:val="20"/>
        </w:rPr>
      </w:pPr>
    </w:p>
    <w:p>
      <w:pPr>
        <w:spacing w:after="0"/>
        <w:rPr>
          <w:sz w:val="20"/>
        </w:rPr>
        <w:sectPr>
          <w:headerReference w:type="default" r:id="rId20"/>
          <w:footerReference w:type="default" r:id="rId21"/>
          <w:pgSz w:w="12240" w:h="15840"/>
          <w:pgMar w:header="0" w:footer="919" w:top="1100" w:bottom="1100" w:left="980" w:right="940"/>
          <w:pgNumType w:start="9"/>
        </w:sectPr>
      </w:pPr>
    </w:p>
    <w:p>
      <w:pPr>
        <w:spacing w:line="232" w:lineRule="auto" w:before="106"/>
        <w:ind w:left="363" w:right="54" w:firstLine="0"/>
        <w:jc w:val="left"/>
        <w:rPr>
          <w:rFonts w:ascii="Tahoma"/>
          <w:sz w:val="16"/>
        </w:rPr>
      </w:pPr>
      <w:r>
        <w:rPr>
          <w:b/>
          <w:color w:val="2A3F4D"/>
          <w:w w:val="105"/>
          <w:sz w:val="16"/>
        </w:rPr>
        <w:t>Past performance is no guarantee  of future results. </w:t>
      </w:r>
      <w:r>
        <w:rPr>
          <w:rFonts w:ascii="Tahoma"/>
          <w:color w:val="2A3F4D"/>
          <w:w w:val="105"/>
          <w:sz w:val="16"/>
        </w:rPr>
        <w:t>Forecasts contained herein are</w:t>
      </w:r>
      <w:r>
        <w:rPr>
          <w:rFonts w:ascii="Tahoma"/>
          <w:color w:val="2A3F4D"/>
          <w:spacing w:val="-25"/>
          <w:w w:val="105"/>
          <w:sz w:val="16"/>
        </w:rPr>
        <w:t> </w:t>
      </w:r>
      <w:r>
        <w:rPr>
          <w:rFonts w:ascii="Tahoma"/>
          <w:color w:val="2A3F4D"/>
          <w:w w:val="105"/>
          <w:sz w:val="16"/>
        </w:rPr>
        <w:t>for</w:t>
      </w:r>
      <w:r>
        <w:rPr>
          <w:rFonts w:ascii="Tahoma"/>
          <w:color w:val="2A3F4D"/>
          <w:spacing w:val="-23"/>
          <w:w w:val="105"/>
          <w:sz w:val="16"/>
        </w:rPr>
        <w:t> </w:t>
      </w:r>
      <w:r>
        <w:rPr>
          <w:rFonts w:ascii="Tahoma"/>
          <w:color w:val="2A3F4D"/>
          <w:w w:val="105"/>
          <w:sz w:val="16"/>
        </w:rPr>
        <w:t>illustrative</w:t>
      </w:r>
      <w:r>
        <w:rPr>
          <w:rFonts w:ascii="Tahoma"/>
          <w:color w:val="2A3F4D"/>
          <w:spacing w:val="-25"/>
          <w:w w:val="105"/>
          <w:sz w:val="16"/>
        </w:rPr>
        <w:t> </w:t>
      </w:r>
      <w:r>
        <w:rPr>
          <w:rFonts w:ascii="Tahoma"/>
          <w:color w:val="2A3F4D"/>
          <w:w w:val="105"/>
          <w:sz w:val="16"/>
        </w:rPr>
        <w:t>purposes,</w:t>
      </w:r>
      <w:r>
        <w:rPr>
          <w:rFonts w:ascii="Tahoma"/>
          <w:color w:val="2A3F4D"/>
          <w:spacing w:val="-25"/>
          <w:w w:val="105"/>
          <w:sz w:val="16"/>
        </w:rPr>
        <w:t> </w:t>
      </w:r>
      <w:r>
        <w:rPr>
          <w:rFonts w:ascii="Tahoma"/>
          <w:color w:val="2A3F4D"/>
          <w:w w:val="105"/>
          <w:sz w:val="16"/>
        </w:rPr>
        <w:t>may</w:t>
      </w:r>
      <w:r>
        <w:rPr>
          <w:rFonts w:ascii="Tahoma"/>
          <w:color w:val="2A3F4D"/>
          <w:spacing w:val="-24"/>
          <w:w w:val="105"/>
          <w:sz w:val="16"/>
        </w:rPr>
        <w:t> </w:t>
      </w:r>
      <w:r>
        <w:rPr>
          <w:rFonts w:ascii="Tahoma"/>
          <w:color w:val="2A3F4D"/>
          <w:w w:val="105"/>
          <w:sz w:val="16"/>
        </w:rPr>
        <w:t>be</w:t>
      </w:r>
      <w:r>
        <w:rPr>
          <w:rFonts w:ascii="Tahoma"/>
          <w:color w:val="2A3F4D"/>
          <w:spacing w:val="-25"/>
          <w:w w:val="105"/>
          <w:sz w:val="16"/>
        </w:rPr>
        <w:t> </w:t>
      </w:r>
      <w:r>
        <w:rPr>
          <w:rFonts w:ascii="Tahoma"/>
          <w:color w:val="2A3F4D"/>
          <w:w w:val="105"/>
          <w:sz w:val="16"/>
        </w:rPr>
        <w:t>based upon proprietary research and are developed through analysis of historical public</w:t>
      </w:r>
      <w:r>
        <w:rPr>
          <w:rFonts w:ascii="Tahoma"/>
          <w:color w:val="2A3F4D"/>
          <w:spacing w:val="-9"/>
          <w:w w:val="105"/>
          <w:sz w:val="16"/>
        </w:rPr>
        <w:t> </w:t>
      </w:r>
      <w:r>
        <w:rPr>
          <w:rFonts w:ascii="Tahoma"/>
          <w:color w:val="2A3F4D"/>
          <w:w w:val="105"/>
          <w:sz w:val="16"/>
        </w:rPr>
        <w:t>data.</w:t>
      </w:r>
    </w:p>
    <w:p>
      <w:pPr>
        <w:pStyle w:val="BodyText"/>
        <w:spacing w:before="3"/>
        <w:rPr>
          <w:rFonts w:ascii="Tahoma"/>
          <w:sz w:val="16"/>
        </w:rPr>
      </w:pPr>
    </w:p>
    <w:p>
      <w:pPr>
        <w:spacing w:before="0"/>
        <w:ind w:left="363" w:right="-1" w:firstLine="0"/>
        <w:jc w:val="left"/>
        <w:rPr>
          <w:rFonts w:ascii="Tahoma"/>
          <w:sz w:val="16"/>
        </w:rPr>
      </w:pPr>
      <w:r>
        <w:rPr>
          <w:rFonts w:ascii="Tahoma"/>
          <w:color w:val="2A3F4D"/>
          <w:sz w:val="16"/>
        </w:rPr>
        <w:t>The information here is for general informational purposes only and should not be considered an individualized recommendation or personalized investment advice. The type of securities and investment strategies mentioned may not be suitable for everyone. Each investor needs to review a security transaction for his or her own particular situation.</w:t>
      </w:r>
    </w:p>
    <w:p>
      <w:pPr>
        <w:pStyle w:val="BodyText"/>
        <w:spacing w:before="1"/>
        <w:rPr>
          <w:rFonts w:ascii="Tahoma"/>
          <w:sz w:val="15"/>
        </w:rPr>
      </w:pPr>
    </w:p>
    <w:p>
      <w:pPr>
        <w:spacing w:before="0"/>
        <w:ind w:left="363" w:right="54" w:firstLine="0"/>
        <w:jc w:val="left"/>
        <w:rPr>
          <w:rFonts w:ascii="Tahoma"/>
          <w:sz w:val="16"/>
        </w:rPr>
      </w:pPr>
      <w:r>
        <w:rPr>
          <w:rFonts w:ascii="Tahoma"/>
          <w:color w:val="2A3F4D"/>
          <w:sz w:val="16"/>
        </w:rPr>
        <w:t>Investing involves risk including loss of principal.</w:t>
      </w:r>
    </w:p>
    <w:p>
      <w:pPr>
        <w:pStyle w:val="BodyText"/>
        <w:spacing w:before="8"/>
        <w:rPr>
          <w:rFonts w:ascii="Tahoma"/>
          <w:sz w:val="15"/>
        </w:rPr>
      </w:pPr>
    </w:p>
    <w:p>
      <w:pPr>
        <w:spacing w:before="1"/>
        <w:ind w:left="363" w:right="25" w:firstLine="0"/>
        <w:jc w:val="left"/>
        <w:rPr>
          <w:rFonts w:ascii="Tahoma"/>
          <w:sz w:val="16"/>
        </w:rPr>
      </w:pPr>
      <w:r>
        <w:rPr>
          <w:rFonts w:ascii="Tahoma"/>
          <w:color w:val="2A3F4D"/>
          <w:sz w:val="16"/>
        </w:rPr>
        <w:t>Data here are obtained from what are considered reliable sources; however, their accuracy, completeness, or reliability cannot be guaranteed. Supporting documentation for any claims or statistical information is available upon request.</w:t>
      </w:r>
    </w:p>
    <w:p>
      <w:pPr>
        <w:pStyle w:val="BodyText"/>
        <w:spacing w:before="4"/>
        <w:rPr>
          <w:rFonts w:ascii="Tahoma"/>
          <w:sz w:val="15"/>
        </w:rPr>
      </w:pPr>
    </w:p>
    <w:p>
      <w:pPr>
        <w:spacing w:before="0"/>
        <w:ind w:left="363" w:right="198" w:firstLine="0"/>
        <w:jc w:val="left"/>
        <w:rPr>
          <w:rFonts w:ascii="Tahoma"/>
          <w:sz w:val="16"/>
        </w:rPr>
      </w:pPr>
      <w:r>
        <w:rPr>
          <w:rFonts w:ascii="Tahoma"/>
          <w:color w:val="2A3F4D"/>
          <w:sz w:val="16"/>
        </w:rPr>
        <w:t>All expressions of opinion are subject to change without notice in reaction to shifting market, economic or geopolitical conditions.</w:t>
      </w:r>
    </w:p>
    <w:p>
      <w:pPr>
        <w:pStyle w:val="BodyText"/>
        <w:spacing w:before="6"/>
        <w:rPr>
          <w:rFonts w:ascii="Tahoma"/>
          <w:sz w:val="15"/>
        </w:rPr>
      </w:pPr>
    </w:p>
    <w:p>
      <w:pPr>
        <w:spacing w:before="0"/>
        <w:ind w:left="363" w:right="-1" w:firstLine="0"/>
        <w:jc w:val="left"/>
        <w:rPr>
          <w:rFonts w:ascii="Tahoma"/>
          <w:sz w:val="16"/>
        </w:rPr>
      </w:pPr>
      <w:r>
        <w:rPr>
          <w:rFonts w:ascii="Tahoma"/>
          <w:color w:val="2A3F4D"/>
          <w:sz w:val="16"/>
        </w:rPr>
        <w:t>Indices are unmanaged; do not incur management fees, costs, or expenses; and cannot be invested in directly.</w:t>
      </w:r>
    </w:p>
    <w:p>
      <w:pPr>
        <w:pStyle w:val="BodyText"/>
        <w:spacing w:before="8"/>
        <w:rPr>
          <w:rFonts w:ascii="Tahoma"/>
          <w:sz w:val="15"/>
        </w:rPr>
      </w:pPr>
    </w:p>
    <w:p>
      <w:pPr>
        <w:spacing w:before="0"/>
        <w:ind w:left="363" w:right="0" w:firstLine="0"/>
        <w:jc w:val="left"/>
        <w:rPr>
          <w:rFonts w:ascii="Tahoma"/>
          <w:sz w:val="16"/>
        </w:rPr>
      </w:pPr>
      <w:r>
        <w:rPr>
          <w:rFonts w:ascii="Tahoma"/>
          <w:color w:val="2A3F4D"/>
          <w:sz w:val="16"/>
        </w:rPr>
        <w:t>Fixed income securities are subject to</w:t>
      </w:r>
    </w:p>
    <w:p>
      <w:pPr>
        <w:spacing w:before="94"/>
        <w:ind w:left="114" w:right="78" w:firstLine="0"/>
        <w:jc w:val="left"/>
        <w:rPr>
          <w:rFonts w:ascii="Tahoma"/>
          <w:sz w:val="16"/>
        </w:rPr>
      </w:pPr>
      <w:r>
        <w:rPr/>
        <w:br w:type="column"/>
      </w:r>
      <w:r>
        <w:rPr>
          <w:rFonts w:ascii="Tahoma"/>
          <w:color w:val="2A3F4D"/>
          <w:sz w:val="16"/>
        </w:rPr>
        <w:t>increased loss of principal during periods of rising interest rates. Fixed-income investments are subject to various other risks including changes in credit quality, market valuations, liquidity, prepayments, early redemption, corporate events, tax ramifications and other factors.</w:t>
      </w:r>
    </w:p>
    <w:p>
      <w:pPr>
        <w:pStyle w:val="BodyText"/>
        <w:spacing w:before="3"/>
        <w:rPr>
          <w:rFonts w:ascii="Tahoma"/>
          <w:sz w:val="15"/>
        </w:rPr>
      </w:pPr>
    </w:p>
    <w:p>
      <w:pPr>
        <w:spacing w:before="0"/>
        <w:ind w:left="114" w:right="0" w:firstLine="0"/>
        <w:jc w:val="left"/>
        <w:rPr>
          <w:rFonts w:ascii="Tahoma"/>
          <w:sz w:val="16"/>
        </w:rPr>
      </w:pPr>
      <w:r>
        <w:rPr>
          <w:rFonts w:ascii="Tahoma"/>
          <w:color w:val="2A3F4D"/>
          <w:sz w:val="16"/>
        </w:rPr>
        <w:t>International investments involve</w:t>
      </w:r>
      <w:r>
        <w:rPr>
          <w:rFonts w:ascii="Tahoma"/>
          <w:color w:val="2A3F4D"/>
          <w:spacing w:val="-31"/>
          <w:sz w:val="16"/>
        </w:rPr>
        <w:t> </w:t>
      </w:r>
      <w:r>
        <w:rPr>
          <w:rFonts w:ascii="Tahoma"/>
          <w:color w:val="2A3F4D"/>
          <w:sz w:val="16"/>
        </w:rPr>
        <w:t>additional risks, which include differences in financial accounting standards, currency fluctuations, geopolitical risk, foreign taxes and regulations, and the potential for illiquid markets. Investing in emerging markets may accentuate these</w:t>
      </w:r>
      <w:r>
        <w:rPr>
          <w:rFonts w:ascii="Tahoma"/>
          <w:color w:val="2A3F4D"/>
          <w:spacing w:val="-19"/>
          <w:sz w:val="16"/>
        </w:rPr>
        <w:t> </w:t>
      </w:r>
      <w:r>
        <w:rPr>
          <w:rFonts w:ascii="Tahoma"/>
          <w:color w:val="2A3F4D"/>
          <w:sz w:val="16"/>
        </w:rPr>
        <w:t>risks.</w:t>
      </w:r>
    </w:p>
    <w:p>
      <w:pPr>
        <w:pStyle w:val="BodyText"/>
        <w:spacing w:before="3"/>
        <w:rPr>
          <w:rFonts w:ascii="Tahoma"/>
          <w:sz w:val="15"/>
        </w:rPr>
      </w:pPr>
    </w:p>
    <w:p>
      <w:pPr>
        <w:spacing w:before="0"/>
        <w:ind w:left="114" w:right="78" w:firstLine="0"/>
        <w:jc w:val="left"/>
        <w:rPr>
          <w:rFonts w:ascii="Tahoma"/>
          <w:sz w:val="16"/>
        </w:rPr>
      </w:pPr>
      <w:r>
        <w:rPr>
          <w:rFonts w:ascii="Tahoma"/>
          <w:color w:val="2A3F4D"/>
          <w:sz w:val="16"/>
        </w:rPr>
        <w:t>Tax-exempt bonds are not necessarily a suitable investment for all persons.</w:t>
      </w:r>
    </w:p>
    <w:p>
      <w:pPr>
        <w:spacing w:line="237" w:lineRule="auto" w:before="0"/>
        <w:ind w:left="114" w:right="4" w:firstLine="0"/>
        <w:jc w:val="left"/>
        <w:rPr>
          <w:rFonts w:ascii="Tahoma" w:hAnsi="Tahoma"/>
          <w:sz w:val="16"/>
        </w:rPr>
      </w:pPr>
      <w:r>
        <w:rPr>
          <w:rFonts w:ascii="Tahoma" w:hAnsi="Tahoma"/>
          <w:color w:val="2A3F4D"/>
          <w:w w:val="105"/>
          <w:sz w:val="16"/>
        </w:rPr>
        <w:t>Information related to a security’s tax- exempt status (federal and in-state) is obtained from third-parties and Schwab does not guarantee its accuracy. Tax- exempt income may be subject to the Alternative Minimum Tax (AMT). Capital appreciation from bond funds and discounted</w:t>
      </w:r>
      <w:r>
        <w:rPr>
          <w:rFonts w:ascii="Tahoma" w:hAnsi="Tahoma"/>
          <w:color w:val="2A3F4D"/>
          <w:spacing w:val="-19"/>
          <w:w w:val="105"/>
          <w:sz w:val="16"/>
        </w:rPr>
        <w:t> </w:t>
      </w:r>
      <w:r>
        <w:rPr>
          <w:rFonts w:ascii="Tahoma" w:hAnsi="Tahoma"/>
          <w:color w:val="2A3F4D"/>
          <w:w w:val="105"/>
          <w:sz w:val="16"/>
        </w:rPr>
        <w:t>bonds</w:t>
      </w:r>
      <w:r>
        <w:rPr>
          <w:rFonts w:ascii="Tahoma" w:hAnsi="Tahoma"/>
          <w:color w:val="2A3F4D"/>
          <w:spacing w:val="-19"/>
          <w:w w:val="105"/>
          <w:sz w:val="16"/>
        </w:rPr>
        <w:t> </w:t>
      </w:r>
      <w:r>
        <w:rPr>
          <w:rFonts w:ascii="Tahoma" w:hAnsi="Tahoma"/>
          <w:color w:val="2A3F4D"/>
          <w:w w:val="105"/>
          <w:sz w:val="16"/>
        </w:rPr>
        <w:t>may</w:t>
      </w:r>
      <w:r>
        <w:rPr>
          <w:rFonts w:ascii="Tahoma" w:hAnsi="Tahoma"/>
          <w:color w:val="2A3F4D"/>
          <w:spacing w:val="-19"/>
          <w:w w:val="105"/>
          <w:sz w:val="16"/>
        </w:rPr>
        <w:t> </w:t>
      </w:r>
      <w:r>
        <w:rPr>
          <w:rFonts w:ascii="Tahoma" w:hAnsi="Tahoma"/>
          <w:color w:val="2A3F4D"/>
          <w:w w:val="105"/>
          <w:sz w:val="16"/>
        </w:rPr>
        <w:t>be</w:t>
      </w:r>
      <w:r>
        <w:rPr>
          <w:rFonts w:ascii="Tahoma" w:hAnsi="Tahoma"/>
          <w:color w:val="2A3F4D"/>
          <w:spacing w:val="-18"/>
          <w:w w:val="105"/>
          <w:sz w:val="16"/>
        </w:rPr>
        <w:t> </w:t>
      </w:r>
      <w:r>
        <w:rPr>
          <w:rFonts w:ascii="Tahoma" w:hAnsi="Tahoma"/>
          <w:color w:val="2A3F4D"/>
          <w:w w:val="105"/>
          <w:sz w:val="16"/>
        </w:rPr>
        <w:t>subject</w:t>
      </w:r>
      <w:r>
        <w:rPr>
          <w:rFonts w:ascii="Tahoma" w:hAnsi="Tahoma"/>
          <w:color w:val="2A3F4D"/>
          <w:spacing w:val="-21"/>
          <w:w w:val="105"/>
          <w:sz w:val="16"/>
        </w:rPr>
        <w:t> </w:t>
      </w:r>
      <w:r>
        <w:rPr>
          <w:rFonts w:ascii="Tahoma" w:hAnsi="Tahoma"/>
          <w:color w:val="2A3F4D"/>
          <w:w w:val="105"/>
          <w:sz w:val="16"/>
        </w:rPr>
        <w:t>to</w:t>
      </w:r>
      <w:r>
        <w:rPr>
          <w:rFonts w:ascii="Tahoma" w:hAnsi="Tahoma"/>
          <w:color w:val="2A3F4D"/>
          <w:spacing w:val="-20"/>
          <w:w w:val="105"/>
          <w:sz w:val="16"/>
        </w:rPr>
        <w:t> </w:t>
      </w:r>
      <w:r>
        <w:rPr>
          <w:rFonts w:ascii="Tahoma" w:hAnsi="Tahoma"/>
          <w:color w:val="2A3F4D"/>
          <w:w w:val="105"/>
          <w:sz w:val="16"/>
        </w:rPr>
        <w:t>state or</w:t>
      </w:r>
      <w:r>
        <w:rPr>
          <w:rFonts w:ascii="Tahoma" w:hAnsi="Tahoma"/>
          <w:color w:val="2A3F4D"/>
          <w:spacing w:val="-24"/>
          <w:w w:val="105"/>
          <w:sz w:val="16"/>
        </w:rPr>
        <w:t> </w:t>
      </w:r>
      <w:r>
        <w:rPr>
          <w:rFonts w:ascii="Tahoma" w:hAnsi="Tahoma"/>
          <w:color w:val="2A3F4D"/>
          <w:w w:val="105"/>
          <w:sz w:val="16"/>
        </w:rPr>
        <w:t>local</w:t>
      </w:r>
      <w:r>
        <w:rPr>
          <w:rFonts w:ascii="Tahoma" w:hAnsi="Tahoma"/>
          <w:color w:val="2A3F4D"/>
          <w:spacing w:val="-22"/>
          <w:w w:val="105"/>
          <w:sz w:val="16"/>
        </w:rPr>
        <w:t> </w:t>
      </w:r>
      <w:r>
        <w:rPr>
          <w:rFonts w:ascii="Tahoma" w:hAnsi="Tahoma"/>
          <w:color w:val="2A3F4D"/>
          <w:w w:val="105"/>
          <w:sz w:val="16"/>
        </w:rPr>
        <w:t>taxes.</w:t>
      </w:r>
      <w:r>
        <w:rPr>
          <w:rFonts w:ascii="Tahoma" w:hAnsi="Tahoma"/>
          <w:color w:val="2A3F4D"/>
          <w:spacing w:val="-25"/>
          <w:w w:val="105"/>
          <w:sz w:val="16"/>
        </w:rPr>
        <w:t> </w:t>
      </w:r>
      <w:r>
        <w:rPr>
          <w:rFonts w:ascii="Tahoma" w:hAnsi="Tahoma"/>
          <w:color w:val="2A3F4D"/>
          <w:w w:val="105"/>
          <w:sz w:val="16"/>
        </w:rPr>
        <w:t>Capital</w:t>
      </w:r>
      <w:r>
        <w:rPr>
          <w:rFonts w:ascii="Tahoma" w:hAnsi="Tahoma"/>
          <w:color w:val="2A3F4D"/>
          <w:spacing w:val="-24"/>
          <w:w w:val="105"/>
          <w:sz w:val="16"/>
        </w:rPr>
        <w:t> </w:t>
      </w:r>
      <w:r>
        <w:rPr>
          <w:rFonts w:ascii="Tahoma" w:hAnsi="Tahoma"/>
          <w:color w:val="2A3F4D"/>
          <w:w w:val="105"/>
          <w:sz w:val="16"/>
        </w:rPr>
        <w:t>gains</w:t>
      </w:r>
      <w:r>
        <w:rPr>
          <w:rFonts w:ascii="Tahoma" w:hAnsi="Tahoma"/>
          <w:color w:val="2A3F4D"/>
          <w:spacing w:val="-24"/>
          <w:w w:val="105"/>
          <w:sz w:val="16"/>
        </w:rPr>
        <w:t> </w:t>
      </w:r>
      <w:r>
        <w:rPr>
          <w:rFonts w:ascii="Tahoma" w:hAnsi="Tahoma"/>
          <w:color w:val="2A3F4D"/>
          <w:w w:val="105"/>
          <w:sz w:val="16"/>
        </w:rPr>
        <w:t>are</w:t>
      </w:r>
      <w:r>
        <w:rPr>
          <w:rFonts w:ascii="Tahoma" w:hAnsi="Tahoma"/>
          <w:color w:val="2A3F4D"/>
          <w:spacing w:val="-22"/>
          <w:w w:val="105"/>
          <w:sz w:val="16"/>
        </w:rPr>
        <w:t> </w:t>
      </w:r>
      <w:r>
        <w:rPr>
          <w:rFonts w:ascii="Tahoma" w:hAnsi="Tahoma"/>
          <w:color w:val="2A3F4D"/>
          <w:w w:val="105"/>
          <w:sz w:val="16"/>
        </w:rPr>
        <w:t>not</w:t>
      </w:r>
      <w:r>
        <w:rPr>
          <w:rFonts w:ascii="Tahoma" w:hAnsi="Tahoma"/>
          <w:color w:val="2A3F4D"/>
          <w:spacing w:val="-24"/>
          <w:w w:val="105"/>
          <w:sz w:val="16"/>
        </w:rPr>
        <w:t> </w:t>
      </w:r>
      <w:r>
        <w:rPr>
          <w:rFonts w:ascii="Tahoma" w:hAnsi="Tahoma"/>
          <w:color w:val="2A3F4D"/>
          <w:w w:val="105"/>
          <w:sz w:val="16"/>
        </w:rPr>
        <w:t>exempt from federal income</w:t>
      </w:r>
      <w:r>
        <w:rPr>
          <w:rFonts w:ascii="Tahoma" w:hAnsi="Tahoma"/>
          <w:color w:val="2A3F4D"/>
          <w:spacing w:val="-31"/>
          <w:w w:val="105"/>
          <w:sz w:val="16"/>
        </w:rPr>
        <w:t> </w:t>
      </w:r>
      <w:r>
        <w:rPr>
          <w:rFonts w:ascii="Tahoma" w:hAnsi="Tahoma"/>
          <w:color w:val="2A3F4D"/>
          <w:w w:val="105"/>
          <w:sz w:val="16"/>
        </w:rPr>
        <w:t>tax.</w:t>
      </w:r>
    </w:p>
    <w:p>
      <w:pPr>
        <w:pStyle w:val="BodyText"/>
        <w:spacing w:before="5"/>
        <w:rPr>
          <w:rFonts w:ascii="Tahoma"/>
          <w:sz w:val="16"/>
        </w:rPr>
      </w:pPr>
    </w:p>
    <w:p>
      <w:pPr>
        <w:spacing w:before="0"/>
        <w:ind w:left="114" w:right="30" w:firstLine="0"/>
        <w:jc w:val="left"/>
        <w:rPr>
          <w:rFonts w:ascii="Tahoma"/>
          <w:sz w:val="16"/>
        </w:rPr>
      </w:pPr>
      <w:r>
        <w:rPr>
          <w:rFonts w:ascii="Tahoma"/>
          <w:color w:val="2A3F4D"/>
          <w:sz w:val="16"/>
        </w:rPr>
        <w:t>High-yield bonds and lower-rated securities are subject to greater credit risk, default risk, and liquidity</w:t>
      </w:r>
      <w:r>
        <w:rPr>
          <w:rFonts w:ascii="Tahoma"/>
          <w:color w:val="2A3F4D"/>
          <w:spacing w:val="-23"/>
          <w:sz w:val="16"/>
        </w:rPr>
        <w:t> </w:t>
      </w:r>
      <w:r>
        <w:rPr>
          <w:rFonts w:ascii="Tahoma"/>
          <w:color w:val="2A3F4D"/>
          <w:sz w:val="16"/>
        </w:rPr>
        <w:t>risk.</w:t>
      </w:r>
    </w:p>
    <w:p>
      <w:pPr>
        <w:pStyle w:val="BodyText"/>
        <w:spacing w:before="7"/>
        <w:rPr>
          <w:rFonts w:ascii="Tahoma"/>
          <w:sz w:val="15"/>
        </w:rPr>
      </w:pPr>
    </w:p>
    <w:p>
      <w:pPr>
        <w:spacing w:before="0"/>
        <w:ind w:left="114" w:right="147" w:firstLine="0"/>
        <w:jc w:val="both"/>
        <w:rPr>
          <w:rFonts w:ascii="Tahoma"/>
          <w:sz w:val="16"/>
        </w:rPr>
      </w:pPr>
      <w:r>
        <w:rPr>
          <w:rFonts w:ascii="Tahoma"/>
          <w:color w:val="2A3F4D"/>
          <w:sz w:val="16"/>
        </w:rPr>
        <w:t>Diversification and rebalancing strategies do not ensure a profit and do not protect against losses in declining markets.</w:t>
      </w:r>
    </w:p>
    <w:p>
      <w:pPr>
        <w:spacing w:line="190" w:lineRule="exact" w:before="0"/>
        <w:ind w:left="114" w:right="0" w:firstLine="0"/>
        <w:jc w:val="both"/>
        <w:rPr>
          <w:rFonts w:ascii="Tahoma"/>
          <w:sz w:val="16"/>
        </w:rPr>
      </w:pPr>
      <w:r>
        <w:rPr>
          <w:rFonts w:ascii="Tahoma"/>
          <w:color w:val="2A3F4D"/>
          <w:sz w:val="16"/>
        </w:rPr>
        <w:t>Rebalancing may cause investors to incur</w:t>
      </w:r>
    </w:p>
    <w:p>
      <w:pPr>
        <w:spacing w:before="94"/>
        <w:ind w:left="119" w:right="484" w:firstLine="0"/>
        <w:jc w:val="left"/>
        <w:rPr>
          <w:rFonts w:ascii="Tahoma"/>
          <w:sz w:val="16"/>
        </w:rPr>
      </w:pPr>
      <w:r>
        <w:rPr/>
        <w:br w:type="column"/>
      </w:r>
      <w:r>
        <w:rPr>
          <w:rFonts w:ascii="Tahoma"/>
          <w:color w:val="2A3F4D"/>
          <w:sz w:val="16"/>
        </w:rPr>
        <w:t>transaction costs and, when rebalancing a non-retirement account, taxable events may be created that may affect your tax liability.</w:t>
      </w:r>
    </w:p>
    <w:p>
      <w:pPr>
        <w:pStyle w:val="BodyText"/>
        <w:spacing w:before="6"/>
        <w:rPr>
          <w:rFonts w:ascii="Tahoma"/>
          <w:sz w:val="15"/>
        </w:rPr>
      </w:pPr>
    </w:p>
    <w:p>
      <w:pPr>
        <w:spacing w:before="1"/>
        <w:ind w:left="119" w:right="429" w:firstLine="0"/>
        <w:jc w:val="left"/>
        <w:rPr>
          <w:rFonts w:ascii="Tahoma"/>
          <w:sz w:val="16"/>
        </w:rPr>
      </w:pPr>
      <w:r>
        <w:rPr>
          <w:rFonts w:ascii="Tahoma"/>
          <w:color w:val="2A3F4D"/>
          <w:sz w:val="16"/>
        </w:rPr>
        <w:t>The Schwab Center for Financial Research is a division of Charles Schwab &amp; Co., Inc.</w:t>
      </w:r>
    </w:p>
    <w:p>
      <w:pPr>
        <w:pStyle w:val="BodyText"/>
        <w:rPr>
          <w:rFonts w:ascii="Tahoma"/>
          <w:sz w:val="18"/>
        </w:rPr>
      </w:pPr>
    </w:p>
    <w:p>
      <w:pPr>
        <w:pStyle w:val="BodyText"/>
        <w:rPr>
          <w:rFonts w:ascii="Tahoma"/>
          <w:sz w:val="18"/>
        </w:rPr>
      </w:pPr>
    </w:p>
    <w:p>
      <w:pPr>
        <w:pStyle w:val="BodyText"/>
        <w:spacing w:before="4"/>
        <w:rPr>
          <w:rFonts w:ascii="Tahoma"/>
          <w:sz w:val="19"/>
        </w:rPr>
      </w:pPr>
    </w:p>
    <w:p>
      <w:pPr>
        <w:spacing w:before="0"/>
        <w:ind w:left="119" w:right="0" w:firstLine="0"/>
        <w:jc w:val="left"/>
        <w:rPr>
          <w:b/>
          <w:sz w:val="18"/>
        </w:rPr>
      </w:pPr>
      <w:r>
        <w:rPr>
          <w:b/>
          <w:color w:val="2A3F4D"/>
          <w:w w:val="110"/>
          <w:sz w:val="18"/>
        </w:rPr>
        <w:t>Index and Term Definitions</w:t>
      </w:r>
    </w:p>
    <w:p>
      <w:pPr>
        <w:spacing w:before="61"/>
        <w:ind w:left="119" w:right="429" w:firstLine="0"/>
        <w:jc w:val="left"/>
        <w:rPr>
          <w:rFonts w:ascii="Tahoma"/>
          <w:sz w:val="16"/>
        </w:rPr>
      </w:pPr>
      <w:r>
        <w:rPr>
          <w:rFonts w:ascii="Tahoma"/>
          <w:color w:val="2A3F4D"/>
          <w:w w:val="105"/>
          <w:sz w:val="16"/>
        </w:rPr>
        <w:t>The Goldman Sachs U.S. Financial Conditions</w:t>
      </w:r>
      <w:r>
        <w:rPr>
          <w:rFonts w:ascii="Tahoma"/>
          <w:color w:val="2A3F4D"/>
          <w:spacing w:val="-31"/>
          <w:w w:val="105"/>
          <w:sz w:val="16"/>
        </w:rPr>
        <w:t> </w:t>
      </w:r>
      <w:r>
        <w:rPr>
          <w:rFonts w:ascii="Tahoma"/>
          <w:color w:val="2A3F4D"/>
          <w:w w:val="105"/>
          <w:sz w:val="16"/>
        </w:rPr>
        <w:t>Index</w:t>
      </w:r>
      <w:r>
        <w:rPr>
          <w:rFonts w:ascii="Tahoma"/>
          <w:color w:val="2A3F4D"/>
          <w:spacing w:val="-31"/>
          <w:w w:val="105"/>
          <w:sz w:val="16"/>
        </w:rPr>
        <w:t> </w:t>
      </w:r>
      <w:r>
        <w:rPr>
          <w:rFonts w:ascii="Tahoma"/>
          <w:color w:val="2A3F4D"/>
          <w:w w:val="105"/>
          <w:sz w:val="16"/>
        </w:rPr>
        <w:t>tracks</w:t>
      </w:r>
      <w:r>
        <w:rPr>
          <w:rFonts w:ascii="Tahoma"/>
          <w:color w:val="2A3F4D"/>
          <w:spacing w:val="-30"/>
          <w:w w:val="105"/>
          <w:sz w:val="16"/>
        </w:rPr>
        <w:t> </w:t>
      </w:r>
      <w:r>
        <w:rPr>
          <w:rFonts w:ascii="Tahoma"/>
          <w:color w:val="2A3F4D"/>
          <w:w w:val="105"/>
          <w:sz w:val="16"/>
        </w:rPr>
        <w:t>changes</w:t>
      </w:r>
      <w:r>
        <w:rPr>
          <w:rFonts w:ascii="Tahoma"/>
          <w:color w:val="2A3F4D"/>
          <w:spacing w:val="-29"/>
          <w:w w:val="105"/>
          <w:sz w:val="16"/>
        </w:rPr>
        <w:t> </w:t>
      </w:r>
      <w:r>
        <w:rPr>
          <w:rFonts w:ascii="Tahoma"/>
          <w:color w:val="2A3F4D"/>
          <w:w w:val="105"/>
          <w:sz w:val="16"/>
        </w:rPr>
        <w:t>in</w:t>
      </w:r>
      <w:r>
        <w:rPr>
          <w:rFonts w:ascii="Tahoma"/>
          <w:color w:val="2A3F4D"/>
          <w:spacing w:val="-31"/>
          <w:w w:val="105"/>
          <w:sz w:val="16"/>
        </w:rPr>
        <w:t> </w:t>
      </w:r>
      <w:r>
        <w:rPr>
          <w:rFonts w:ascii="Tahoma"/>
          <w:color w:val="2A3F4D"/>
          <w:w w:val="105"/>
          <w:sz w:val="16"/>
        </w:rPr>
        <w:t>interest rates,</w:t>
      </w:r>
      <w:r>
        <w:rPr>
          <w:rFonts w:ascii="Tahoma"/>
          <w:color w:val="2A3F4D"/>
          <w:spacing w:val="-24"/>
          <w:w w:val="105"/>
          <w:sz w:val="16"/>
        </w:rPr>
        <w:t> </w:t>
      </w:r>
      <w:r>
        <w:rPr>
          <w:rFonts w:ascii="Tahoma"/>
          <w:color w:val="2A3F4D"/>
          <w:w w:val="105"/>
          <w:sz w:val="16"/>
        </w:rPr>
        <w:t>credit</w:t>
      </w:r>
      <w:r>
        <w:rPr>
          <w:rFonts w:ascii="Tahoma"/>
          <w:color w:val="2A3F4D"/>
          <w:spacing w:val="-23"/>
          <w:w w:val="105"/>
          <w:sz w:val="16"/>
        </w:rPr>
        <w:t> </w:t>
      </w:r>
      <w:r>
        <w:rPr>
          <w:rFonts w:ascii="Tahoma"/>
          <w:color w:val="2A3F4D"/>
          <w:w w:val="105"/>
          <w:sz w:val="16"/>
        </w:rPr>
        <w:t>spreads,</w:t>
      </w:r>
      <w:r>
        <w:rPr>
          <w:rFonts w:ascii="Tahoma"/>
          <w:color w:val="2A3F4D"/>
          <w:spacing w:val="-23"/>
          <w:w w:val="105"/>
          <w:sz w:val="16"/>
        </w:rPr>
        <w:t> </w:t>
      </w:r>
      <w:r>
        <w:rPr>
          <w:rFonts w:ascii="Tahoma"/>
          <w:color w:val="2A3F4D"/>
          <w:w w:val="105"/>
          <w:sz w:val="16"/>
        </w:rPr>
        <w:t>equity</w:t>
      </w:r>
      <w:r>
        <w:rPr>
          <w:rFonts w:ascii="Tahoma"/>
          <w:color w:val="2A3F4D"/>
          <w:spacing w:val="-23"/>
          <w:w w:val="105"/>
          <w:sz w:val="16"/>
        </w:rPr>
        <w:t> </w:t>
      </w:r>
      <w:r>
        <w:rPr>
          <w:rFonts w:ascii="Tahoma"/>
          <w:color w:val="2A3F4D"/>
          <w:w w:val="105"/>
          <w:sz w:val="16"/>
        </w:rPr>
        <w:t>prices</w:t>
      </w:r>
      <w:r>
        <w:rPr>
          <w:rFonts w:ascii="Tahoma"/>
          <w:color w:val="2A3F4D"/>
          <w:spacing w:val="-23"/>
          <w:w w:val="105"/>
          <w:sz w:val="16"/>
        </w:rPr>
        <w:t> </w:t>
      </w:r>
      <w:r>
        <w:rPr>
          <w:rFonts w:ascii="Tahoma"/>
          <w:color w:val="2A3F4D"/>
          <w:w w:val="105"/>
          <w:sz w:val="16"/>
        </w:rPr>
        <w:t>and</w:t>
      </w:r>
      <w:r>
        <w:rPr>
          <w:rFonts w:ascii="Tahoma"/>
          <w:color w:val="2A3F4D"/>
          <w:spacing w:val="-23"/>
          <w:w w:val="105"/>
          <w:sz w:val="16"/>
        </w:rPr>
        <w:t> </w:t>
      </w:r>
      <w:r>
        <w:rPr>
          <w:rFonts w:ascii="Tahoma"/>
          <w:color w:val="2A3F4D"/>
          <w:w w:val="105"/>
          <w:sz w:val="16"/>
        </w:rPr>
        <w:t>the dollar.</w:t>
      </w:r>
      <w:r>
        <w:rPr>
          <w:rFonts w:ascii="Tahoma"/>
          <w:color w:val="2A3F4D"/>
          <w:spacing w:val="-22"/>
          <w:w w:val="105"/>
          <w:sz w:val="16"/>
        </w:rPr>
        <w:t> </w:t>
      </w:r>
      <w:r>
        <w:rPr>
          <w:rFonts w:ascii="Tahoma"/>
          <w:color w:val="2A3F4D"/>
          <w:w w:val="105"/>
          <w:sz w:val="16"/>
        </w:rPr>
        <w:t>An</w:t>
      </w:r>
      <w:r>
        <w:rPr>
          <w:rFonts w:ascii="Tahoma"/>
          <w:color w:val="2A3F4D"/>
          <w:spacing w:val="-21"/>
          <w:w w:val="105"/>
          <w:sz w:val="16"/>
        </w:rPr>
        <w:t> </w:t>
      </w:r>
      <w:r>
        <w:rPr>
          <w:rFonts w:ascii="Tahoma"/>
          <w:color w:val="2A3F4D"/>
          <w:w w:val="105"/>
          <w:sz w:val="16"/>
        </w:rPr>
        <w:t>increase</w:t>
      </w:r>
      <w:r>
        <w:rPr>
          <w:rFonts w:ascii="Tahoma"/>
          <w:color w:val="2A3F4D"/>
          <w:spacing w:val="-21"/>
          <w:w w:val="105"/>
          <w:sz w:val="16"/>
        </w:rPr>
        <w:t> </w:t>
      </w:r>
      <w:r>
        <w:rPr>
          <w:rFonts w:ascii="Tahoma"/>
          <w:color w:val="2A3F4D"/>
          <w:w w:val="105"/>
          <w:sz w:val="16"/>
        </w:rPr>
        <w:t>indicates</w:t>
      </w:r>
      <w:r>
        <w:rPr>
          <w:rFonts w:ascii="Tahoma"/>
          <w:color w:val="2A3F4D"/>
          <w:spacing w:val="-23"/>
          <w:w w:val="105"/>
          <w:sz w:val="16"/>
        </w:rPr>
        <w:t> </w:t>
      </w:r>
      <w:r>
        <w:rPr>
          <w:rFonts w:ascii="Tahoma"/>
          <w:color w:val="2A3F4D"/>
          <w:w w:val="105"/>
          <w:sz w:val="16"/>
        </w:rPr>
        <w:t>tightening</w:t>
      </w:r>
      <w:r>
        <w:rPr>
          <w:rFonts w:ascii="Tahoma"/>
          <w:color w:val="2A3F4D"/>
          <w:spacing w:val="-21"/>
          <w:w w:val="105"/>
          <w:sz w:val="16"/>
        </w:rPr>
        <w:t> </w:t>
      </w:r>
      <w:r>
        <w:rPr>
          <w:rFonts w:ascii="Tahoma"/>
          <w:color w:val="2A3F4D"/>
          <w:w w:val="105"/>
          <w:sz w:val="16"/>
        </w:rPr>
        <w:t>of financial conditions and a decrease indicates</w:t>
      </w:r>
      <w:r>
        <w:rPr>
          <w:rFonts w:ascii="Tahoma"/>
          <w:color w:val="2A3F4D"/>
          <w:spacing w:val="-10"/>
          <w:w w:val="105"/>
          <w:sz w:val="16"/>
        </w:rPr>
        <w:t> </w:t>
      </w:r>
      <w:r>
        <w:rPr>
          <w:rFonts w:ascii="Tahoma"/>
          <w:color w:val="2A3F4D"/>
          <w:w w:val="105"/>
          <w:sz w:val="16"/>
        </w:rPr>
        <w:t>easing.</w:t>
      </w:r>
    </w:p>
    <w:p>
      <w:pPr>
        <w:pStyle w:val="BodyText"/>
        <w:spacing w:before="4"/>
        <w:rPr>
          <w:rFonts w:ascii="Tahoma"/>
          <w:sz w:val="15"/>
        </w:rPr>
      </w:pPr>
    </w:p>
    <w:p>
      <w:pPr>
        <w:spacing w:before="1"/>
        <w:ind w:left="119" w:right="476" w:firstLine="0"/>
        <w:jc w:val="left"/>
        <w:rPr>
          <w:rFonts w:ascii="Tahoma"/>
          <w:sz w:val="16"/>
        </w:rPr>
      </w:pPr>
      <w:r>
        <w:rPr>
          <w:rFonts w:ascii="Tahoma"/>
          <w:color w:val="2A3F4D"/>
          <w:sz w:val="16"/>
        </w:rPr>
        <w:t>The Producer Price Index (PPI) is a family of indexes that measures the average change over time in selling prices received by domestic producers of goods and services. PPIs measure price change from the perspective of the seller.</w:t>
      </w:r>
    </w:p>
    <w:p>
      <w:pPr>
        <w:pStyle w:val="BodyText"/>
        <w:spacing w:before="4"/>
        <w:rPr>
          <w:rFonts w:ascii="Tahoma"/>
          <w:sz w:val="15"/>
        </w:rPr>
      </w:pPr>
    </w:p>
    <w:p>
      <w:pPr>
        <w:spacing w:before="0"/>
        <w:ind w:left="119" w:right="331" w:firstLine="0"/>
        <w:jc w:val="left"/>
        <w:rPr>
          <w:rFonts w:ascii="Tahoma"/>
          <w:sz w:val="16"/>
        </w:rPr>
      </w:pPr>
      <w:r>
        <w:rPr>
          <w:rFonts w:ascii="Tahoma"/>
          <w:color w:val="2A3F4D"/>
          <w:sz w:val="16"/>
        </w:rPr>
        <w:t>The Consumer Price Index (CPI) is a measure that examines the weighted average of prices of a basket of consumer goods and services, such as transportation, food and medical care. It is calculated by taking price changes for each item in the predetermined basket of goods and averaging them.</w:t>
      </w:r>
    </w:p>
    <w:p>
      <w:pPr>
        <w:spacing w:after="0"/>
        <w:jc w:val="left"/>
        <w:rPr>
          <w:rFonts w:ascii="Tahoma"/>
          <w:sz w:val="16"/>
        </w:rPr>
        <w:sectPr>
          <w:type w:val="continuous"/>
          <w:pgSz w:w="12240" w:h="15840"/>
          <w:pgMar w:top="940" w:bottom="280" w:left="980" w:right="940"/>
          <w:cols w:num="3" w:equalWidth="0">
            <w:col w:w="3442" w:space="40"/>
            <w:col w:w="3188" w:space="39"/>
            <w:col w:w="3611"/>
          </w:cols>
        </w:sect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9"/>
        <w:rPr>
          <w:rFonts w:ascii="Tahoma"/>
          <w:sz w:val="23"/>
        </w:rPr>
      </w:pPr>
    </w:p>
    <w:p>
      <w:pPr>
        <w:spacing w:line="180" w:lineRule="exact" w:before="95"/>
        <w:ind w:left="241" w:right="0" w:firstLine="0"/>
        <w:jc w:val="left"/>
        <w:rPr>
          <w:rFonts w:ascii="Tahoma" w:hAnsi="Tahoma"/>
          <w:sz w:val="15"/>
        </w:rPr>
      </w:pPr>
      <w:r>
        <w:rPr/>
        <w:drawing>
          <wp:anchor distT="0" distB="0" distL="0" distR="0" allowOverlap="1" layoutInCell="1" locked="0" behindDoc="0" simplePos="0" relativeHeight="251688960">
            <wp:simplePos x="0" y="0"/>
            <wp:positionH relativeFrom="page">
              <wp:posOffset>5410200</wp:posOffset>
            </wp:positionH>
            <wp:positionV relativeFrom="paragraph">
              <wp:posOffset>-649050</wp:posOffset>
            </wp:positionV>
            <wp:extent cx="1695500" cy="1028700"/>
            <wp:effectExtent l="0" t="0" r="0" b="0"/>
            <wp:wrapNone/>
            <wp:docPr id="13" name="image9.jpeg"/>
            <wp:cNvGraphicFramePr>
              <a:graphicFrameLocks noChangeAspect="1"/>
            </wp:cNvGraphicFramePr>
            <a:graphic>
              <a:graphicData uri="http://schemas.openxmlformats.org/drawingml/2006/picture">
                <pic:pic>
                  <pic:nvPicPr>
                    <pic:cNvPr id="14" name="image9.jpeg"/>
                    <pic:cNvPicPr/>
                  </pic:nvPicPr>
                  <pic:blipFill>
                    <a:blip r:embed="rId22" cstate="print"/>
                    <a:stretch>
                      <a:fillRect/>
                    </a:stretch>
                  </pic:blipFill>
                  <pic:spPr>
                    <a:xfrm>
                      <a:off x="0" y="0"/>
                      <a:ext cx="1695500" cy="1028700"/>
                    </a:xfrm>
                    <a:prstGeom prst="rect">
                      <a:avLst/>
                    </a:prstGeom>
                  </pic:spPr>
                </pic:pic>
              </a:graphicData>
            </a:graphic>
          </wp:anchor>
        </w:drawing>
      </w:r>
      <w:r>
        <w:rPr>
          <w:rFonts w:ascii="Tahoma" w:hAnsi="Tahoma"/>
          <w:color w:val="2A3F4D"/>
          <w:sz w:val="15"/>
        </w:rPr>
        <w:t>©2018 Charles Schwab &amp; Co., Inc. All rights reserved. Member SIPC.</w:t>
      </w:r>
    </w:p>
    <w:p>
      <w:pPr>
        <w:spacing w:line="192" w:lineRule="exact" w:before="0"/>
        <w:ind w:left="241" w:right="0" w:firstLine="0"/>
        <w:jc w:val="left"/>
        <w:rPr>
          <w:rFonts w:ascii="Tahoma"/>
          <w:sz w:val="16"/>
        </w:rPr>
      </w:pPr>
      <w:r>
        <w:rPr>
          <w:rFonts w:ascii="Tahoma"/>
          <w:color w:val="2A3F4D"/>
          <w:sz w:val="16"/>
        </w:rPr>
        <w:t>(1218-8RZ0)</w:t>
      </w:r>
    </w:p>
    <w:sectPr>
      <w:type w:val="continuous"/>
      <w:pgSz w:w="12240" w:h="15840"/>
      <w:pgMar w:top="940" w:bottom="280" w:left="980" w:right="9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Wingdings">
    <w:altName w:val="Wingdings"/>
    <w:charset w:val="2"/>
    <w:family w:val="auto"/>
    <w:pitch w:val="variable"/>
  </w:font>
  <w:font w:name="Tahoma">
    <w:altName w:val="Tahoma"/>
    <w:charset w:val="0"/>
    <w:family w:val="swiss"/>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4.200001pt;margin-top:735.131653pt;width:94.6pt;height:10.55pt;mso-position-horizontal-relative:page;mso-position-vertical-relative:page;z-index:-252090368" type="#_x0000_t202" filled="false" stroked="false">
          <v:textbox inset="0,0,0,0">
            <w:txbxContent>
              <w:p>
                <w:pPr>
                  <w:spacing w:before="15"/>
                  <w:ind w:left="20" w:right="0" w:firstLine="0"/>
                  <w:jc w:val="left"/>
                  <w:rPr>
                    <w:rFonts w:ascii="Tahoma"/>
                    <w:sz w:val="14"/>
                  </w:rPr>
                </w:pPr>
                <w:r>
                  <w:rPr>
                    <w:rFonts w:ascii="Tahoma"/>
                    <w:color w:val="00B0F0"/>
                    <w:w w:val="105"/>
                    <w:sz w:val="14"/>
                  </w:rPr>
                  <w:t>2019</w:t>
                </w:r>
                <w:r>
                  <w:rPr>
                    <w:rFonts w:ascii="Tahoma"/>
                    <w:color w:val="00B0F0"/>
                    <w:spacing w:val="-15"/>
                    <w:w w:val="105"/>
                    <w:sz w:val="14"/>
                  </w:rPr>
                  <w:t> </w:t>
                </w:r>
                <w:r>
                  <w:rPr>
                    <w:rFonts w:ascii="Tahoma"/>
                    <w:color w:val="00B0F0"/>
                    <w:w w:val="105"/>
                    <w:sz w:val="14"/>
                  </w:rPr>
                  <w:t>Schwab</w:t>
                </w:r>
                <w:r>
                  <w:rPr>
                    <w:rFonts w:ascii="Tahoma"/>
                    <w:color w:val="00B0F0"/>
                    <w:spacing w:val="-18"/>
                    <w:w w:val="105"/>
                    <w:sz w:val="14"/>
                  </w:rPr>
                  <w:t> </w:t>
                </w:r>
                <w:r>
                  <w:rPr>
                    <w:rFonts w:ascii="Tahoma"/>
                    <w:color w:val="00B0F0"/>
                    <w:w w:val="105"/>
                    <w:sz w:val="14"/>
                  </w:rPr>
                  <w:t>Market</w:t>
                </w:r>
                <w:r>
                  <w:rPr>
                    <w:rFonts w:ascii="Tahoma"/>
                    <w:color w:val="00B0F0"/>
                    <w:spacing w:val="-17"/>
                    <w:w w:val="105"/>
                    <w:sz w:val="14"/>
                  </w:rPr>
                  <w:t> </w:t>
                </w:r>
                <w:r>
                  <w:rPr>
                    <w:rFonts w:ascii="Tahoma"/>
                    <w:color w:val="00B0F0"/>
                    <w:w w:val="105"/>
                    <w:sz w:val="14"/>
                  </w:rPr>
                  <w:t>Outlook</w:t>
                </w:r>
              </w:p>
            </w:txbxContent>
          </v:textbox>
          <w10:wrap type="none"/>
        </v:shape>
      </w:pict>
    </w:r>
    <w:r>
      <w:rPr/>
      <w:pict>
        <v:shape style="position:absolute;margin-left:550.840088pt;margin-top:735.131653pt;width:7.85pt;height:10.55pt;mso-position-horizontal-relative:page;mso-position-vertical-relative:page;z-index:-252089344" type="#_x0000_t202" filled="false" stroked="false">
          <v:textbox inset="0,0,0,0">
            <w:txbxContent>
              <w:p>
                <w:pPr>
                  <w:spacing w:before="15"/>
                  <w:ind w:left="40" w:right="0" w:firstLine="0"/>
                  <w:jc w:val="left"/>
                  <w:rPr>
                    <w:rFonts w:ascii="Tahoma"/>
                    <w:sz w:val="14"/>
                  </w:rPr>
                </w:pPr>
                <w:r>
                  <w:rPr/>
                  <w:fldChar w:fldCharType="begin"/>
                </w:r>
                <w:r>
                  <w:rPr>
                    <w:rFonts w:ascii="Tahoma"/>
                    <w:color w:val="00B0F0"/>
                    <w:w w:val="100"/>
                    <w:sz w:val="14"/>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4pt;margin-top:714pt;width:504pt;height:12pt;mso-position-horizontal-relative:page;mso-position-vertical-relative:page;z-index:-252086272" filled="true" fillcolor="#2a3f4d" stroked="false">
          <v:fill type="solid"/>
          <w10:wrap type="none"/>
        </v:rect>
      </w:pict>
    </w:r>
    <w:r>
      <w:rPr/>
      <w:pict>
        <v:shape style="position:absolute;margin-left:54.200001pt;margin-top:735.011658pt;width:94.6pt;height:10.55pt;mso-position-horizontal-relative:page;mso-position-vertical-relative:page;z-index:-252085248" type="#_x0000_t202" filled="false" stroked="false">
          <v:textbox inset="0,0,0,0">
            <w:txbxContent>
              <w:p>
                <w:pPr>
                  <w:spacing w:before="15"/>
                  <w:ind w:left="20" w:right="0" w:firstLine="0"/>
                  <w:jc w:val="left"/>
                  <w:rPr>
                    <w:rFonts w:ascii="Tahoma"/>
                    <w:sz w:val="14"/>
                  </w:rPr>
                </w:pPr>
                <w:r>
                  <w:rPr>
                    <w:rFonts w:ascii="Tahoma"/>
                    <w:color w:val="00B0F0"/>
                    <w:w w:val="105"/>
                    <w:sz w:val="14"/>
                  </w:rPr>
                  <w:t>2019</w:t>
                </w:r>
                <w:r>
                  <w:rPr>
                    <w:rFonts w:ascii="Tahoma"/>
                    <w:color w:val="00B0F0"/>
                    <w:spacing w:val="-15"/>
                    <w:w w:val="105"/>
                    <w:sz w:val="14"/>
                  </w:rPr>
                  <w:t> </w:t>
                </w:r>
                <w:r>
                  <w:rPr>
                    <w:rFonts w:ascii="Tahoma"/>
                    <w:color w:val="00B0F0"/>
                    <w:w w:val="105"/>
                    <w:sz w:val="14"/>
                  </w:rPr>
                  <w:t>Schwab</w:t>
                </w:r>
                <w:r>
                  <w:rPr>
                    <w:rFonts w:ascii="Tahoma"/>
                    <w:color w:val="00B0F0"/>
                    <w:spacing w:val="-18"/>
                    <w:w w:val="105"/>
                    <w:sz w:val="14"/>
                  </w:rPr>
                  <w:t> </w:t>
                </w:r>
                <w:r>
                  <w:rPr>
                    <w:rFonts w:ascii="Tahoma"/>
                    <w:color w:val="00B0F0"/>
                    <w:w w:val="105"/>
                    <w:sz w:val="14"/>
                  </w:rPr>
                  <w:t>Market</w:t>
                </w:r>
                <w:r>
                  <w:rPr>
                    <w:rFonts w:ascii="Tahoma"/>
                    <w:color w:val="00B0F0"/>
                    <w:spacing w:val="-17"/>
                    <w:w w:val="105"/>
                    <w:sz w:val="14"/>
                  </w:rPr>
                  <w:t> </w:t>
                </w:r>
                <w:r>
                  <w:rPr>
                    <w:rFonts w:ascii="Tahoma"/>
                    <w:color w:val="00B0F0"/>
                    <w:w w:val="105"/>
                    <w:sz w:val="14"/>
                  </w:rPr>
                  <w:t>Outlook</w:t>
                </w:r>
              </w:p>
            </w:txbxContent>
          </v:textbox>
          <w10:wrap type="none"/>
        </v:shape>
      </w:pict>
    </w:r>
    <w:r>
      <w:rPr/>
      <w:pict>
        <v:shape style="position:absolute;margin-left:550.840088pt;margin-top:734.831665pt;width:7.85pt;height:10.8pt;mso-position-horizontal-relative:page;mso-position-vertical-relative:page;z-index:-252084224" type="#_x0000_t202" filled="false" stroked="false">
          <v:textbox inset="0,0,0,0">
            <w:txbxContent>
              <w:p>
                <w:pPr>
                  <w:spacing w:before="19"/>
                  <w:ind w:left="40" w:right="0" w:firstLine="0"/>
                  <w:jc w:val="left"/>
                  <w:rPr>
                    <w:rFonts w:ascii="Tahoma"/>
                    <w:sz w:val="14"/>
                  </w:rPr>
                </w:pPr>
                <w:r>
                  <w:rPr/>
                  <w:fldChar w:fldCharType="begin"/>
                </w:r>
                <w:r>
                  <w:rPr>
                    <w:rFonts w:ascii="Tahoma"/>
                    <w:color w:val="00B0F0"/>
                    <w:w w:val="100"/>
                    <w:sz w:val="14"/>
                  </w:rPr>
                  <w:instrText> PAGE </w:instrText>
                </w:r>
                <w:r>
                  <w:rPr/>
                  <w:fldChar w:fldCharType="separate"/>
                </w:r>
                <w:r>
                  <w:rPr/>
                  <w:t>2</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00001pt;margin-top:735.071655pt;width:94.6pt;height:10.55pt;mso-position-horizontal-relative:page;mso-position-vertical-relative:page;z-index:-252079104" type="#_x0000_t202" filled="false" stroked="false">
          <v:textbox inset="0,0,0,0">
            <w:txbxContent>
              <w:p>
                <w:pPr>
                  <w:spacing w:before="15"/>
                  <w:ind w:left="20" w:right="0" w:firstLine="0"/>
                  <w:jc w:val="left"/>
                  <w:rPr>
                    <w:rFonts w:ascii="Tahoma"/>
                    <w:sz w:val="14"/>
                  </w:rPr>
                </w:pPr>
                <w:r>
                  <w:rPr>
                    <w:rFonts w:ascii="Tahoma"/>
                    <w:color w:val="00B0F0"/>
                    <w:w w:val="105"/>
                    <w:sz w:val="14"/>
                  </w:rPr>
                  <w:t>2019</w:t>
                </w:r>
                <w:r>
                  <w:rPr>
                    <w:rFonts w:ascii="Tahoma"/>
                    <w:color w:val="00B0F0"/>
                    <w:spacing w:val="-15"/>
                    <w:w w:val="105"/>
                    <w:sz w:val="14"/>
                  </w:rPr>
                  <w:t> </w:t>
                </w:r>
                <w:r>
                  <w:rPr>
                    <w:rFonts w:ascii="Tahoma"/>
                    <w:color w:val="00B0F0"/>
                    <w:w w:val="105"/>
                    <w:sz w:val="14"/>
                  </w:rPr>
                  <w:t>Schwab</w:t>
                </w:r>
                <w:r>
                  <w:rPr>
                    <w:rFonts w:ascii="Tahoma"/>
                    <w:color w:val="00B0F0"/>
                    <w:spacing w:val="-18"/>
                    <w:w w:val="105"/>
                    <w:sz w:val="14"/>
                  </w:rPr>
                  <w:t> </w:t>
                </w:r>
                <w:r>
                  <w:rPr>
                    <w:rFonts w:ascii="Tahoma"/>
                    <w:color w:val="00B0F0"/>
                    <w:w w:val="105"/>
                    <w:sz w:val="14"/>
                  </w:rPr>
                  <w:t>Market</w:t>
                </w:r>
                <w:r>
                  <w:rPr>
                    <w:rFonts w:ascii="Tahoma"/>
                    <w:color w:val="00B0F0"/>
                    <w:spacing w:val="-17"/>
                    <w:w w:val="105"/>
                    <w:sz w:val="14"/>
                  </w:rPr>
                  <w:t> </w:t>
                </w:r>
                <w:r>
                  <w:rPr>
                    <w:rFonts w:ascii="Tahoma"/>
                    <w:color w:val="00B0F0"/>
                    <w:w w:val="105"/>
                    <w:sz w:val="14"/>
                  </w:rPr>
                  <w:t>Outlook</w:t>
                </w:r>
              </w:p>
            </w:txbxContent>
          </v:textbox>
          <w10:wrap type="none"/>
        </v:shape>
      </w:pict>
    </w:r>
    <w:r>
      <w:rPr/>
      <w:pict>
        <v:shape style="position:absolute;margin-left:550.840088pt;margin-top:735.071655pt;width:7.85pt;height:10.55pt;mso-position-horizontal-relative:page;mso-position-vertical-relative:page;z-index:-252078080" type="#_x0000_t202" filled="false" stroked="false">
          <v:textbox inset="0,0,0,0">
            <w:txbxContent>
              <w:p>
                <w:pPr>
                  <w:spacing w:before="15"/>
                  <w:ind w:left="40" w:right="0" w:firstLine="0"/>
                  <w:jc w:val="left"/>
                  <w:rPr>
                    <w:rFonts w:ascii="Tahoma"/>
                    <w:sz w:val="14"/>
                  </w:rPr>
                </w:pPr>
                <w:r>
                  <w:rPr/>
                  <w:fldChar w:fldCharType="begin"/>
                </w:r>
                <w:r>
                  <w:rPr>
                    <w:rFonts w:ascii="Tahoma"/>
                    <w:color w:val="00B0F0"/>
                    <w:w w:val="100"/>
                    <w:sz w:val="14"/>
                  </w:rPr>
                  <w:instrText> PAGE </w:instrText>
                </w:r>
                <w:r>
                  <w:rPr/>
                  <w:fldChar w:fldCharType="separate"/>
                </w:r>
                <w:r>
                  <w:rPr/>
                  <w:t>8</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200001pt;margin-top:735.071655pt;width:94.6pt;height:10.55pt;mso-position-horizontal-relative:page;mso-position-vertical-relative:page;z-index:-252077056" type="#_x0000_t202" filled="false" stroked="false">
          <v:textbox inset="0,0,0,0">
            <w:txbxContent>
              <w:p>
                <w:pPr>
                  <w:spacing w:before="15"/>
                  <w:ind w:left="20" w:right="0" w:firstLine="0"/>
                  <w:jc w:val="left"/>
                  <w:rPr>
                    <w:rFonts w:ascii="Tahoma"/>
                    <w:sz w:val="14"/>
                  </w:rPr>
                </w:pPr>
                <w:r>
                  <w:rPr>
                    <w:rFonts w:ascii="Tahoma"/>
                    <w:color w:val="00B0F0"/>
                    <w:w w:val="105"/>
                    <w:sz w:val="14"/>
                  </w:rPr>
                  <w:t>2019</w:t>
                </w:r>
                <w:r>
                  <w:rPr>
                    <w:rFonts w:ascii="Tahoma"/>
                    <w:color w:val="00B0F0"/>
                    <w:spacing w:val="-15"/>
                    <w:w w:val="105"/>
                    <w:sz w:val="14"/>
                  </w:rPr>
                  <w:t> </w:t>
                </w:r>
                <w:r>
                  <w:rPr>
                    <w:rFonts w:ascii="Tahoma"/>
                    <w:color w:val="00B0F0"/>
                    <w:w w:val="105"/>
                    <w:sz w:val="14"/>
                  </w:rPr>
                  <w:t>Schwab</w:t>
                </w:r>
                <w:r>
                  <w:rPr>
                    <w:rFonts w:ascii="Tahoma"/>
                    <w:color w:val="00B0F0"/>
                    <w:spacing w:val="-18"/>
                    <w:w w:val="105"/>
                    <w:sz w:val="14"/>
                  </w:rPr>
                  <w:t> </w:t>
                </w:r>
                <w:r>
                  <w:rPr>
                    <w:rFonts w:ascii="Tahoma"/>
                    <w:color w:val="00B0F0"/>
                    <w:w w:val="105"/>
                    <w:sz w:val="14"/>
                  </w:rPr>
                  <w:t>Market</w:t>
                </w:r>
                <w:r>
                  <w:rPr>
                    <w:rFonts w:ascii="Tahoma"/>
                    <w:color w:val="00B0F0"/>
                    <w:spacing w:val="-17"/>
                    <w:w w:val="105"/>
                    <w:sz w:val="14"/>
                  </w:rPr>
                  <w:t> </w:t>
                </w:r>
                <w:r>
                  <w:rPr>
                    <w:rFonts w:ascii="Tahoma"/>
                    <w:color w:val="00B0F0"/>
                    <w:w w:val="105"/>
                    <w:sz w:val="14"/>
                  </w:rPr>
                  <w:t>Outlook</w:t>
                </w:r>
              </w:p>
            </w:txbxContent>
          </v:textbox>
          <w10:wrap type="none"/>
        </v:shape>
      </w:pict>
    </w:r>
    <w:r>
      <w:rPr/>
      <w:pict>
        <v:shape style="position:absolute;margin-left:550.840088pt;margin-top:735.071655pt;width:7.85pt;height:10.55pt;mso-position-horizontal-relative:page;mso-position-vertical-relative:page;z-index:-252076032" type="#_x0000_t202" filled="false" stroked="false">
          <v:textbox inset="0,0,0,0">
            <w:txbxContent>
              <w:p>
                <w:pPr>
                  <w:spacing w:before="15"/>
                  <w:ind w:left="40" w:right="0" w:firstLine="0"/>
                  <w:jc w:val="left"/>
                  <w:rPr>
                    <w:rFonts w:ascii="Tahoma"/>
                    <w:sz w:val="14"/>
                  </w:rPr>
                </w:pPr>
                <w:r>
                  <w:rPr/>
                  <w:fldChar w:fldCharType="begin"/>
                </w:r>
                <w:r>
                  <w:rPr>
                    <w:rFonts w:ascii="Tahoma"/>
                    <w:color w:val="00B0F0"/>
                    <w:w w:val="100"/>
                    <w:sz w:val="14"/>
                  </w:rPr>
                  <w:instrText> PAGE </w:instrText>
                </w:r>
                <w:r>
                  <w:rPr/>
                  <w:fldChar w:fldCharType="separate"/>
                </w:r>
                <w:r>
                  <w:rPr/>
                  <w:t>9</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4pt;margin-top:48pt;width:504pt;height:120pt;mso-position-horizontal-relative:page;mso-position-vertical-relative:page;z-index:-252088320" filled="true" fillcolor="#2a3f4d" stroked="false">
          <v:fill type="solid"/>
          <w10:wrap type="none"/>
        </v:rect>
      </w:pict>
    </w:r>
    <w:r>
      <w:rPr/>
      <w:pict>
        <v:shape style="position:absolute;margin-left:66.199997pt;margin-top:54.835339pt;width:378.6pt;height:55pt;mso-position-horizontal-relative:page;mso-position-vertical-relative:page;z-index:-252087296" type="#_x0000_t202" filled="false" stroked="false">
          <v:textbox inset="0,0,0,0">
            <w:txbxContent>
              <w:p>
                <w:pPr>
                  <w:spacing w:line="766" w:lineRule="exact" w:before="29"/>
                  <w:ind w:left="20" w:right="0" w:firstLine="0"/>
                  <w:jc w:val="left"/>
                  <w:rPr>
                    <w:sz w:val="64"/>
                  </w:rPr>
                </w:pPr>
                <w:r>
                  <w:rPr>
                    <w:color w:val="FFFFFF"/>
                    <w:w w:val="110"/>
                    <w:sz w:val="64"/>
                  </w:rPr>
                  <w:t>U.S. STOCKS &amp; ECONOMY</w:t>
                </w:r>
              </w:p>
              <w:p>
                <w:pPr>
                  <w:spacing w:line="274" w:lineRule="exact" w:before="0"/>
                  <w:ind w:left="20" w:right="0" w:firstLine="0"/>
                  <w:jc w:val="left"/>
                  <w:rPr>
                    <w:rFonts w:ascii="Tahoma"/>
                    <w:sz w:val="24"/>
                  </w:rPr>
                </w:pPr>
                <w:r>
                  <w:rPr>
                    <w:rFonts w:ascii="Tahoma"/>
                    <w:color w:val="FFFFFF"/>
                    <w:sz w:val="24"/>
                  </w:rPr>
                  <w:t>Liz Ann Sonders (@LizAnnSonders)</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4pt;margin-top:48pt;width:504pt;height:120pt;mso-position-horizontal-relative:page;mso-position-vertical-relative:page;z-index:-252083200" filled="true" fillcolor="#7a9c49" stroked="false">
          <v:fill type="solid"/>
          <w10:wrap type="none"/>
        </v:rect>
      </w:pict>
    </w:r>
    <w:r>
      <w:rPr/>
      <w:pict>
        <v:shape style="position:absolute;margin-left:66.199997pt;margin-top:54.835339pt;width:438.9pt;height:55pt;mso-position-horizontal-relative:page;mso-position-vertical-relative:page;z-index:-252082176" type="#_x0000_t202" filled="false" stroked="false">
          <v:textbox inset="0,0,0,0">
            <w:txbxContent>
              <w:p>
                <w:pPr>
                  <w:spacing w:line="766" w:lineRule="exact" w:before="29"/>
                  <w:ind w:left="20" w:right="0" w:firstLine="0"/>
                  <w:jc w:val="left"/>
                  <w:rPr>
                    <w:sz w:val="64"/>
                  </w:rPr>
                </w:pPr>
                <w:r>
                  <w:rPr>
                    <w:color w:val="FFFFFF"/>
                    <w:w w:val="110"/>
                    <w:sz w:val="64"/>
                  </w:rPr>
                  <w:t>GLOBAL STOCKS &amp;</w:t>
                </w:r>
                <w:r>
                  <w:rPr>
                    <w:color w:val="FFFFFF"/>
                    <w:spacing w:val="64"/>
                    <w:w w:val="110"/>
                    <w:sz w:val="64"/>
                  </w:rPr>
                  <w:t> </w:t>
                </w:r>
                <w:r>
                  <w:rPr>
                    <w:color w:val="FFFFFF"/>
                    <w:w w:val="110"/>
                    <w:sz w:val="64"/>
                  </w:rPr>
                  <w:t>ECONOMY</w:t>
                </w:r>
              </w:p>
              <w:p>
                <w:pPr>
                  <w:spacing w:line="274" w:lineRule="exact" w:before="0"/>
                  <w:ind w:left="20" w:right="0" w:firstLine="0"/>
                  <w:jc w:val="left"/>
                  <w:rPr>
                    <w:rFonts w:ascii="Tahoma"/>
                    <w:sz w:val="24"/>
                  </w:rPr>
                </w:pPr>
                <w:r>
                  <w:rPr>
                    <w:rFonts w:ascii="Tahoma"/>
                    <w:color w:val="FFFFFF"/>
                    <w:sz w:val="24"/>
                  </w:rPr>
                  <w:t>Jeffrey Kleintop (@JeffreyKleintop)</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4pt;margin-top:48pt;width:504pt;height:120pt;mso-position-horizontal-relative:page;mso-position-vertical-relative:page;z-index:-252081152" filled="true" fillcolor="#a04878" stroked="false">
          <v:fill type="solid"/>
          <w10:wrap type="none"/>
        </v:rect>
      </w:pict>
    </w:r>
    <w:r>
      <w:rPr/>
      <w:pict>
        <v:shape style="position:absolute;margin-left:66.199997pt;margin-top:54.835339pt;width:215.65pt;height:55.15pt;mso-position-horizontal-relative:page;mso-position-vertical-relative:page;z-index:-252080128" type="#_x0000_t202" filled="false" stroked="false">
          <v:textbox inset="0,0,0,0">
            <w:txbxContent>
              <w:p>
                <w:pPr>
                  <w:spacing w:line="768" w:lineRule="exact" w:before="29"/>
                  <w:ind w:left="20" w:right="0" w:firstLine="0"/>
                  <w:jc w:val="left"/>
                  <w:rPr>
                    <w:sz w:val="64"/>
                  </w:rPr>
                </w:pPr>
                <w:r>
                  <w:rPr>
                    <w:color w:val="FFFFFF"/>
                    <w:w w:val="110"/>
                    <w:sz w:val="64"/>
                  </w:rPr>
                  <w:t>FIXED INCOME</w:t>
                </w:r>
              </w:p>
              <w:p>
                <w:pPr>
                  <w:spacing w:line="276" w:lineRule="exact" w:before="0"/>
                  <w:ind w:left="20" w:right="0" w:firstLine="0"/>
                  <w:jc w:val="left"/>
                  <w:rPr>
                    <w:rFonts w:ascii="Tahoma"/>
                    <w:sz w:val="24"/>
                  </w:rPr>
                </w:pPr>
                <w:r>
                  <w:rPr>
                    <w:rFonts w:ascii="Tahoma"/>
                    <w:color w:val="FFFFFF"/>
                    <w:sz w:val="24"/>
                  </w:rPr>
                  <w:t>Kathy Jones (@KathyJones)</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0"/>
      <w:numFmt w:val="bullet"/>
      <w:lvlText w:val="•"/>
      <w:lvlJc w:val="left"/>
      <w:pPr>
        <w:ind w:left="534" w:hanging="270"/>
      </w:pPr>
      <w:rPr>
        <w:rFonts w:hint="default" w:ascii="Arial" w:hAnsi="Arial" w:eastAsia="Arial" w:cs="Arial"/>
        <w:color w:val="2A3F4D"/>
        <w:w w:val="100"/>
        <w:sz w:val="20"/>
        <w:szCs w:val="20"/>
        <w:lang w:val="en-US" w:eastAsia="en-US" w:bidi="en-US"/>
      </w:rPr>
    </w:lvl>
    <w:lvl w:ilvl="1">
      <w:start w:val="0"/>
      <w:numFmt w:val="bullet"/>
      <w:lvlText w:val="•"/>
      <w:lvlJc w:val="left"/>
      <w:pPr>
        <w:ind w:left="774" w:hanging="270"/>
      </w:pPr>
      <w:rPr>
        <w:rFonts w:hint="default"/>
        <w:lang w:val="en-US" w:eastAsia="en-US" w:bidi="en-US"/>
      </w:rPr>
    </w:lvl>
    <w:lvl w:ilvl="2">
      <w:start w:val="0"/>
      <w:numFmt w:val="bullet"/>
      <w:lvlText w:val="•"/>
      <w:lvlJc w:val="left"/>
      <w:pPr>
        <w:ind w:left="1008" w:hanging="270"/>
      </w:pPr>
      <w:rPr>
        <w:rFonts w:hint="default"/>
        <w:lang w:val="en-US" w:eastAsia="en-US" w:bidi="en-US"/>
      </w:rPr>
    </w:lvl>
    <w:lvl w:ilvl="3">
      <w:start w:val="0"/>
      <w:numFmt w:val="bullet"/>
      <w:lvlText w:val="•"/>
      <w:lvlJc w:val="left"/>
      <w:pPr>
        <w:ind w:left="1242" w:hanging="270"/>
      </w:pPr>
      <w:rPr>
        <w:rFonts w:hint="default"/>
        <w:lang w:val="en-US" w:eastAsia="en-US" w:bidi="en-US"/>
      </w:rPr>
    </w:lvl>
    <w:lvl w:ilvl="4">
      <w:start w:val="0"/>
      <w:numFmt w:val="bullet"/>
      <w:lvlText w:val="•"/>
      <w:lvlJc w:val="left"/>
      <w:pPr>
        <w:ind w:left="1476" w:hanging="270"/>
      </w:pPr>
      <w:rPr>
        <w:rFonts w:hint="default"/>
        <w:lang w:val="en-US" w:eastAsia="en-US" w:bidi="en-US"/>
      </w:rPr>
    </w:lvl>
    <w:lvl w:ilvl="5">
      <w:start w:val="0"/>
      <w:numFmt w:val="bullet"/>
      <w:lvlText w:val="•"/>
      <w:lvlJc w:val="left"/>
      <w:pPr>
        <w:ind w:left="1710" w:hanging="270"/>
      </w:pPr>
      <w:rPr>
        <w:rFonts w:hint="default"/>
        <w:lang w:val="en-US" w:eastAsia="en-US" w:bidi="en-US"/>
      </w:rPr>
    </w:lvl>
    <w:lvl w:ilvl="6">
      <w:start w:val="0"/>
      <w:numFmt w:val="bullet"/>
      <w:lvlText w:val="•"/>
      <w:lvlJc w:val="left"/>
      <w:pPr>
        <w:ind w:left="1944" w:hanging="270"/>
      </w:pPr>
      <w:rPr>
        <w:rFonts w:hint="default"/>
        <w:lang w:val="en-US" w:eastAsia="en-US" w:bidi="en-US"/>
      </w:rPr>
    </w:lvl>
    <w:lvl w:ilvl="7">
      <w:start w:val="0"/>
      <w:numFmt w:val="bullet"/>
      <w:lvlText w:val="•"/>
      <w:lvlJc w:val="left"/>
      <w:pPr>
        <w:ind w:left="2178" w:hanging="270"/>
      </w:pPr>
      <w:rPr>
        <w:rFonts w:hint="default"/>
        <w:lang w:val="en-US" w:eastAsia="en-US" w:bidi="en-US"/>
      </w:rPr>
    </w:lvl>
    <w:lvl w:ilvl="8">
      <w:start w:val="0"/>
      <w:numFmt w:val="bullet"/>
      <w:lvlText w:val="•"/>
      <w:lvlJc w:val="left"/>
      <w:pPr>
        <w:ind w:left="2412" w:hanging="270"/>
      </w:pPr>
      <w:rPr>
        <w:rFonts w:hint="default"/>
        <w:lang w:val="en-US" w:eastAsia="en-US" w:bidi="en-US"/>
      </w:rPr>
    </w:lvl>
  </w:abstractNum>
  <w:abstractNum w:abstractNumId="5">
    <w:multiLevelType w:val="hybridMultilevel"/>
    <w:lvl w:ilvl="0">
      <w:start w:val="0"/>
      <w:numFmt w:val="bullet"/>
      <w:lvlText w:val="•"/>
      <w:lvlJc w:val="left"/>
      <w:pPr>
        <w:ind w:left="534" w:hanging="270"/>
      </w:pPr>
      <w:rPr>
        <w:rFonts w:hint="default" w:ascii="Arial" w:hAnsi="Arial" w:eastAsia="Arial" w:cs="Arial"/>
        <w:color w:val="2A3F4D"/>
        <w:w w:val="100"/>
        <w:sz w:val="20"/>
        <w:szCs w:val="20"/>
        <w:lang w:val="en-US" w:eastAsia="en-US" w:bidi="en-US"/>
      </w:rPr>
    </w:lvl>
    <w:lvl w:ilvl="1">
      <w:start w:val="0"/>
      <w:numFmt w:val="bullet"/>
      <w:lvlText w:val="•"/>
      <w:lvlJc w:val="left"/>
      <w:pPr>
        <w:ind w:left="774" w:hanging="270"/>
      </w:pPr>
      <w:rPr>
        <w:rFonts w:hint="default"/>
        <w:lang w:val="en-US" w:eastAsia="en-US" w:bidi="en-US"/>
      </w:rPr>
    </w:lvl>
    <w:lvl w:ilvl="2">
      <w:start w:val="0"/>
      <w:numFmt w:val="bullet"/>
      <w:lvlText w:val="•"/>
      <w:lvlJc w:val="left"/>
      <w:pPr>
        <w:ind w:left="1008" w:hanging="270"/>
      </w:pPr>
      <w:rPr>
        <w:rFonts w:hint="default"/>
        <w:lang w:val="en-US" w:eastAsia="en-US" w:bidi="en-US"/>
      </w:rPr>
    </w:lvl>
    <w:lvl w:ilvl="3">
      <w:start w:val="0"/>
      <w:numFmt w:val="bullet"/>
      <w:lvlText w:val="•"/>
      <w:lvlJc w:val="left"/>
      <w:pPr>
        <w:ind w:left="1242" w:hanging="270"/>
      </w:pPr>
      <w:rPr>
        <w:rFonts w:hint="default"/>
        <w:lang w:val="en-US" w:eastAsia="en-US" w:bidi="en-US"/>
      </w:rPr>
    </w:lvl>
    <w:lvl w:ilvl="4">
      <w:start w:val="0"/>
      <w:numFmt w:val="bullet"/>
      <w:lvlText w:val="•"/>
      <w:lvlJc w:val="left"/>
      <w:pPr>
        <w:ind w:left="1476" w:hanging="270"/>
      </w:pPr>
      <w:rPr>
        <w:rFonts w:hint="default"/>
        <w:lang w:val="en-US" w:eastAsia="en-US" w:bidi="en-US"/>
      </w:rPr>
    </w:lvl>
    <w:lvl w:ilvl="5">
      <w:start w:val="0"/>
      <w:numFmt w:val="bullet"/>
      <w:lvlText w:val="•"/>
      <w:lvlJc w:val="left"/>
      <w:pPr>
        <w:ind w:left="1710" w:hanging="270"/>
      </w:pPr>
      <w:rPr>
        <w:rFonts w:hint="default"/>
        <w:lang w:val="en-US" w:eastAsia="en-US" w:bidi="en-US"/>
      </w:rPr>
    </w:lvl>
    <w:lvl w:ilvl="6">
      <w:start w:val="0"/>
      <w:numFmt w:val="bullet"/>
      <w:lvlText w:val="•"/>
      <w:lvlJc w:val="left"/>
      <w:pPr>
        <w:ind w:left="1944" w:hanging="270"/>
      </w:pPr>
      <w:rPr>
        <w:rFonts w:hint="default"/>
        <w:lang w:val="en-US" w:eastAsia="en-US" w:bidi="en-US"/>
      </w:rPr>
    </w:lvl>
    <w:lvl w:ilvl="7">
      <w:start w:val="0"/>
      <w:numFmt w:val="bullet"/>
      <w:lvlText w:val="•"/>
      <w:lvlJc w:val="left"/>
      <w:pPr>
        <w:ind w:left="2178" w:hanging="270"/>
      </w:pPr>
      <w:rPr>
        <w:rFonts w:hint="default"/>
        <w:lang w:val="en-US" w:eastAsia="en-US" w:bidi="en-US"/>
      </w:rPr>
    </w:lvl>
    <w:lvl w:ilvl="8">
      <w:start w:val="0"/>
      <w:numFmt w:val="bullet"/>
      <w:lvlText w:val="•"/>
      <w:lvlJc w:val="left"/>
      <w:pPr>
        <w:ind w:left="2412" w:hanging="270"/>
      </w:pPr>
      <w:rPr>
        <w:rFonts w:hint="default"/>
        <w:lang w:val="en-US" w:eastAsia="en-US" w:bidi="en-US"/>
      </w:rPr>
    </w:lvl>
  </w:abstractNum>
  <w:abstractNum w:abstractNumId="4">
    <w:multiLevelType w:val="hybridMultilevel"/>
    <w:lvl w:ilvl="0">
      <w:start w:val="0"/>
      <w:numFmt w:val="bullet"/>
      <w:lvlText w:val="•"/>
      <w:lvlJc w:val="left"/>
      <w:pPr>
        <w:ind w:left="534" w:hanging="270"/>
      </w:pPr>
      <w:rPr>
        <w:rFonts w:hint="default" w:ascii="Arial" w:hAnsi="Arial" w:eastAsia="Arial" w:cs="Arial"/>
        <w:color w:val="2A3F4D"/>
        <w:w w:val="100"/>
        <w:sz w:val="20"/>
        <w:szCs w:val="20"/>
        <w:lang w:val="en-US" w:eastAsia="en-US" w:bidi="en-US"/>
      </w:rPr>
    </w:lvl>
    <w:lvl w:ilvl="1">
      <w:start w:val="0"/>
      <w:numFmt w:val="bullet"/>
      <w:lvlText w:val="•"/>
      <w:lvlJc w:val="left"/>
      <w:pPr>
        <w:ind w:left="774" w:hanging="270"/>
      </w:pPr>
      <w:rPr>
        <w:rFonts w:hint="default"/>
        <w:lang w:val="en-US" w:eastAsia="en-US" w:bidi="en-US"/>
      </w:rPr>
    </w:lvl>
    <w:lvl w:ilvl="2">
      <w:start w:val="0"/>
      <w:numFmt w:val="bullet"/>
      <w:lvlText w:val="•"/>
      <w:lvlJc w:val="left"/>
      <w:pPr>
        <w:ind w:left="1008" w:hanging="270"/>
      </w:pPr>
      <w:rPr>
        <w:rFonts w:hint="default"/>
        <w:lang w:val="en-US" w:eastAsia="en-US" w:bidi="en-US"/>
      </w:rPr>
    </w:lvl>
    <w:lvl w:ilvl="3">
      <w:start w:val="0"/>
      <w:numFmt w:val="bullet"/>
      <w:lvlText w:val="•"/>
      <w:lvlJc w:val="left"/>
      <w:pPr>
        <w:ind w:left="1242" w:hanging="270"/>
      </w:pPr>
      <w:rPr>
        <w:rFonts w:hint="default"/>
        <w:lang w:val="en-US" w:eastAsia="en-US" w:bidi="en-US"/>
      </w:rPr>
    </w:lvl>
    <w:lvl w:ilvl="4">
      <w:start w:val="0"/>
      <w:numFmt w:val="bullet"/>
      <w:lvlText w:val="•"/>
      <w:lvlJc w:val="left"/>
      <w:pPr>
        <w:ind w:left="1476" w:hanging="270"/>
      </w:pPr>
      <w:rPr>
        <w:rFonts w:hint="default"/>
        <w:lang w:val="en-US" w:eastAsia="en-US" w:bidi="en-US"/>
      </w:rPr>
    </w:lvl>
    <w:lvl w:ilvl="5">
      <w:start w:val="0"/>
      <w:numFmt w:val="bullet"/>
      <w:lvlText w:val="•"/>
      <w:lvlJc w:val="left"/>
      <w:pPr>
        <w:ind w:left="1710" w:hanging="270"/>
      </w:pPr>
      <w:rPr>
        <w:rFonts w:hint="default"/>
        <w:lang w:val="en-US" w:eastAsia="en-US" w:bidi="en-US"/>
      </w:rPr>
    </w:lvl>
    <w:lvl w:ilvl="6">
      <w:start w:val="0"/>
      <w:numFmt w:val="bullet"/>
      <w:lvlText w:val="•"/>
      <w:lvlJc w:val="left"/>
      <w:pPr>
        <w:ind w:left="1944" w:hanging="270"/>
      </w:pPr>
      <w:rPr>
        <w:rFonts w:hint="default"/>
        <w:lang w:val="en-US" w:eastAsia="en-US" w:bidi="en-US"/>
      </w:rPr>
    </w:lvl>
    <w:lvl w:ilvl="7">
      <w:start w:val="0"/>
      <w:numFmt w:val="bullet"/>
      <w:lvlText w:val="•"/>
      <w:lvlJc w:val="left"/>
      <w:pPr>
        <w:ind w:left="2178" w:hanging="270"/>
      </w:pPr>
      <w:rPr>
        <w:rFonts w:hint="default"/>
        <w:lang w:val="en-US" w:eastAsia="en-US" w:bidi="en-US"/>
      </w:rPr>
    </w:lvl>
    <w:lvl w:ilvl="8">
      <w:start w:val="0"/>
      <w:numFmt w:val="bullet"/>
      <w:lvlText w:val="•"/>
      <w:lvlJc w:val="left"/>
      <w:pPr>
        <w:ind w:left="2412" w:hanging="270"/>
      </w:pPr>
      <w:rPr>
        <w:rFonts w:hint="default"/>
        <w:lang w:val="en-US" w:eastAsia="en-US" w:bidi="en-US"/>
      </w:rPr>
    </w:lvl>
  </w:abstractNum>
  <w:abstractNum w:abstractNumId="3">
    <w:multiLevelType w:val="hybridMultilevel"/>
    <w:lvl w:ilvl="0">
      <w:start w:val="0"/>
      <w:numFmt w:val="bullet"/>
      <w:lvlText w:val="•"/>
      <w:lvlJc w:val="left"/>
      <w:pPr>
        <w:ind w:left="534" w:hanging="270"/>
      </w:pPr>
      <w:rPr>
        <w:rFonts w:hint="default" w:ascii="Arial" w:hAnsi="Arial" w:eastAsia="Arial" w:cs="Arial"/>
        <w:color w:val="2A3F4D"/>
        <w:w w:val="100"/>
        <w:sz w:val="20"/>
        <w:szCs w:val="20"/>
        <w:lang w:val="en-US" w:eastAsia="en-US" w:bidi="en-US"/>
      </w:rPr>
    </w:lvl>
    <w:lvl w:ilvl="1">
      <w:start w:val="0"/>
      <w:numFmt w:val="bullet"/>
      <w:lvlText w:val="•"/>
      <w:lvlJc w:val="left"/>
      <w:pPr>
        <w:ind w:left="774" w:hanging="270"/>
      </w:pPr>
      <w:rPr>
        <w:rFonts w:hint="default"/>
        <w:lang w:val="en-US" w:eastAsia="en-US" w:bidi="en-US"/>
      </w:rPr>
    </w:lvl>
    <w:lvl w:ilvl="2">
      <w:start w:val="0"/>
      <w:numFmt w:val="bullet"/>
      <w:lvlText w:val="•"/>
      <w:lvlJc w:val="left"/>
      <w:pPr>
        <w:ind w:left="1008" w:hanging="270"/>
      </w:pPr>
      <w:rPr>
        <w:rFonts w:hint="default"/>
        <w:lang w:val="en-US" w:eastAsia="en-US" w:bidi="en-US"/>
      </w:rPr>
    </w:lvl>
    <w:lvl w:ilvl="3">
      <w:start w:val="0"/>
      <w:numFmt w:val="bullet"/>
      <w:lvlText w:val="•"/>
      <w:lvlJc w:val="left"/>
      <w:pPr>
        <w:ind w:left="1242" w:hanging="270"/>
      </w:pPr>
      <w:rPr>
        <w:rFonts w:hint="default"/>
        <w:lang w:val="en-US" w:eastAsia="en-US" w:bidi="en-US"/>
      </w:rPr>
    </w:lvl>
    <w:lvl w:ilvl="4">
      <w:start w:val="0"/>
      <w:numFmt w:val="bullet"/>
      <w:lvlText w:val="•"/>
      <w:lvlJc w:val="left"/>
      <w:pPr>
        <w:ind w:left="1476" w:hanging="270"/>
      </w:pPr>
      <w:rPr>
        <w:rFonts w:hint="default"/>
        <w:lang w:val="en-US" w:eastAsia="en-US" w:bidi="en-US"/>
      </w:rPr>
    </w:lvl>
    <w:lvl w:ilvl="5">
      <w:start w:val="0"/>
      <w:numFmt w:val="bullet"/>
      <w:lvlText w:val="•"/>
      <w:lvlJc w:val="left"/>
      <w:pPr>
        <w:ind w:left="1710" w:hanging="270"/>
      </w:pPr>
      <w:rPr>
        <w:rFonts w:hint="default"/>
        <w:lang w:val="en-US" w:eastAsia="en-US" w:bidi="en-US"/>
      </w:rPr>
    </w:lvl>
    <w:lvl w:ilvl="6">
      <w:start w:val="0"/>
      <w:numFmt w:val="bullet"/>
      <w:lvlText w:val="•"/>
      <w:lvlJc w:val="left"/>
      <w:pPr>
        <w:ind w:left="1944" w:hanging="270"/>
      </w:pPr>
      <w:rPr>
        <w:rFonts w:hint="default"/>
        <w:lang w:val="en-US" w:eastAsia="en-US" w:bidi="en-US"/>
      </w:rPr>
    </w:lvl>
    <w:lvl w:ilvl="7">
      <w:start w:val="0"/>
      <w:numFmt w:val="bullet"/>
      <w:lvlText w:val="•"/>
      <w:lvlJc w:val="left"/>
      <w:pPr>
        <w:ind w:left="2178" w:hanging="270"/>
      </w:pPr>
      <w:rPr>
        <w:rFonts w:hint="default"/>
        <w:lang w:val="en-US" w:eastAsia="en-US" w:bidi="en-US"/>
      </w:rPr>
    </w:lvl>
    <w:lvl w:ilvl="8">
      <w:start w:val="0"/>
      <w:numFmt w:val="bullet"/>
      <w:lvlText w:val="•"/>
      <w:lvlJc w:val="left"/>
      <w:pPr>
        <w:ind w:left="2412" w:hanging="270"/>
      </w:pPr>
      <w:rPr>
        <w:rFonts w:hint="default"/>
        <w:lang w:val="en-US" w:eastAsia="en-US" w:bidi="en-US"/>
      </w:rPr>
    </w:lvl>
  </w:abstractNum>
  <w:abstractNum w:abstractNumId="2">
    <w:multiLevelType w:val="hybridMultilevel"/>
    <w:lvl w:ilvl="0">
      <w:start w:val="0"/>
      <w:numFmt w:val="bullet"/>
      <w:lvlText w:val="•"/>
      <w:lvlJc w:val="left"/>
      <w:pPr>
        <w:ind w:left="534" w:hanging="270"/>
      </w:pPr>
      <w:rPr>
        <w:rFonts w:hint="default" w:ascii="Arial" w:hAnsi="Arial" w:eastAsia="Arial" w:cs="Arial"/>
        <w:color w:val="2A3F4D"/>
        <w:w w:val="100"/>
        <w:sz w:val="20"/>
        <w:szCs w:val="20"/>
        <w:lang w:val="en-US" w:eastAsia="en-US" w:bidi="en-US"/>
      </w:rPr>
    </w:lvl>
    <w:lvl w:ilvl="1">
      <w:start w:val="0"/>
      <w:numFmt w:val="bullet"/>
      <w:lvlText w:val="•"/>
      <w:lvlJc w:val="left"/>
      <w:pPr>
        <w:ind w:left="774" w:hanging="270"/>
      </w:pPr>
      <w:rPr>
        <w:rFonts w:hint="default"/>
        <w:lang w:val="en-US" w:eastAsia="en-US" w:bidi="en-US"/>
      </w:rPr>
    </w:lvl>
    <w:lvl w:ilvl="2">
      <w:start w:val="0"/>
      <w:numFmt w:val="bullet"/>
      <w:lvlText w:val="•"/>
      <w:lvlJc w:val="left"/>
      <w:pPr>
        <w:ind w:left="1008" w:hanging="270"/>
      </w:pPr>
      <w:rPr>
        <w:rFonts w:hint="default"/>
        <w:lang w:val="en-US" w:eastAsia="en-US" w:bidi="en-US"/>
      </w:rPr>
    </w:lvl>
    <w:lvl w:ilvl="3">
      <w:start w:val="0"/>
      <w:numFmt w:val="bullet"/>
      <w:lvlText w:val="•"/>
      <w:lvlJc w:val="left"/>
      <w:pPr>
        <w:ind w:left="1242" w:hanging="270"/>
      </w:pPr>
      <w:rPr>
        <w:rFonts w:hint="default"/>
        <w:lang w:val="en-US" w:eastAsia="en-US" w:bidi="en-US"/>
      </w:rPr>
    </w:lvl>
    <w:lvl w:ilvl="4">
      <w:start w:val="0"/>
      <w:numFmt w:val="bullet"/>
      <w:lvlText w:val="•"/>
      <w:lvlJc w:val="left"/>
      <w:pPr>
        <w:ind w:left="1476" w:hanging="270"/>
      </w:pPr>
      <w:rPr>
        <w:rFonts w:hint="default"/>
        <w:lang w:val="en-US" w:eastAsia="en-US" w:bidi="en-US"/>
      </w:rPr>
    </w:lvl>
    <w:lvl w:ilvl="5">
      <w:start w:val="0"/>
      <w:numFmt w:val="bullet"/>
      <w:lvlText w:val="•"/>
      <w:lvlJc w:val="left"/>
      <w:pPr>
        <w:ind w:left="1710" w:hanging="270"/>
      </w:pPr>
      <w:rPr>
        <w:rFonts w:hint="default"/>
        <w:lang w:val="en-US" w:eastAsia="en-US" w:bidi="en-US"/>
      </w:rPr>
    </w:lvl>
    <w:lvl w:ilvl="6">
      <w:start w:val="0"/>
      <w:numFmt w:val="bullet"/>
      <w:lvlText w:val="•"/>
      <w:lvlJc w:val="left"/>
      <w:pPr>
        <w:ind w:left="1944" w:hanging="270"/>
      </w:pPr>
      <w:rPr>
        <w:rFonts w:hint="default"/>
        <w:lang w:val="en-US" w:eastAsia="en-US" w:bidi="en-US"/>
      </w:rPr>
    </w:lvl>
    <w:lvl w:ilvl="7">
      <w:start w:val="0"/>
      <w:numFmt w:val="bullet"/>
      <w:lvlText w:val="•"/>
      <w:lvlJc w:val="left"/>
      <w:pPr>
        <w:ind w:left="2178" w:hanging="270"/>
      </w:pPr>
      <w:rPr>
        <w:rFonts w:hint="default"/>
        <w:lang w:val="en-US" w:eastAsia="en-US" w:bidi="en-US"/>
      </w:rPr>
    </w:lvl>
    <w:lvl w:ilvl="8">
      <w:start w:val="0"/>
      <w:numFmt w:val="bullet"/>
      <w:lvlText w:val="•"/>
      <w:lvlJc w:val="left"/>
      <w:pPr>
        <w:ind w:left="2412" w:hanging="270"/>
      </w:pPr>
      <w:rPr>
        <w:rFonts w:hint="default"/>
        <w:lang w:val="en-US" w:eastAsia="en-US" w:bidi="en-US"/>
      </w:rPr>
    </w:lvl>
  </w:abstractNum>
  <w:abstractNum w:abstractNumId="1">
    <w:multiLevelType w:val="hybridMultilevel"/>
    <w:lvl w:ilvl="0">
      <w:start w:val="0"/>
      <w:numFmt w:val="bullet"/>
      <w:lvlText w:val="•"/>
      <w:lvlJc w:val="left"/>
      <w:pPr>
        <w:ind w:left="534" w:hanging="270"/>
      </w:pPr>
      <w:rPr>
        <w:rFonts w:hint="default" w:ascii="Arial" w:hAnsi="Arial" w:eastAsia="Arial" w:cs="Arial"/>
        <w:color w:val="2A3F4D"/>
        <w:w w:val="100"/>
        <w:sz w:val="20"/>
        <w:szCs w:val="20"/>
        <w:lang w:val="en-US" w:eastAsia="en-US" w:bidi="en-US"/>
      </w:rPr>
    </w:lvl>
    <w:lvl w:ilvl="1">
      <w:start w:val="0"/>
      <w:numFmt w:val="bullet"/>
      <w:lvlText w:val="•"/>
      <w:lvlJc w:val="left"/>
      <w:pPr>
        <w:ind w:left="774" w:hanging="270"/>
      </w:pPr>
      <w:rPr>
        <w:rFonts w:hint="default"/>
        <w:lang w:val="en-US" w:eastAsia="en-US" w:bidi="en-US"/>
      </w:rPr>
    </w:lvl>
    <w:lvl w:ilvl="2">
      <w:start w:val="0"/>
      <w:numFmt w:val="bullet"/>
      <w:lvlText w:val="•"/>
      <w:lvlJc w:val="left"/>
      <w:pPr>
        <w:ind w:left="1008" w:hanging="270"/>
      </w:pPr>
      <w:rPr>
        <w:rFonts w:hint="default"/>
        <w:lang w:val="en-US" w:eastAsia="en-US" w:bidi="en-US"/>
      </w:rPr>
    </w:lvl>
    <w:lvl w:ilvl="3">
      <w:start w:val="0"/>
      <w:numFmt w:val="bullet"/>
      <w:lvlText w:val="•"/>
      <w:lvlJc w:val="left"/>
      <w:pPr>
        <w:ind w:left="1242" w:hanging="270"/>
      </w:pPr>
      <w:rPr>
        <w:rFonts w:hint="default"/>
        <w:lang w:val="en-US" w:eastAsia="en-US" w:bidi="en-US"/>
      </w:rPr>
    </w:lvl>
    <w:lvl w:ilvl="4">
      <w:start w:val="0"/>
      <w:numFmt w:val="bullet"/>
      <w:lvlText w:val="•"/>
      <w:lvlJc w:val="left"/>
      <w:pPr>
        <w:ind w:left="1476" w:hanging="270"/>
      </w:pPr>
      <w:rPr>
        <w:rFonts w:hint="default"/>
        <w:lang w:val="en-US" w:eastAsia="en-US" w:bidi="en-US"/>
      </w:rPr>
    </w:lvl>
    <w:lvl w:ilvl="5">
      <w:start w:val="0"/>
      <w:numFmt w:val="bullet"/>
      <w:lvlText w:val="•"/>
      <w:lvlJc w:val="left"/>
      <w:pPr>
        <w:ind w:left="1710" w:hanging="270"/>
      </w:pPr>
      <w:rPr>
        <w:rFonts w:hint="default"/>
        <w:lang w:val="en-US" w:eastAsia="en-US" w:bidi="en-US"/>
      </w:rPr>
    </w:lvl>
    <w:lvl w:ilvl="6">
      <w:start w:val="0"/>
      <w:numFmt w:val="bullet"/>
      <w:lvlText w:val="•"/>
      <w:lvlJc w:val="left"/>
      <w:pPr>
        <w:ind w:left="1944" w:hanging="270"/>
      </w:pPr>
      <w:rPr>
        <w:rFonts w:hint="default"/>
        <w:lang w:val="en-US" w:eastAsia="en-US" w:bidi="en-US"/>
      </w:rPr>
    </w:lvl>
    <w:lvl w:ilvl="7">
      <w:start w:val="0"/>
      <w:numFmt w:val="bullet"/>
      <w:lvlText w:val="•"/>
      <w:lvlJc w:val="left"/>
      <w:pPr>
        <w:ind w:left="2178" w:hanging="270"/>
      </w:pPr>
      <w:rPr>
        <w:rFonts w:hint="default"/>
        <w:lang w:val="en-US" w:eastAsia="en-US" w:bidi="en-US"/>
      </w:rPr>
    </w:lvl>
    <w:lvl w:ilvl="8">
      <w:start w:val="0"/>
      <w:numFmt w:val="bullet"/>
      <w:lvlText w:val="•"/>
      <w:lvlJc w:val="left"/>
      <w:pPr>
        <w:ind w:left="2412" w:hanging="270"/>
      </w:pPr>
      <w:rPr>
        <w:rFonts w:hint="default"/>
        <w:lang w:val="en-US" w:eastAsia="en-US" w:bidi="en-US"/>
      </w:rPr>
    </w:lvl>
  </w:abstractNum>
  <w:abstractNum w:abstractNumId="0">
    <w:multiLevelType w:val="hybridMultilevel"/>
    <w:lvl w:ilvl="0">
      <w:start w:val="0"/>
      <w:numFmt w:val="bullet"/>
      <w:lvlText w:val=""/>
      <w:lvlJc w:val="left"/>
      <w:pPr>
        <w:ind w:left="539" w:hanging="176"/>
      </w:pPr>
      <w:rPr>
        <w:rFonts w:hint="default" w:ascii="Wingdings" w:hAnsi="Wingdings" w:eastAsia="Wingdings" w:cs="Wingdings"/>
        <w:color w:val="2A3F4D"/>
        <w:w w:val="99"/>
        <w:sz w:val="22"/>
        <w:szCs w:val="22"/>
        <w:lang w:val="en-US" w:eastAsia="en-US" w:bidi="en-US"/>
      </w:rPr>
    </w:lvl>
    <w:lvl w:ilvl="1">
      <w:start w:val="0"/>
      <w:numFmt w:val="bullet"/>
      <w:lvlText w:val="•"/>
      <w:lvlJc w:val="left"/>
      <w:pPr>
        <w:ind w:left="1518" w:hanging="176"/>
      </w:pPr>
      <w:rPr>
        <w:rFonts w:hint="default"/>
        <w:lang w:val="en-US" w:eastAsia="en-US" w:bidi="en-US"/>
      </w:rPr>
    </w:lvl>
    <w:lvl w:ilvl="2">
      <w:start w:val="0"/>
      <w:numFmt w:val="bullet"/>
      <w:lvlText w:val="•"/>
      <w:lvlJc w:val="left"/>
      <w:pPr>
        <w:ind w:left="2496" w:hanging="176"/>
      </w:pPr>
      <w:rPr>
        <w:rFonts w:hint="default"/>
        <w:lang w:val="en-US" w:eastAsia="en-US" w:bidi="en-US"/>
      </w:rPr>
    </w:lvl>
    <w:lvl w:ilvl="3">
      <w:start w:val="0"/>
      <w:numFmt w:val="bullet"/>
      <w:lvlText w:val="•"/>
      <w:lvlJc w:val="left"/>
      <w:pPr>
        <w:ind w:left="3474" w:hanging="176"/>
      </w:pPr>
      <w:rPr>
        <w:rFonts w:hint="default"/>
        <w:lang w:val="en-US" w:eastAsia="en-US" w:bidi="en-US"/>
      </w:rPr>
    </w:lvl>
    <w:lvl w:ilvl="4">
      <w:start w:val="0"/>
      <w:numFmt w:val="bullet"/>
      <w:lvlText w:val="•"/>
      <w:lvlJc w:val="left"/>
      <w:pPr>
        <w:ind w:left="4452" w:hanging="176"/>
      </w:pPr>
      <w:rPr>
        <w:rFonts w:hint="default"/>
        <w:lang w:val="en-US" w:eastAsia="en-US" w:bidi="en-US"/>
      </w:rPr>
    </w:lvl>
    <w:lvl w:ilvl="5">
      <w:start w:val="0"/>
      <w:numFmt w:val="bullet"/>
      <w:lvlText w:val="•"/>
      <w:lvlJc w:val="left"/>
      <w:pPr>
        <w:ind w:left="5430" w:hanging="176"/>
      </w:pPr>
      <w:rPr>
        <w:rFonts w:hint="default"/>
        <w:lang w:val="en-US" w:eastAsia="en-US" w:bidi="en-US"/>
      </w:rPr>
    </w:lvl>
    <w:lvl w:ilvl="6">
      <w:start w:val="0"/>
      <w:numFmt w:val="bullet"/>
      <w:lvlText w:val="•"/>
      <w:lvlJc w:val="left"/>
      <w:pPr>
        <w:ind w:left="6408" w:hanging="176"/>
      </w:pPr>
      <w:rPr>
        <w:rFonts w:hint="default"/>
        <w:lang w:val="en-US" w:eastAsia="en-US" w:bidi="en-US"/>
      </w:rPr>
    </w:lvl>
    <w:lvl w:ilvl="7">
      <w:start w:val="0"/>
      <w:numFmt w:val="bullet"/>
      <w:lvlText w:val="•"/>
      <w:lvlJc w:val="left"/>
      <w:pPr>
        <w:ind w:left="7386" w:hanging="176"/>
      </w:pPr>
      <w:rPr>
        <w:rFonts w:hint="default"/>
        <w:lang w:val="en-US" w:eastAsia="en-US" w:bidi="en-US"/>
      </w:rPr>
    </w:lvl>
    <w:lvl w:ilvl="8">
      <w:start w:val="0"/>
      <w:numFmt w:val="bullet"/>
      <w:lvlText w:val="•"/>
      <w:lvlJc w:val="left"/>
      <w:pPr>
        <w:ind w:left="8364" w:hanging="176"/>
      </w:pPr>
      <w:rPr>
        <w:rFonts w:hint="default"/>
        <w:lang w:val="en-US" w:eastAsia="en-US" w:bidi="en-US"/>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en-US"/>
    </w:rPr>
  </w:style>
  <w:style w:styleId="BodyText" w:type="paragraph">
    <w:name w:val="Body Text"/>
    <w:basedOn w:val="Normal"/>
    <w:uiPriority w:val="1"/>
    <w:qFormat/>
    <w:pPr/>
    <w:rPr>
      <w:rFonts w:ascii="Calibri" w:hAnsi="Calibri" w:eastAsia="Calibri" w:cs="Calibri"/>
      <w:sz w:val="21"/>
      <w:szCs w:val="21"/>
      <w:lang w:val="en-US" w:eastAsia="en-US" w:bidi="en-US"/>
    </w:rPr>
  </w:style>
  <w:style w:styleId="Heading1" w:type="paragraph">
    <w:name w:val="Heading 1"/>
    <w:basedOn w:val="Normal"/>
    <w:uiPriority w:val="1"/>
    <w:qFormat/>
    <w:pPr>
      <w:spacing w:before="121"/>
      <w:ind w:left="3364"/>
      <w:outlineLvl w:val="1"/>
    </w:pPr>
    <w:rPr>
      <w:rFonts w:ascii="Calibri" w:hAnsi="Calibri" w:eastAsia="Calibri" w:cs="Calibri"/>
      <w:sz w:val="32"/>
      <w:szCs w:val="32"/>
      <w:lang w:val="en-US" w:eastAsia="en-US" w:bidi="en-US"/>
    </w:rPr>
  </w:style>
  <w:style w:styleId="Heading2" w:type="paragraph">
    <w:name w:val="Heading 2"/>
    <w:basedOn w:val="Normal"/>
    <w:uiPriority w:val="1"/>
    <w:qFormat/>
    <w:pPr>
      <w:ind w:left="20"/>
      <w:outlineLvl w:val="2"/>
    </w:pPr>
    <w:rPr>
      <w:rFonts w:ascii="Calibri" w:hAnsi="Calibri" w:eastAsia="Calibri" w:cs="Calibri"/>
      <w:sz w:val="24"/>
      <w:szCs w:val="24"/>
      <w:lang w:val="en-US" w:eastAsia="en-US" w:bidi="en-US"/>
    </w:rPr>
  </w:style>
  <w:style w:styleId="ListParagraph" w:type="paragraph">
    <w:name w:val="List Paragraph"/>
    <w:basedOn w:val="Normal"/>
    <w:uiPriority w:val="1"/>
    <w:qFormat/>
    <w:pPr>
      <w:ind w:left="539" w:hanging="176"/>
    </w:pPr>
    <w:rPr>
      <w:rFonts w:ascii="Calibri" w:hAnsi="Calibri" w:eastAsia="Calibri" w:cs="Calibri"/>
      <w:lang w:val="en-US" w:eastAsia="en-US" w:bidi="en-US"/>
    </w:rPr>
  </w:style>
  <w:style w:styleId="TableParagraph" w:type="paragraph">
    <w:name w:val="Table Paragraph"/>
    <w:basedOn w:val="Normal"/>
    <w:uiPriority w:val="1"/>
    <w:qFormat/>
    <w:pPr/>
    <w:rPr>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header" Target="header1.xml"/><Relationship Id="rId8" Type="http://schemas.openxmlformats.org/officeDocument/2006/relationships/footer" Target="footer2.xm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eader" Target="header2.xml"/><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header" Target="header3.xml"/><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image" Target="media/image8.png"/><Relationship Id="rId20" Type="http://schemas.openxmlformats.org/officeDocument/2006/relationships/header" Target="header5.xml"/><Relationship Id="rId21" Type="http://schemas.openxmlformats.org/officeDocument/2006/relationships/footer" Target="footer4.xml"/><Relationship Id="rId22" Type="http://schemas.openxmlformats.org/officeDocument/2006/relationships/image" Target="media/image9.jpeg"/><Relationship Id="rId2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renee.zoole</dc:creator>
  <dc:title>Microsoft PowerPoint - 2019 Schwab Market Outlook_PPT_1218-8RZ0_final</dc:title>
  <dcterms:created xsi:type="dcterms:W3CDTF">2019-01-12T16:23:13Z</dcterms:created>
  <dcterms:modified xsi:type="dcterms:W3CDTF">2019-01-12T16:23:13Z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2018-12-06T00:00:00Z</vt:filetime>
  </property>
  <property fmtid="{D5CDD505-2E9C-101B-9397-08002B2CF9AE}" pid="3" name="Creator">
    <vt:lpwstr>PScript5.dll Version 5.2.2</vt:lpwstr>
  </property>
  <property fmtid="{D5CDD505-2E9C-101B-9397-08002B2CF9AE}" pid="4" name="LastSaved">
    <vt:filetime>2019-01-12T00:00:00Z</vt:filetime>
  </property>
</Properties>
</file>