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jc w:val="center"/>
      </w:pPr>
      <w:r>
        <w:rPr>
          <w:rFonts w:ascii="Arial" w:cs="Arial" w:eastAsia="Arial" w:hAnsi="Arial"/>
          <w:b/>
          <w:bCs/>
          <w:color w:val="0D6E8A"/>
          <w:sz w:val="72"/>
          <w:szCs w:val="72"/>
        </w:rPr>
        <w:t xml:space="preserve">LOS Bureau Rules Engine</w:t>
      </w:r>
    </w:p>
    <w:p>
      <w:pPr>
        <w:spacing w:before="0" w:after="80"/>
        <w:jc w:val="center"/>
      </w:pPr>
      <w:r>
        <w:rPr>
          <w:rFonts w:ascii="Arial" w:cs="Arial" w:eastAsia="Arial" w:hAnsi="Arial"/>
          <w:color w:val="1A2332"/>
          <w:sz w:val="40"/>
          <w:szCs w:val="40"/>
        </w:rPr>
        <w:t xml:space="preserve">SaaS Architecture Review</w:t>
      </w:r>
    </w:p>
    <w:p>
      <w:pPr>
        <w:spacing w:before="0" w:after="600"/>
        <w:jc w:val="center"/>
      </w:pPr>
      <w:r>
        <w:rPr>
          <w:rFonts w:ascii="Arial" w:cs="Arial" w:eastAsia="Arial" w:hAnsi="Arial"/>
          <w:color w:val="888888"/>
          <w:sz w:val="22"/>
          <w:szCs w:val="22"/>
        </w:rPr>
        <w:t xml:space="preserve">For deployment to Banks &amp; NBFCs  ·  February 2026</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115"/>
        <w:gridCol w:w="2115"/>
        <w:gridCol w:w="2115"/>
        <w:gridCol w:w="2115"/>
      </w:tblGrid>
      <w:tr>
        <w:tc>
          <w:tcPr>
            <w:tcW w:type="dxa" w:w="2115"/>
            <w:tcBorders>
              <w:top w:val="single" w:color="CCCCCC" w:sz="1"/>
              <w:left w:val="single" w:color="CCCCCC" w:sz="1"/>
              <w:bottom w:val="single" w:color="CCCCCC" w:sz="1"/>
              <w:right w:val="single" w:color="CCCCCC" w:sz="1"/>
            </w:tcBorders>
            <w:shd w:fill="C0392B" w:val="clear"/>
            <w:tcMar>
              <w:top w:type="dxa" w:w="180"/>
              <w:left w:type="dxa" w:w="180"/>
              <w:bottom w:type="dxa" w:w="180"/>
              <w:right w:type="dxa" w:w="180"/>
            </w:tcMar>
          </w:tcPr>
          <w:p>
            <w:pPr>
              <w:jc w:val="center"/>
            </w:pPr>
            <w:r>
              <w:rPr>
                <w:rFonts w:ascii="Arial" w:cs="Arial" w:eastAsia="Arial" w:hAnsi="Arial"/>
                <w:b/>
                <w:bCs/>
                <w:color w:val="FFFFFF"/>
                <w:sz w:val="64"/>
                <w:szCs w:val="64"/>
              </w:rPr>
              <w:t xml:space="preserve">6</w:t>
            </w:r>
          </w:p>
          <w:p>
            <w:pPr>
              <w:jc w:val="center"/>
            </w:pPr>
            <w:r>
              <w:rPr>
                <w:rFonts w:ascii="Arial" w:cs="Arial" w:eastAsia="Arial" w:hAnsi="Arial"/>
                <w:b/>
                <w:bCs/>
                <w:color w:val="FFFFFF"/>
                <w:sz w:val="20"/>
                <w:szCs w:val="20"/>
              </w:rPr>
              <w:t xml:space="preserve">Critical Issues</w:t>
            </w:r>
          </w:p>
          <w:p>
            <w:pPr>
              <w:jc w:val="center"/>
            </w:pPr>
            <w:r>
              <w:rPr>
                <w:rFonts w:ascii="Arial" w:cs="Arial" w:eastAsia="Arial" w:hAnsi="Arial"/>
                <w:color w:val="DDDDDD"/>
                <w:sz w:val="16"/>
                <w:szCs w:val="16"/>
              </w:rPr>
              <w:t xml:space="preserve">Must fix before any bank</w:t>
            </w:r>
          </w:p>
        </w:tc>
        <w:tc>
          <w:tcPr>
            <w:tcW w:type="dxa" w:w="2115"/>
            <w:tcBorders>
              <w:top w:val="single" w:color="CCCCCC" w:sz="1"/>
              <w:left w:val="single" w:color="CCCCCC" w:sz="1"/>
              <w:bottom w:val="single" w:color="CCCCCC" w:sz="1"/>
              <w:right w:val="single" w:color="CCCCCC" w:sz="1"/>
            </w:tcBorders>
            <w:shd w:fill="D97706" w:val="clear"/>
            <w:tcMar>
              <w:top w:type="dxa" w:w="180"/>
              <w:left w:type="dxa" w:w="180"/>
              <w:bottom w:type="dxa" w:w="180"/>
              <w:right w:type="dxa" w:w="180"/>
            </w:tcMar>
          </w:tcPr>
          <w:p>
            <w:pPr>
              <w:jc w:val="center"/>
            </w:pPr>
            <w:r>
              <w:rPr>
                <w:rFonts w:ascii="Arial" w:cs="Arial" w:eastAsia="Arial" w:hAnsi="Arial"/>
                <w:b/>
                <w:bCs/>
                <w:color w:val="FFFFFF"/>
                <w:sz w:val="64"/>
                <w:szCs w:val="64"/>
              </w:rPr>
              <w:t xml:space="preserve">6</w:t>
            </w:r>
          </w:p>
          <w:p>
            <w:pPr>
              <w:jc w:val="center"/>
            </w:pPr>
            <w:r>
              <w:rPr>
                <w:rFonts w:ascii="Arial" w:cs="Arial" w:eastAsia="Arial" w:hAnsi="Arial"/>
                <w:b/>
                <w:bCs/>
                <w:color w:val="FFFFFF"/>
                <w:sz w:val="20"/>
                <w:szCs w:val="20"/>
              </w:rPr>
              <w:t xml:space="preserve">High Issues</w:t>
            </w:r>
          </w:p>
          <w:p>
            <w:pPr>
              <w:jc w:val="center"/>
            </w:pPr>
            <w:r>
              <w:rPr>
                <w:rFonts w:ascii="Arial" w:cs="Arial" w:eastAsia="Arial" w:hAnsi="Arial"/>
                <w:color w:val="DDDDDD"/>
                <w:sz w:val="16"/>
                <w:szCs w:val="16"/>
              </w:rPr>
              <w:t xml:space="preserve">Fix before public launch</w:t>
            </w:r>
          </w:p>
        </w:tc>
        <w:tc>
          <w:tcPr>
            <w:tcW w:type="dxa" w:w="2115"/>
            <w:tcBorders>
              <w:top w:val="single" w:color="CCCCCC" w:sz="1"/>
              <w:left w:val="single" w:color="CCCCCC" w:sz="1"/>
              <w:bottom w:val="single" w:color="CCCCCC" w:sz="1"/>
              <w:right w:val="single" w:color="CCCCCC" w:sz="1"/>
            </w:tcBorders>
            <w:shd w:fill="1A4FA0" w:val="clear"/>
            <w:tcMar>
              <w:top w:type="dxa" w:w="180"/>
              <w:left w:type="dxa" w:w="180"/>
              <w:bottom w:type="dxa" w:w="180"/>
              <w:right w:type="dxa" w:w="180"/>
            </w:tcMar>
          </w:tcPr>
          <w:p>
            <w:pPr>
              <w:jc w:val="center"/>
            </w:pPr>
            <w:r>
              <w:rPr>
                <w:rFonts w:ascii="Arial" w:cs="Arial" w:eastAsia="Arial" w:hAnsi="Arial"/>
                <w:b/>
                <w:bCs/>
                <w:color w:val="FFFFFF"/>
                <w:sz w:val="64"/>
                <w:szCs w:val="64"/>
              </w:rPr>
              <w:t xml:space="preserve">6</w:t>
            </w:r>
          </w:p>
          <w:p>
            <w:pPr>
              <w:jc w:val="center"/>
            </w:pPr>
            <w:r>
              <w:rPr>
                <w:rFonts w:ascii="Arial" w:cs="Arial" w:eastAsia="Arial" w:hAnsi="Arial"/>
                <w:b/>
                <w:bCs/>
                <w:color w:val="FFFFFF"/>
                <w:sz w:val="20"/>
                <w:szCs w:val="20"/>
              </w:rPr>
              <w:t xml:space="preserve">Medium Issues</w:t>
            </w:r>
          </w:p>
          <w:p>
            <w:pPr>
              <w:jc w:val="center"/>
            </w:pPr>
            <w:r>
              <w:rPr>
                <w:rFonts w:ascii="Arial" w:cs="Arial" w:eastAsia="Arial" w:hAnsi="Arial"/>
                <w:color w:val="DDDDDD"/>
                <w:sz w:val="16"/>
                <w:szCs w:val="16"/>
              </w:rPr>
              <w:t xml:space="preserve">Fix in Phase 3</w:t>
            </w:r>
          </w:p>
        </w:tc>
        <w:tc>
          <w:tcPr>
            <w:tcW w:type="dxa" w:w="2115"/>
            <w:tcBorders>
              <w:top w:val="single" w:color="CCCCCC" w:sz="1"/>
              <w:left w:val="single" w:color="CCCCCC" w:sz="1"/>
              <w:bottom w:val="single" w:color="CCCCCC" w:sz="1"/>
              <w:right w:val="single" w:color="CCCCCC" w:sz="1"/>
            </w:tcBorders>
            <w:shd w:fill="1A7A4A" w:val="clear"/>
            <w:tcMar>
              <w:top w:type="dxa" w:w="180"/>
              <w:left w:type="dxa" w:w="180"/>
              <w:bottom w:type="dxa" w:w="180"/>
              <w:right w:type="dxa" w:w="180"/>
            </w:tcMar>
          </w:tcPr>
          <w:p>
            <w:pPr>
              <w:jc w:val="center"/>
            </w:pPr>
            <w:r>
              <w:rPr>
                <w:rFonts w:ascii="Arial" w:cs="Arial" w:eastAsia="Arial" w:hAnsi="Arial"/>
                <w:b/>
                <w:bCs/>
                <w:color w:val="FFFFFF"/>
                <w:sz w:val="64"/>
                <w:szCs w:val="64"/>
              </w:rPr>
              <w:t xml:space="preserve">8</w:t>
            </w:r>
          </w:p>
          <w:p>
            <w:pPr>
              <w:jc w:val="center"/>
            </w:pPr>
            <w:r>
              <w:rPr>
                <w:rFonts w:ascii="Arial" w:cs="Arial" w:eastAsia="Arial" w:hAnsi="Arial"/>
                <w:b/>
                <w:bCs/>
                <w:color w:val="FFFFFF"/>
                <w:sz w:val="20"/>
                <w:szCs w:val="20"/>
              </w:rPr>
              <w:t xml:space="preserve">Strengths</w:t>
            </w:r>
          </w:p>
          <w:p>
            <w:pPr>
              <w:jc w:val="center"/>
            </w:pPr>
            <w:r>
              <w:rPr>
                <w:rFonts w:ascii="Arial" w:cs="Arial" w:eastAsia="Arial" w:hAnsi="Arial"/>
                <w:color w:val="DDDDDD"/>
                <w:sz w:val="16"/>
                <w:szCs w:val="16"/>
              </w:rPr>
              <w:t xml:space="preserve">Solid architectural decisions</w:t>
            </w:r>
          </w:p>
        </w:tc>
      </w:tr>
    </w:tbl>
    <w:p>
      <w:pPr>
        <w:spacing w:before="200" w:after="0"/>
        <w:jc w:val="center"/>
      </w:pPr>
      <w:r>
        <w:rPr>
          <w:rFonts w:ascii="Arial" w:cs="Arial" w:eastAsia="Arial" w:hAnsi="Arial"/>
          <w:b/>
          <w:bCs/>
          <w:color w:val="C0392B"/>
          <w:sz w:val="18"/>
          <w:szCs w:val="18"/>
        </w:rPr>
        <w:t xml:space="preserve">⚠️  Current state: Proof-of-concept. Not production-ready for bank exposure without Phase 1 &amp; 2 remediation.</w:t>
      </w:r>
    </w:p>
    <w:p>
      <w:r>
        <w:br w:type="page"/>
      </w:r>
    </w:p>
    <w:p>
      <w:pPr>
        <w:pStyle w:val="Heading1"/>
        <w:pBdr>
          <w:bottom w:val="single" w:color="0D6E8A" w:sz="8" w:space="4"/>
        </w:pBdr>
        <w:spacing w:before="400" w:after="200"/>
      </w:pPr>
      <w:r>
        <w:rPr>
          <w:rFonts w:ascii="Arial" w:cs="Arial" w:eastAsia="Arial" w:hAnsi="Arial"/>
          <w:b/>
          <w:bCs/>
          <w:color w:val="1A2332"/>
          <w:sz w:val="38"/>
          <w:szCs w:val="38"/>
        </w:rPr>
        <w:t xml:space="preserve">1. Executive Summary</w:t>
      </w:r>
    </w:p>
    <w:p>
      <w:pPr>
        <w:spacing w:before="80" w:after="80"/>
      </w:pPr>
      <w:r>
        <w:rPr>
          <w:rFonts w:ascii="Arial" w:cs="Arial" w:eastAsia="Arial" w:hAnsi="Arial"/>
          <w:b w:val="false"/>
          <w:bCs w:val="false"/>
          <w:color w:val="1A2332"/>
          <w:sz w:val="20"/>
          <w:szCs w:val="20"/>
        </w:rPr>
        <w:t xml:space="preserve">The LOS Bureau Rules Engine is a well-conceived product with a strong core computation model — the 4-layer pipeline, parse-once repayment history, and per-company rule configuration are sound architectural decisions that can scale effectively.</w:t>
      </w:r>
    </w:p>
    <w:p>
      <w:pPr>
        <w:spacing w:before="80" w:after="80"/>
      </w:pPr>
      <w:r>
        <w:rPr>
          <w:rFonts w:ascii="Arial" w:cs="Arial" w:eastAsia="Arial" w:hAnsi="Arial"/>
          <w:b w:val="false"/>
          <w:bCs w:val="false"/>
          <w:color w:val="1A2332"/>
          <w:sz w:val="20"/>
          <w:szCs w:val="20"/>
        </w:rPr>
        <w:t xml:space="preserve">However, in its current state it is a proof-of-concept, not a SaaS product. Exposing it to banks and NBFCs today would create severe security vulnerabilities, regulatory non-compliance risks, and reliability failures under any meaningful load. The issues fall into two categories:</w:t>
      </w:r>
    </w:p>
    <w:p>
      <w:pPr>
        <w:spacing w:before="60" w:after="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8460"/>
      </w:tblGrid>
      <w:tr>
        <w:tc>
          <w:tcPr>
            <w:tcW w:type="dxa" w:w="8460"/>
            <w:tcBorders>
              <w:top w:val="single" w:color="CCCCCC" w:sz="1"/>
              <w:left w:val="single" w:color="C0392B" w:sz="12"/>
              <w:bottom w:val="single" w:color="CCCCCC" w:sz="1"/>
              <w:right w:val="single" w:color="CCCCCC" w:sz="1"/>
            </w:tcBorders>
            <w:shd w:fill="FDECEA" w:val="clear"/>
            <w:tcMar>
              <w:top w:type="dxa" w:w="120"/>
              <w:left w:type="dxa" w:w="200"/>
              <w:bottom w:type="dxa" w:w="120"/>
              <w:right w:type="dxa" w:w="200"/>
            </w:tcMar>
          </w:tcPr>
          <w:p>
            <w:pPr>
              <w:spacing w:before="0" w:after="60"/>
            </w:pPr>
            <w:r>
              <w:rPr>
                <w:rFonts w:ascii="Arial" w:cs="Arial" w:eastAsia="Arial" w:hAnsi="Arial"/>
                <w:b/>
                <w:bCs/>
                <w:color w:val="C0392B"/>
                <w:sz w:val="18"/>
                <w:szCs w:val="18"/>
              </w:rPr>
              <w:t xml:space="preserve">🚨  CRITICAL ISSUE</w:t>
            </w:r>
          </w:p>
          <w:p>
            <w:pPr>
              <w:spacing w:before="20" w:after="20"/>
            </w:pPr>
            <w:r>
              <w:rPr>
                <w:rFonts w:ascii="Arial" w:cs="Arial" w:eastAsia="Arial" w:hAnsi="Arial"/>
                <w:color w:val="1A2332"/>
                <w:sz w:val="18"/>
                <w:szCs w:val="18"/>
              </w:rPr>
              <w:t xml:space="preserve">STOP-SHIP blockers: flat-file storage with no concurrency control, zero authentication, no tenant isolation,</w:t>
            </w:r>
          </w:p>
          <w:p>
            <w:pPr>
              <w:spacing w:before="20" w:after="20"/>
            </w:pPr>
            <w:r>
              <w:rPr>
                <w:rFonts w:ascii="Arial" w:cs="Arial" w:eastAsia="Arial" w:hAnsi="Arial"/>
                <w:color w:val="1A2332"/>
                <w:sz w:val="18"/>
                <w:szCs w:val="18"/>
              </w:rPr>
              <w:t xml:space="preserve">no encryption, no audit trail, and config reloaded from disk on every API request. These must be resolved</w:t>
            </w:r>
          </w:p>
          <w:p>
            <w:pPr>
              <w:spacing w:before="20" w:after="20"/>
            </w:pPr>
            <w:r>
              <w:rPr>
                <w:rFonts w:ascii="Arial" w:cs="Arial" w:eastAsia="Arial" w:hAnsi="Arial"/>
                <w:color w:val="1A2332"/>
                <w:sz w:val="18"/>
                <w:szCs w:val="18"/>
              </w:rPr>
              <w:t xml:space="preserve">before any bank receives API credentials.</w:t>
            </w:r>
          </w:p>
        </w:tc>
      </w:tr>
    </w:tbl>
    <w:p>
      <w:pPr>
        <w:spacing w:before="80" w:after="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8460"/>
      </w:tblGrid>
      <w:tr>
        <w:tc>
          <w:tcPr>
            <w:tcW w:type="dxa" w:w="8460"/>
            <w:tcBorders>
              <w:top w:val="single" w:color="CCCCCC" w:sz="1"/>
              <w:left w:val="single" w:color="1A7A4A" w:sz="12"/>
              <w:bottom w:val="single" w:color="CCCCCC" w:sz="1"/>
              <w:right w:val="single" w:color="CCCCCC" w:sz="1"/>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18"/>
                <w:szCs w:val="18"/>
              </w:rPr>
              <w:t xml:space="preserve">✅  STRENGTH</w:t>
            </w:r>
          </w:p>
          <w:p>
            <w:pPr>
              <w:spacing w:before="20" w:after="20"/>
            </w:pPr>
            <w:r>
              <w:rPr>
                <w:rFonts w:ascii="Arial" w:cs="Arial" w:eastAsia="Arial" w:hAnsi="Arial"/>
                <w:color w:val="1A2332"/>
                <w:sz w:val="18"/>
                <w:szCs w:val="18"/>
              </w:rPr>
              <w:t xml:space="preserve">The computational engine is well-designed: the DPD parse-once pattern, 22 logic types, hard-reject concept,</w:t>
            </w:r>
          </w:p>
          <w:p>
            <w:pPr>
              <w:spacing w:before="20" w:after="20"/>
            </w:pPr>
            <w:r>
              <w:rPr>
                <w:rFonts w:ascii="Arial" w:cs="Arial" w:eastAsia="Arial" w:hAnsi="Arial"/>
                <w:color w:val="1A2332"/>
                <w:sz w:val="18"/>
                <w:szCs w:val="18"/>
              </w:rPr>
              <w:t xml:space="preserve">and BETWEEN/IN operators are correct decisions that should be preserved as-is in the refactored platform.</w:t>
            </w:r>
          </w:p>
        </w:tc>
      </w:tr>
    </w:tbl>
    <w:p>
      <w:pPr>
        <w:spacing w:before="120" w:after="0"/>
      </w:pPr>
      <w:r>
        <w:t xml:space="preserve"/>
      </w:r>
    </w:p>
    <w:p>
      <w:pPr>
        <w:spacing w:before="80" w:after="80"/>
      </w:pPr>
      <w:r>
        <w:rPr>
          <w:rFonts w:ascii="Arial" w:cs="Arial" w:eastAsia="Arial" w:hAnsi="Arial"/>
          <w:b w:val="false"/>
          <w:bCs w:val="false"/>
          <w:color w:val="1A2332"/>
          <w:sz w:val="20"/>
          <w:szCs w:val="20"/>
        </w:rPr>
        <w:t xml:space="preserve">This review identifies 20 issues, provides a 16-week remediation roadmap, a revised target architecture, and a list of clarifying questions needed to finalize infrastructure sizing.</w:t>
      </w:r>
    </w:p>
    <w:p>
      <w:r>
        <w:br w:type="page"/>
      </w:r>
    </w:p>
    <w:p>
      <w:pPr>
        <w:pStyle w:val="Heading1"/>
        <w:pBdr>
          <w:bottom w:val="single" w:color="0D6E8A" w:sz="8" w:space="4"/>
        </w:pBdr>
        <w:spacing w:before="400" w:after="200"/>
      </w:pPr>
      <w:r>
        <w:rPr>
          <w:rFonts w:ascii="Arial" w:cs="Arial" w:eastAsia="Arial" w:hAnsi="Arial"/>
          <w:b/>
          <w:bCs/>
          <w:color w:val="1A2332"/>
          <w:sz w:val="38"/>
          <w:szCs w:val="38"/>
        </w:rPr>
        <w:t xml:space="preserve">2. Full Issue Register</w:t>
      </w:r>
    </w:p>
    <w:p>
      <w:pPr>
        <w:spacing w:before="80" w:after="80"/>
      </w:pPr>
      <w:r>
        <w:rPr>
          <w:rFonts w:ascii="Arial" w:cs="Arial" w:eastAsia="Arial" w:hAnsi="Arial"/>
          <w:b w:val="false"/>
          <w:bCs w:val="false"/>
          <w:color w:val="1A2332"/>
          <w:sz w:val="20"/>
          <w:szCs w:val="20"/>
        </w:rPr>
        <w:t xml:space="preserve">Complete list of all identified issues ranked by severity. CRITICAL issues block bank deployment. HIGH issues block production launch. MEDIUM/LOW issues affect long-term quality.</w:t>
      </w:r>
    </w:p>
    <w:p>
      <w:pPr>
        <w:spacing w:before="100" w:after="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2200"/>
        <w:gridCol w:w="2160"/>
        <w:gridCol w:w="2500"/>
      </w:tblGrid>
      <w:tr>
        <w:trPr>
          <w:tblHeader/>
        </w:trPr>
        <w:tc>
          <w:tcPr>
            <w:tcW w:type="dxa" w:w="40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120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Severity</w:t>
            </w:r>
          </w:p>
        </w:tc>
        <w:tc>
          <w:tcPr>
            <w:tcW w:type="dxa" w:w="220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Issue</w:t>
            </w:r>
          </w:p>
        </w:tc>
        <w:tc>
          <w:tcPr>
            <w:tcW w:type="dxa" w:w="216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250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Impact</w:t>
            </w:r>
          </w:p>
        </w:tc>
      </w:tr>
      <w:tr>
        <w:tc>
          <w:tcPr>
            <w:tcW w:type="dxa" w:w="4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1</w:t>
            </w:r>
          </w:p>
        </w:tc>
        <w:tc>
          <w:tcPr>
            <w:tcW w:type="dxa" w:w="12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CRITICAL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Flat-file JSON storage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D6E8A"/>
                <w:sz w:val="16"/>
                <w:szCs w:val="16"/>
              </w:rPr>
              <w:t xml:space="preserve">Architecture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Replace with PostgreSQL; concurrent writes corrupt data</w:t>
            </w:r>
          </w:p>
        </w:tc>
      </w:tr>
      <w:tr>
        <w:tc>
          <w:tcPr>
            <w:tcW w:type="dxa" w:w="4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2</w:t>
            </w:r>
          </w:p>
        </w:tc>
        <w:tc>
          <w:tcPr>
            <w:tcW w:type="dxa" w:w="12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CRITICAL</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No authentication/authorization</w:t>
            </w:r>
          </w:p>
        </w:tc>
        <w:tc>
          <w:tcPr>
            <w:tcW w:type="dxa" w:w="2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0D6E8A"/>
                <w:sz w:val="16"/>
                <w:szCs w:val="16"/>
              </w:rPr>
              <w:t xml:space="preserve">Security</w:t>
            </w:r>
          </w:p>
        </w:tc>
        <w:tc>
          <w:tcPr>
            <w:tcW w:type="dxa" w:w="25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Add OAuth2/JWT, API keys, RBAC before any bank exposure</w:t>
            </w:r>
          </w:p>
        </w:tc>
      </w:tr>
      <w:tr>
        <w:tc>
          <w:tcPr>
            <w:tcW w:type="dxa" w:w="4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3</w:t>
            </w:r>
          </w:p>
        </w:tc>
        <w:tc>
          <w:tcPr>
            <w:tcW w:type="dxa" w:w="12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CRITICAL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No data encryption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D6E8A"/>
                <w:sz w:val="16"/>
                <w:szCs w:val="16"/>
              </w:rPr>
              <w:t xml:space="preserve">Security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All PII/financial data must be encrypted at rest and in transit</w:t>
            </w:r>
          </w:p>
        </w:tc>
      </w:tr>
      <w:tr>
        <w:tc>
          <w:tcPr>
            <w:tcW w:type="dxa" w:w="4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4</w:t>
            </w:r>
          </w:p>
        </w:tc>
        <w:tc>
          <w:tcPr>
            <w:tcW w:type="dxa" w:w="12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CRITICAL</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No audit log / immutable trail</w:t>
            </w:r>
          </w:p>
        </w:tc>
        <w:tc>
          <w:tcPr>
            <w:tcW w:type="dxa" w:w="2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0D6E8A"/>
                <w:sz w:val="16"/>
                <w:szCs w:val="16"/>
              </w:rPr>
              <w:t xml:space="preserve">Compliance</w:t>
            </w:r>
          </w:p>
        </w:tc>
        <w:tc>
          <w:tcPr>
            <w:tcW w:type="dxa" w:w="25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RBI requires full audit trail for credit decisions</w:t>
            </w:r>
          </w:p>
        </w:tc>
      </w:tr>
      <w:tr>
        <w:tc>
          <w:tcPr>
            <w:tcW w:type="dxa" w:w="4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5</w:t>
            </w:r>
          </w:p>
        </w:tc>
        <w:tc>
          <w:tcPr>
            <w:tcW w:type="dxa" w:w="12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CRITICAL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Config reload on every request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D6E8A"/>
                <w:sz w:val="16"/>
                <w:szCs w:val="16"/>
              </w:rPr>
              <w:t xml:space="preserve">Performance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JSON file read per API call; catastrophic at scale</w:t>
            </w:r>
          </w:p>
        </w:tc>
      </w:tr>
      <w:tr>
        <w:tc>
          <w:tcPr>
            <w:tcW w:type="dxa" w:w="4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6</w:t>
            </w:r>
          </w:p>
        </w:tc>
        <w:tc>
          <w:tcPr>
            <w:tcW w:type="dxa" w:w="12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CRITICAL</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No tenant data isolation</w:t>
            </w:r>
          </w:p>
        </w:tc>
        <w:tc>
          <w:tcPr>
            <w:tcW w:type="dxa" w:w="2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0D6E8A"/>
                <w:sz w:val="16"/>
                <w:szCs w:val="16"/>
              </w:rPr>
              <w:t xml:space="preserve">Security</w:t>
            </w:r>
          </w:p>
        </w:tc>
        <w:tc>
          <w:tcPr>
            <w:tcW w:type="dxa" w:w="25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Any bug could leak one company's data to another</w:t>
            </w:r>
          </w:p>
        </w:tc>
      </w:tr>
      <w:tr>
        <w:tc>
          <w:tcPr>
            <w:tcW w:type="dxa" w:w="400"/>
            <w:tcBorders>
              <w:top w:val="single" w:color="CCCCCC" w:sz="1"/>
              <w:left w:val="single" w:color="CCCCCC" w:sz="1"/>
              <w:bottom w:val="single" w:color="CCCCCC" w:sz="1"/>
              <w:right w:val="single" w:color="CCCCCC" w:sz="1"/>
            </w:tcBorders>
            <w:shd w:fill="FEF3CD"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7</w:t>
            </w:r>
          </w:p>
        </w:tc>
        <w:tc>
          <w:tcPr>
            <w:tcW w:type="dxa" w:w="1200"/>
            <w:tcBorders>
              <w:top w:val="single" w:color="CCCCCC" w:sz="1"/>
              <w:left w:val="single" w:color="CCCCCC" w:sz="1"/>
              <w:bottom w:val="single" w:color="CCCCCC" w:sz="1"/>
              <w:right w:val="single" w:color="CCCCCC" w:sz="1"/>
            </w:tcBorders>
            <w:shd w:fill="D9770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Evaluation results not persisted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D6E8A"/>
                <w:sz w:val="16"/>
                <w:szCs w:val="16"/>
              </w:rPr>
              <w:t xml:space="preserve">Compliance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Credit decisions must be stored for regulatory review</w:t>
            </w:r>
          </w:p>
        </w:tc>
      </w:tr>
      <w:tr>
        <w:tc>
          <w:tcPr>
            <w:tcW w:type="dxa" w:w="400"/>
            <w:tcBorders>
              <w:top w:val="single" w:color="CCCCCC" w:sz="1"/>
              <w:left w:val="single" w:color="CCCCCC" w:sz="1"/>
              <w:bottom w:val="single" w:color="CCCCCC" w:sz="1"/>
              <w:right w:val="single" w:color="CCCCCC" w:sz="1"/>
            </w:tcBorders>
            <w:shd w:fill="FEF3CD"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8</w:t>
            </w:r>
          </w:p>
        </w:tc>
        <w:tc>
          <w:tcPr>
            <w:tcW w:type="dxa" w:w="1200"/>
            <w:tcBorders>
              <w:top w:val="single" w:color="CCCCCC" w:sz="1"/>
              <w:left w:val="single" w:color="CCCCCC" w:sz="1"/>
              <w:bottom w:val="single" w:color="CCCCCC" w:sz="1"/>
              <w:right w:val="single" w:color="CCCCCC" w:sz="1"/>
            </w:tcBorders>
            <w:shd w:fill="D9770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HIGH</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Single process / no async</w:t>
            </w:r>
          </w:p>
        </w:tc>
        <w:tc>
          <w:tcPr>
            <w:tcW w:type="dxa" w:w="2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0D6E8A"/>
                <w:sz w:val="16"/>
                <w:szCs w:val="16"/>
              </w:rPr>
              <w:t xml:space="preserve">Performance</w:t>
            </w:r>
          </w:p>
        </w:tc>
        <w:tc>
          <w:tcPr>
            <w:tcW w:type="dxa" w:w="25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Blocking I/O; one slow request blocks all others</w:t>
            </w:r>
          </w:p>
        </w:tc>
      </w:tr>
      <w:tr>
        <w:tc>
          <w:tcPr>
            <w:tcW w:type="dxa" w:w="400"/>
            <w:tcBorders>
              <w:top w:val="single" w:color="CCCCCC" w:sz="1"/>
              <w:left w:val="single" w:color="CCCCCC" w:sz="1"/>
              <w:bottom w:val="single" w:color="CCCCCC" w:sz="1"/>
              <w:right w:val="single" w:color="CCCCCC" w:sz="1"/>
            </w:tcBorders>
            <w:shd w:fill="FEF3CD"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9</w:t>
            </w:r>
          </w:p>
        </w:tc>
        <w:tc>
          <w:tcPr>
            <w:tcW w:type="dxa" w:w="1200"/>
            <w:tcBorders>
              <w:top w:val="single" w:color="CCCCCC" w:sz="1"/>
              <w:left w:val="single" w:color="CCCCCC" w:sz="1"/>
              <w:bottom w:val="single" w:color="CCCCCC" w:sz="1"/>
              <w:right w:val="single" w:color="CCCCCC" w:sz="1"/>
            </w:tcBorders>
            <w:shd w:fill="D9770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No rate limiting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D6E8A"/>
                <w:sz w:val="16"/>
                <w:szCs w:val="16"/>
              </w:rPr>
              <w:t xml:space="preserve">Security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Any tenant can DoS the shared service</w:t>
            </w:r>
          </w:p>
        </w:tc>
      </w:tr>
      <w:tr>
        <w:tc>
          <w:tcPr>
            <w:tcW w:type="dxa" w:w="400"/>
            <w:tcBorders>
              <w:top w:val="single" w:color="CCCCCC" w:sz="1"/>
              <w:left w:val="single" w:color="CCCCCC" w:sz="1"/>
              <w:bottom w:val="single" w:color="CCCCCC" w:sz="1"/>
              <w:right w:val="single" w:color="CCCCCC" w:sz="1"/>
            </w:tcBorders>
            <w:shd w:fill="FEF3CD"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10</w:t>
            </w:r>
          </w:p>
        </w:tc>
        <w:tc>
          <w:tcPr>
            <w:tcW w:type="dxa" w:w="1200"/>
            <w:tcBorders>
              <w:top w:val="single" w:color="CCCCCC" w:sz="1"/>
              <w:left w:val="single" w:color="CCCCCC" w:sz="1"/>
              <w:bottom w:val="single" w:color="CCCCCC" w:sz="1"/>
              <w:right w:val="single" w:color="CCCCCC" w:sz="1"/>
            </w:tcBorders>
            <w:shd w:fill="D9770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HIGH</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Hardcoded variable templates</w:t>
            </w:r>
          </w:p>
        </w:tc>
        <w:tc>
          <w:tcPr>
            <w:tcW w:type="dxa" w:w="2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0D6E8A"/>
                <w:sz w:val="16"/>
                <w:szCs w:val="16"/>
              </w:rPr>
              <w:t xml:space="preserve">Extensibility</w:t>
            </w:r>
          </w:p>
        </w:tc>
        <w:tc>
          <w:tcPr>
            <w:tcW w:type="dxa" w:w="25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Adding variables requires code deploy, not config change</w:t>
            </w:r>
          </w:p>
        </w:tc>
      </w:tr>
      <w:tr>
        <w:tc>
          <w:tcPr>
            <w:tcW w:type="dxa" w:w="400"/>
            <w:tcBorders>
              <w:top w:val="single" w:color="CCCCCC" w:sz="1"/>
              <w:left w:val="single" w:color="CCCCCC" w:sz="1"/>
              <w:bottom w:val="single" w:color="CCCCCC" w:sz="1"/>
              <w:right w:val="single" w:color="CCCCCC" w:sz="1"/>
            </w:tcBorders>
            <w:shd w:fill="FEF3CD"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11</w:t>
            </w:r>
          </w:p>
        </w:tc>
        <w:tc>
          <w:tcPr>
            <w:tcW w:type="dxa" w:w="1200"/>
            <w:tcBorders>
              <w:top w:val="single" w:color="CCCCCC" w:sz="1"/>
              <w:left w:val="single" w:color="CCCCCC" w:sz="1"/>
              <w:bottom w:val="single" w:color="CCCCCC" w:sz="1"/>
              <w:right w:val="single" w:color="CCCCCC" w:sz="1"/>
            </w:tcBorders>
            <w:shd w:fill="D9770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No input validation on bureau data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D6E8A"/>
                <w:sz w:val="16"/>
                <w:szCs w:val="16"/>
              </w:rPr>
              <w:t xml:space="preserve">Data Quality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Malformed strings crash the DPD parser silently</w:t>
            </w:r>
          </w:p>
        </w:tc>
      </w:tr>
      <w:tr>
        <w:tc>
          <w:tcPr>
            <w:tcW w:type="dxa" w:w="400"/>
            <w:tcBorders>
              <w:top w:val="single" w:color="CCCCCC" w:sz="1"/>
              <w:left w:val="single" w:color="CCCCCC" w:sz="1"/>
              <w:bottom w:val="single" w:color="CCCCCC" w:sz="1"/>
              <w:right w:val="single" w:color="CCCCCC" w:sz="1"/>
            </w:tcBorders>
            <w:shd w:fill="FEF3CD"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12</w:t>
            </w:r>
          </w:p>
        </w:tc>
        <w:tc>
          <w:tcPr>
            <w:tcW w:type="dxa" w:w="1200"/>
            <w:tcBorders>
              <w:top w:val="single" w:color="CCCCCC" w:sz="1"/>
              <w:left w:val="single" w:color="CCCCCC" w:sz="1"/>
              <w:bottom w:val="single" w:color="CCCCCC" w:sz="1"/>
              <w:right w:val="single" w:color="CCCCCC" w:sz="1"/>
            </w:tcBorders>
            <w:shd w:fill="D9770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HIGH</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No API versioning strategy</w:t>
            </w:r>
          </w:p>
        </w:tc>
        <w:tc>
          <w:tcPr>
            <w:tcW w:type="dxa" w:w="2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0D6E8A"/>
                <w:sz w:val="16"/>
                <w:szCs w:val="16"/>
              </w:rPr>
              <w:t xml:space="preserve">Maintainability</w:t>
            </w:r>
          </w:p>
        </w:tc>
        <w:tc>
          <w:tcPr>
            <w:tcW w:type="dxa" w:w="25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v1 breakages will affect all banks simultaneously</w:t>
            </w:r>
          </w:p>
        </w:tc>
      </w:tr>
      <w:tr>
        <w:tc>
          <w:tcPr>
            <w:tcW w:type="dxa" w:w="400"/>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13</w:t>
            </w:r>
          </w:p>
        </w:tc>
        <w:tc>
          <w:tcPr>
            <w:tcW w:type="dxa" w:w="1200"/>
            <w:tcBorders>
              <w:top w:val="single" w:color="CCCCCC" w:sz="1"/>
              <w:left w:val="single" w:color="CCCCCC" w:sz="1"/>
              <w:bottom w:val="single" w:color="CCCCCC" w:sz="1"/>
              <w:right w:val="single" w:color="CCCCCC"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No caching of computed variables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D6E8A"/>
                <w:sz w:val="16"/>
                <w:szCs w:val="16"/>
              </w:rPr>
              <w:t xml:space="preserve">Performance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Re-evaluating same bureau pull recomputes all 119 vars</w:t>
            </w:r>
          </w:p>
        </w:tc>
      </w:tr>
      <w:tr>
        <w:tc>
          <w:tcPr>
            <w:tcW w:type="dxa" w:w="400"/>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14</w:t>
            </w:r>
          </w:p>
        </w:tc>
        <w:tc>
          <w:tcPr>
            <w:tcW w:type="dxa" w:w="1200"/>
            <w:tcBorders>
              <w:top w:val="single" w:color="CCCCCC" w:sz="1"/>
              <w:left w:val="single" w:color="CCCCCC" w:sz="1"/>
              <w:bottom w:val="single" w:color="CCCCCC" w:sz="1"/>
              <w:right w:val="single" w:color="CCCCCC"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MEDIUM</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No queue for batch processing</w:t>
            </w:r>
          </w:p>
        </w:tc>
        <w:tc>
          <w:tcPr>
            <w:tcW w:type="dxa" w:w="2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0D6E8A"/>
                <w:sz w:val="16"/>
                <w:szCs w:val="16"/>
              </w:rPr>
              <w:t xml:space="preserve">Scalability</w:t>
            </w:r>
          </w:p>
        </w:tc>
        <w:tc>
          <w:tcPr>
            <w:tcW w:type="dxa" w:w="25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Bulk bureau pulls block the sync API</w:t>
            </w:r>
          </w:p>
        </w:tc>
      </w:tr>
      <w:tr>
        <w:tc>
          <w:tcPr>
            <w:tcW w:type="dxa" w:w="400"/>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15</w:t>
            </w:r>
          </w:p>
        </w:tc>
        <w:tc>
          <w:tcPr>
            <w:tcW w:type="dxa" w:w="1200"/>
            <w:tcBorders>
              <w:top w:val="single" w:color="CCCCCC" w:sz="1"/>
              <w:left w:val="single" w:color="CCCCCC" w:sz="1"/>
              <w:bottom w:val="single" w:color="CCCCCC" w:sz="1"/>
              <w:right w:val="single" w:color="CCCCCC"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No health/readiness endpoints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D6E8A"/>
                <w:sz w:val="16"/>
                <w:szCs w:val="16"/>
              </w:rPr>
              <w:t xml:space="preserve">Operations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Cannot deploy behind load balancer safely</w:t>
            </w:r>
          </w:p>
        </w:tc>
      </w:tr>
      <w:tr>
        <w:tc>
          <w:tcPr>
            <w:tcW w:type="dxa" w:w="400"/>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16</w:t>
            </w:r>
          </w:p>
        </w:tc>
        <w:tc>
          <w:tcPr>
            <w:tcW w:type="dxa" w:w="1200"/>
            <w:tcBorders>
              <w:top w:val="single" w:color="CCCCCC" w:sz="1"/>
              <w:left w:val="single" w:color="CCCCCC" w:sz="1"/>
              <w:bottom w:val="single" w:color="CCCCCC" w:sz="1"/>
              <w:right w:val="single" w:color="CCCCCC"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MEDIUM</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No SLA / timeout enforcement</w:t>
            </w:r>
          </w:p>
        </w:tc>
        <w:tc>
          <w:tcPr>
            <w:tcW w:type="dxa" w:w="2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0D6E8A"/>
                <w:sz w:val="16"/>
                <w:szCs w:val="16"/>
              </w:rPr>
              <w:t xml:space="preserve">Reliability</w:t>
            </w:r>
          </w:p>
        </w:tc>
        <w:tc>
          <w:tcPr>
            <w:tcW w:type="dxa" w:w="25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Slow bureau data hangs requests indefinitely</w:t>
            </w:r>
          </w:p>
        </w:tc>
      </w:tr>
      <w:tr>
        <w:tc>
          <w:tcPr>
            <w:tcW w:type="dxa" w:w="400"/>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17</w:t>
            </w:r>
          </w:p>
        </w:tc>
        <w:tc>
          <w:tcPr>
            <w:tcW w:type="dxa" w:w="1200"/>
            <w:tcBorders>
              <w:top w:val="single" w:color="CCCCCC" w:sz="1"/>
              <w:left w:val="single" w:color="CCCCCC" w:sz="1"/>
              <w:bottom w:val="single" w:color="CCCCCC" w:sz="1"/>
              <w:right w:val="single" w:color="CCCCCC"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No schema migration strategy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D6E8A"/>
                <w:sz w:val="16"/>
                <w:szCs w:val="16"/>
              </w:rPr>
              <w:t xml:space="preserve">Maintainability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JSON config has no versioning or migration path</w:t>
            </w:r>
          </w:p>
        </w:tc>
      </w:tr>
      <w:tr>
        <w:tc>
          <w:tcPr>
            <w:tcW w:type="dxa" w:w="400"/>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18</w:t>
            </w:r>
          </w:p>
        </w:tc>
        <w:tc>
          <w:tcPr>
            <w:tcW w:type="dxa" w:w="1200"/>
            <w:tcBorders>
              <w:top w:val="single" w:color="CCCCCC" w:sz="1"/>
              <w:left w:val="single" w:color="CCCCCC" w:sz="1"/>
              <w:bottom w:val="single" w:color="CCCCCC" w:sz="1"/>
              <w:right w:val="single" w:color="CCCCCC"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MEDIUM</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Frontend served from same process</w:t>
            </w:r>
          </w:p>
        </w:tc>
        <w:tc>
          <w:tcPr>
            <w:tcW w:type="dxa" w:w="2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0D6E8A"/>
                <w:sz w:val="16"/>
                <w:szCs w:val="16"/>
              </w:rPr>
              <w:t xml:space="preserve">Architecture</w:t>
            </w:r>
          </w:p>
        </w:tc>
        <w:tc>
          <w:tcPr>
            <w:tcW w:type="dxa" w:w="25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Static assets compete with API requests for threads</w:t>
            </w:r>
          </w:p>
        </w:tc>
      </w:tr>
      <w:tr>
        <w:tc>
          <w:tcPr>
            <w:tcW w:type="dxa" w:w="4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19</w:t>
            </w:r>
          </w:p>
        </w:tc>
        <w:tc>
          <w:tcPr>
            <w:tcW w:type="dxa" w:w="1200"/>
            <w:tcBorders>
              <w:top w:val="single" w:color="CCCCCC" w:sz="1"/>
              <w:left w:val="single" w:color="CCCCCC" w:sz="1"/>
              <w:bottom w:val="single" w:color="CCCCCC" w:sz="1"/>
              <w:right w:val="single" w:color="CCCCCC" w:sz="1"/>
            </w:tcBorders>
            <w:shd w:fill="0D6E8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No structured logging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D6E8A"/>
                <w:sz w:val="16"/>
                <w:szCs w:val="16"/>
              </w:rPr>
              <w:t xml:space="preserve">Observability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Cannot debug production issues without request tracing</w:t>
            </w:r>
          </w:p>
        </w:tc>
      </w:tr>
      <w:tr>
        <w:tc>
          <w:tcPr>
            <w:tcW w:type="dxa" w:w="4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20</w:t>
            </w:r>
          </w:p>
        </w:tc>
        <w:tc>
          <w:tcPr>
            <w:tcW w:type="dxa" w:w="1200"/>
            <w:tcBorders>
              <w:top w:val="single" w:color="CCCCCC" w:sz="1"/>
              <w:left w:val="single" w:color="CCCCCC" w:sz="1"/>
              <w:bottom w:val="single" w:color="CCCCCC" w:sz="1"/>
              <w:right w:val="single" w:color="CCCCCC" w:sz="1"/>
            </w:tcBorders>
            <w:shd w:fill="0D6E8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LOW</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No multi-bureau support</w:t>
            </w:r>
          </w:p>
        </w:tc>
        <w:tc>
          <w:tcPr>
            <w:tcW w:type="dxa" w:w="2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0D6E8A"/>
                <w:sz w:val="16"/>
                <w:szCs w:val="16"/>
              </w:rPr>
              <w:t xml:space="preserve">Extensibility</w:t>
            </w:r>
          </w:p>
        </w:tc>
        <w:tc>
          <w:tcPr>
            <w:tcW w:type="dxa" w:w="25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Only CIBIL; banks need Experian/Equifax/CRIF</w:t>
            </w:r>
          </w:p>
        </w:tc>
      </w:tr>
    </w:tbl>
    <w:p>
      <w:r>
        <w:br w:type="page"/>
      </w:r>
    </w:p>
    <w:p>
      <w:pPr>
        <w:pStyle w:val="Heading1"/>
        <w:pBdr>
          <w:bottom w:val="single" w:color="0D6E8A" w:sz="8" w:space="4"/>
        </w:pBdr>
        <w:spacing w:before="400" w:after="200"/>
      </w:pPr>
      <w:r>
        <w:rPr>
          <w:rFonts w:ascii="Arial" w:cs="Arial" w:eastAsia="Arial" w:hAnsi="Arial"/>
          <w:b/>
          <w:bCs/>
          <w:color w:val="1A2332"/>
          <w:sz w:val="38"/>
          <w:szCs w:val="38"/>
        </w:rPr>
        <w:t xml:space="preserve">3. Critical Issues — Detailed Analysis</w:t>
      </w:r>
    </w:p>
    <w:p>
      <w:pPr>
        <w:pStyle w:val="Heading2"/>
        <w:spacing w:before="300" w:after="120"/>
      </w:pPr>
      <w:r>
        <w:rPr>
          <w:rFonts w:ascii="Arial" w:cs="Arial" w:eastAsia="Arial" w:hAnsi="Arial"/>
          <w:b/>
          <w:bCs/>
          <w:color w:val="C0392B"/>
          <w:sz w:val="28"/>
          <w:szCs w:val="28"/>
        </w:rPr>
        <w:t xml:space="preserve">3.1  Flat-File JSON Storage (Issue #1)</w:t>
      </w:r>
    </w:p>
    <w:p>
      <w:pPr>
        <w:spacing w:before="80" w:after="80"/>
      </w:pPr>
      <w:r>
        <w:rPr>
          <w:rFonts w:ascii="Arial" w:cs="Arial" w:eastAsia="Arial" w:hAnsi="Arial"/>
          <w:b w:val="false"/>
          <w:bCs w:val="false"/>
          <w:color w:val="1A2332"/>
          <w:sz w:val="20"/>
          <w:szCs w:val="20"/>
        </w:rPr>
        <w:t xml:space="preserve">The current system stores all company configurations in a single config.json file and reads/writes it on every API request. This is the most fundamental architectural problem for a SaaS product.</w:t>
      </w:r>
    </w:p>
    <w:p>
      <w:pPr>
        <w:spacing w:before="80" w:after="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8460"/>
      </w:tblGrid>
      <w:tr>
        <w:tc>
          <w:tcPr>
            <w:tcW w:type="dxa" w:w="8460"/>
            <w:tcBorders>
              <w:top w:val="single" w:color="CCCCCC" w:sz="1"/>
              <w:left w:val="single" w:color="C0392B" w:sz="12"/>
              <w:bottom w:val="single" w:color="CCCCCC" w:sz="1"/>
              <w:right w:val="single" w:color="CCCCCC" w:sz="1"/>
            </w:tcBorders>
            <w:shd w:fill="FDECEA" w:val="clear"/>
            <w:tcMar>
              <w:top w:type="dxa" w:w="120"/>
              <w:left w:type="dxa" w:w="200"/>
              <w:bottom w:type="dxa" w:w="120"/>
              <w:right w:type="dxa" w:w="200"/>
            </w:tcMar>
          </w:tcPr>
          <w:p>
            <w:pPr>
              <w:spacing w:before="0" w:after="60"/>
            </w:pPr>
            <w:r>
              <w:rPr>
                <w:rFonts w:ascii="Arial" w:cs="Arial" w:eastAsia="Arial" w:hAnsi="Arial"/>
                <w:b/>
                <w:bCs/>
                <w:color w:val="C0392B"/>
                <w:sz w:val="18"/>
                <w:szCs w:val="18"/>
              </w:rPr>
              <w:t xml:space="preserve">🚨  CRITICAL ISSUE</w:t>
            </w:r>
          </w:p>
          <w:p>
            <w:pPr>
              <w:spacing w:before="20" w:after="20"/>
            </w:pPr>
            <w:r>
              <w:rPr>
                <w:rFonts w:ascii="Arial" w:cs="Arial" w:eastAsia="Arial" w:hAnsi="Arial"/>
                <w:color w:val="1A2332"/>
                <w:sz w:val="18"/>
                <w:szCs w:val="18"/>
              </w:rPr>
              <w:t xml:space="preserve">Race condition: Two simultaneous rule updates will corrupt the file. JSON write is not atomic.</w:t>
            </w:r>
          </w:p>
          <w:p>
            <w:pPr>
              <w:spacing w:before="20" w:after="20"/>
            </w:pPr>
            <w:r>
              <w:rPr>
                <w:rFonts w:ascii="Arial" w:cs="Arial" w:eastAsia="Arial" w:hAnsi="Arial"/>
                <w:color w:val="1A2332"/>
                <w:sz w:val="18"/>
                <w:szCs w:val="18"/>
              </w:rPr>
              <w:t xml:space="preserve">No transactions: A failed write mid-operation leaves the file in an inconsistent state.</w:t>
            </w:r>
          </w:p>
          <w:p>
            <w:pPr>
              <w:spacing w:before="20" w:after="20"/>
            </w:pPr>
            <w:r>
              <w:rPr>
                <w:rFonts w:ascii="Arial" w:cs="Arial" w:eastAsia="Arial" w:hAnsi="Arial"/>
                <w:color w:val="1A2332"/>
                <w:sz w:val="18"/>
                <w:szCs w:val="18"/>
              </w:rPr>
              <w:t xml:space="preserve">No concurrent reads at scale: The file lock under load will serialize all requests.</w:t>
            </w:r>
          </w:p>
          <w:p>
            <w:pPr>
              <w:spacing w:before="20" w:after="20"/>
            </w:pPr>
            <w:r>
              <w:rPr>
                <w:rFonts w:ascii="Arial" w:cs="Arial" w:eastAsia="Arial" w:hAnsi="Arial"/>
                <w:color w:val="1A2332"/>
                <w:sz w:val="18"/>
                <w:szCs w:val="18"/>
              </w:rPr>
              <w:t xml:space="preserve">No backup / point-in-time recovery: A corrupted config.json means all company configurations are lost.</w:t>
            </w:r>
          </w:p>
          <w:p>
            <w:pPr>
              <w:spacing w:before="20" w:after="20"/>
            </w:pPr>
            <w:r>
              <w:rPr>
                <w:rFonts w:ascii="Arial" w:cs="Arial" w:eastAsia="Arial" w:hAnsi="Arial"/>
                <w:color w:val="1A2332"/>
                <w:sz w:val="18"/>
                <w:szCs w:val="18"/>
              </w:rPr>
              <w:t xml:space="preserve">Single point of failure: The config file is both the database and the lock.</w:t>
            </w:r>
          </w:p>
        </w:tc>
      </w:tr>
    </w:tbl>
    <w:p>
      <w:pPr>
        <w:spacing w:before="80" w:after="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8460"/>
      </w:tblGrid>
      <w:tr>
        <w:tc>
          <w:tcPr>
            <w:tcW w:type="dxa" w:w="8460"/>
            <w:tcBorders>
              <w:top w:val="single" w:color="CCCCCC" w:sz="1"/>
              <w:left w:val="single" w:color="1A4FA0" w:sz="12"/>
              <w:bottom w:val="single" w:color="CCCCCC" w:sz="1"/>
              <w:right w:val="single" w:color="CCCCCC" w:sz="1"/>
            </w:tcBorders>
            <w:shd w:fill="EBF0FA" w:val="clear"/>
            <w:tcMar>
              <w:top w:type="dxa" w:w="120"/>
              <w:left w:type="dxa" w:w="200"/>
              <w:bottom w:type="dxa" w:w="120"/>
              <w:right w:type="dxa" w:w="200"/>
            </w:tcMar>
          </w:tcPr>
          <w:p>
            <w:pPr>
              <w:spacing w:before="0" w:after="60"/>
            </w:pPr>
            <w:r>
              <w:rPr>
                <w:rFonts w:ascii="Arial" w:cs="Arial" w:eastAsia="Arial" w:hAnsi="Arial"/>
                <w:b/>
                <w:bCs/>
                <w:color w:val="1A4FA0"/>
                <w:sz w:val="18"/>
                <w:szCs w:val="18"/>
              </w:rPr>
              <w:t xml:space="preserve">ℹ️  RECOMMENDATION</w:t>
            </w:r>
          </w:p>
          <w:p>
            <w:pPr>
              <w:spacing w:before="20" w:after="20"/>
            </w:pPr>
            <w:r>
              <w:rPr>
                <w:rFonts w:ascii="Arial" w:cs="Arial" w:eastAsia="Arial" w:hAnsi="Arial"/>
                <w:color w:val="1A2332"/>
                <w:sz w:val="18"/>
                <w:szCs w:val="18"/>
              </w:rPr>
              <w:t xml:space="preserve">Replace with PostgreSQL 15+ with connection pooling (PgBouncer). Row-Level Security (RLS) policies provide tenant isolation. Use Redis to cache company configs with 5-minute TTL — eliminates all file I/O from the hot path.</w:t>
            </w:r>
          </w:p>
        </w:tc>
      </w:tr>
    </w:tbl>
    <w:p>
      <w:pPr>
        <w:spacing w:before="120" w:after="0"/>
      </w:pPr>
      <w:r>
        <w:t xml:space="preserve"/>
      </w:r>
    </w:p>
    <w:p>
      <w:pPr>
        <w:pStyle w:val="Heading2"/>
        <w:spacing w:before="300" w:after="120"/>
      </w:pPr>
      <w:r>
        <w:rPr>
          <w:rFonts w:ascii="Arial" w:cs="Arial" w:eastAsia="Arial" w:hAnsi="Arial"/>
          <w:b/>
          <w:bCs/>
          <w:color w:val="C0392B"/>
          <w:sz w:val="28"/>
          <w:szCs w:val="28"/>
        </w:rPr>
        <w:t xml:space="preserve">3.2  No Authentication or Authorization (Issue #2)</w:t>
      </w:r>
    </w:p>
    <w:p>
      <w:pPr>
        <w:spacing w:before="80" w:after="80"/>
      </w:pPr>
      <w:r>
        <w:rPr>
          <w:rFonts w:ascii="Arial" w:cs="Arial" w:eastAsia="Arial" w:hAnsi="Arial"/>
          <w:b w:val="false"/>
          <w:bCs w:val="false"/>
          <w:color w:val="1A2332"/>
          <w:sz w:val="20"/>
          <w:szCs w:val="20"/>
        </w:rPr>
        <w:t xml:space="preserve">The API currently has zero authentication. Any entity that can reach the server can call any endpoint, read any company's rules, modify thresholds, or submit bureau data for evaluation.</w:t>
      </w:r>
    </w:p>
    <w:p>
      <w:pPr>
        <w:spacing w:before="80" w:after="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8460"/>
      </w:tblGrid>
      <w:tr>
        <w:tc>
          <w:tcPr>
            <w:tcW w:type="dxa" w:w="8460"/>
            <w:tcBorders>
              <w:top w:val="single" w:color="CCCCCC" w:sz="1"/>
              <w:left w:val="single" w:color="C0392B" w:sz="12"/>
              <w:bottom w:val="single" w:color="CCCCCC" w:sz="1"/>
              <w:right w:val="single" w:color="CCCCCC" w:sz="1"/>
            </w:tcBorders>
            <w:shd w:fill="FDECEA" w:val="clear"/>
            <w:tcMar>
              <w:top w:type="dxa" w:w="120"/>
              <w:left w:type="dxa" w:w="200"/>
              <w:bottom w:type="dxa" w:w="120"/>
              <w:right w:type="dxa" w:w="200"/>
            </w:tcMar>
          </w:tcPr>
          <w:p>
            <w:pPr>
              <w:spacing w:before="0" w:after="60"/>
            </w:pPr>
            <w:r>
              <w:rPr>
                <w:rFonts w:ascii="Arial" w:cs="Arial" w:eastAsia="Arial" w:hAnsi="Arial"/>
                <w:b/>
                <w:bCs/>
                <w:color w:val="C0392B"/>
                <w:sz w:val="18"/>
                <w:szCs w:val="18"/>
              </w:rPr>
              <w:t xml:space="preserve">🚨  CRITICAL ISSUE</w:t>
            </w:r>
          </w:p>
          <w:p>
            <w:pPr>
              <w:spacing w:before="20" w:after="20"/>
            </w:pPr>
            <w:r>
              <w:rPr>
                <w:rFonts w:ascii="Arial" w:cs="Arial" w:eastAsia="Arial" w:hAnsi="Arial"/>
                <w:color w:val="1A2332"/>
                <w:sz w:val="18"/>
                <w:szCs w:val="18"/>
              </w:rPr>
              <w:t xml:space="preserve">Any internet-connected actor can read Bank A's proprietary credit rules via GET /api/v1/companies/{id}/rules.</w:t>
            </w:r>
          </w:p>
          <w:p>
            <w:pPr>
              <w:spacing w:before="20" w:after="20"/>
            </w:pPr>
            <w:r>
              <w:rPr>
                <w:rFonts w:ascii="Arial" w:cs="Arial" w:eastAsia="Arial" w:hAnsi="Arial"/>
                <w:color w:val="1A2332"/>
                <w:sz w:val="18"/>
                <w:szCs w:val="18"/>
              </w:rPr>
              <w:t xml:space="preserve">Any actor can overwrite a company's rules via POST/PUT — no verification of identity.</w:t>
            </w:r>
          </w:p>
          <w:p>
            <w:pPr>
              <w:spacing w:before="20" w:after="20"/>
            </w:pPr>
            <w:r>
              <w:rPr>
                <w:rFonts w:ascii="Arial" w:cs="Arial" w:eastAsia="Arial" w:hAnsi="Arial"/>
                <w:color w:val="1A2332"/>
                <w:sz w:val="18"/>
                <w:szCs w:val="18"/>
              </w:rPr>
              <w:t xml:space="preserve">POST /api/config can replace the ENTIRE system config in one call — catastrophic single endpoint.</w:t>
            </w:r>
          </w:p>
          <w:p>
            <w:pPr>
              <w:spacing w:before="20" w:after="20"/>
            </w:pPr>
            <w:r>
              <w:rPr>
                <w:rFonts w:ascii="Arial" w:cs="Arial" w:eastAsia="Arial" w:hAnsi="Arial"/>
                <w:color w:val="1A2332"/>
                <w:sz w:val="18"/>
                <w:szCs w:val="18"/>
              </w:rPr>
              <w:t xml:space="preserve">No concept of 'who did this' — no actor identity for audit purposes.</w:t>
            </w:r>
          </w:p>
        </w:tc>
      </w:tr>
    </w:tbl>
    <w:p>
      <w:pPr>
        <w:spacing w:before="80" w:after="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8460"/>
      </w:tblGrid>
      <w:tr>
        <w:tc>
          <w:tcPr>
            <w:tcW w:type="dxa" w:w="8460"/>
            <w:tcBorders>
              <w:top w:val="single" w:color="CCCCCC" w:sz="1"/>
              <w:left w:val="single" w:color="1A4FA0" w:sz="12"/>
              <w:bottom w:val="single" w:color="CCCCCC" w:sz="1"/>
              <w:right w:val="single" w:color="CCCCCC" w:sz="1"/>
            </w:tcBorders>
            <w:shd w:fill="EBF0FA" w:val="clear"/>
            <w:tcMar>
              <w:top w:type="dxa" w:w="120"/>
              <w:left w:type="dxa" w:w="200"/>
              <w:bottom w:type="dxa" w:w="120"/>
              <w:right w:type="dxa" w:w="200"/>
            </w:tcMar>
          </w:tcPr>
          <w:p>
            <w:pPr>
              <w:spacing w:before="0" w:after="60"/>
            </w:pPr>
            <w:r>
              <w:rPr>
                <w:rFonts w:ascii="Arial" w:cs="Arial" w:eastAsia="Arial" w:hAnsi="Arial"/>
                <w:b/>
                <w:bCs/>
                <w:color w:val="1A4FA0"/>
                <w:sz w:val="18"/>
                <w:szCs w:val="18"/>
              </w:rPr>
              <w:t xml:space="preserve">ℹ️  RECOMMENDATION</w:t>
            </w:r>
          </w:p>
          <w:p>
            <w:pPr>
              <w:spacing w:before="20" w:after="20"/>
            </w:pPr>
            <w:r>
              <w:rPr>
                <w:rFonts w:ascii="Arial" w:cs="Arial" w:eastAsia="Arial" w:hAnsi="Arial"/>
                <w:color w:val="1A2332"/>
                <w:sz w:val="18"/>
                <w:szCs w:val="18"/>
              </w:rPr>
              <w:t xml:space="preserve">Implement OAuth2 Client Credentials flow per tenant. Each company gets a client_id + client_secret.</w:t>
            </w:r>
          </w:p>
          <w:p>
            <w:pPr>
              <w:spacing w:before="20" w:after="20"/>
            </w:pPr>
            <w:r>
              <w:rPr>
                <w:rFonts w:ascii="Arial" w:cs="Arial" w:eastAsia="Arial" w:hAnsi="Arial"/>
                <w:color w:val="1A2332"/>
                <w:sz w:val="18"/>
                <w:szCs w:val="18"/>
              </w:rPr>
              <w:t xml:space="preserve">API keys for machine-to-machine calls (hashed with bcrypt in DB, never stored plaintext).</w:t>
            </w:r>
          </w:p>
          <w:p>
            <w:pPr>
              <w:spacing w:before="20" w:after="20"/>
            </w:pPr>
            <w:r>
              <w:rPr>
                <w:rFonts w:ascii="Arial" w:cs="Arial" w:eastAsia="Arial" w:hAnsi="Arial"/>
                <w:color w:val="1A2332"/>
                <w:sz w:val="18"/>
                <w:szCs w:val="18"/>
              </w:rPr>
              <w:t xml:space="preserve">RBAC: Admin role (can CRUD rules), Evaluator role (can POST /evaluate only), ReadOnly role.</w:t>
            </w:r>
          </w:p>
          <w:p>
            <w:pPr>
              <w:spacing w:before="20" w:after="20"/>
            </w:pPr>
            <w:r>
              <w:rPr>
                <w:rFonts w:ascii="Arial" w:cs="Arial" w:eastAsia="Arial" w:hAnsi="Arial"/>
                <w:color w:val="1A2332"/>
                <w:sz w:val="18"/>
                <w:szCs w:val="18"/>
              </w:rPr>
              <w:t xml:space="preserve">Middleware: every request validates JWT or API key before reaching any business logic.</w:t>
            </w:r>
          </w:p>
        </w:tc>
      </w:tr>
    </w:tbl>
    <w:p>
      <w:pPr>
        <w:spacing w:before="120" w:after="0"/>
      </w:pPr>
      <w:r>
        <w:t xml:space="preserve"/>
      </w:r>
    </w:p>
    <w:p>
      <w:pPr>
        <w:pStyle w:val="Heading2"/>
        <w:spacing w:before="300" w:after="120"/>
      </w:pPr>
      <w:r>
        <w:rPr>
          <w:rFonts w:ascii="Arial" w:cs="Arial" w:eastAsia="Arial" w:hAnsi="Arial"/>
          <w:b/>
          <w:bCs/>
          <w:color w:val="C0392B"/>
          <w:sz w:val="28"/>
          <w:szCs w:val="28"/>
        </w:rPr>
        <w:t xml:space="preserve">3.3  No Data Encryption (Issue #3)</w:t>
      </w:r>
    </w:p>
    <w:p>
      <w:pPr>
        <w:spacing w:before="80" w:after="80"/>
      </w:pPr>
      <w:r>
        <w:rPr>
          <w:rFonts w:ascii="Arial" w:cs="Arial" w:eastAsia="Arial" w:hAnsi="Arial"/>
          <w:b w:val="false"/>
          <w:bCs w:val="false"/>
          <w:color w:val="1A2332"/>
          <w:sz w:val="20"/>
          <w:szCs w:val="20"/>
        </w:rPr>
        <w:t xml:space="preserve">Bureau data contains sensitive personal financial information — credit scores, loan amounts, repayment history, overdue amounts. Currently this data flows and is processed in plaintext with no encryption controls.</w:t>
      </w:r>
    </w:p>
    <w:p>
      <w:pPr>
        <w:spacing w:before="80" w:after="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8460"/>
      </w:tblGrid>
      <w:tr>
        <w:tc>
          <w:tcPr>
            <w:tcW w:type="dxa" w:w="8460"/>
            <w:tcBorders>
              <w:top w:val="single" w:color="CCCCCC" w:sz="1"/>
              <w:left w:val="single" w:color="C0392B" w:sz="12"/>
              <w:bottom w:val="single" w:color="CCCCCC" w:sz="1"/>
              <w:right w:val="single" w:color="CCCCCC" w:sz="1"/>
            </w:tcBorders>
            <w:shd w:fill="FDECEA" w:val="clear"/>
            <w:tcMar>
              <w:top w:type="dxa" w:w="120"/>
              <w:left w:type="dxa" w:w="200"/>
              <w:bottom w:type="dxa" w:w="120"/>
              <w:right w:type="dxa" w:w="200"/>
            </w:tcMar>
          </w:tcPr>
          <w:p>
            <w:pPr>
              <w:spacing w:before="0" w:after="60"/>
            </w:pPr>
            <w:r>
              <w:rPr>
                <w:rFonts w:ascii="Arial" w:cs="Arial" w:eastAsia="Arial" w:hAnsi="Arial"/>
                <w:b/>
                <w:bCs/>
                <w:color w:val="C0392B"/>
                <w:sz w:val="18"/>
                <w:szCs w:val="18"/>
              </w:rPr>
              <w:t xml:space="preserve">🚨  CRITICAL ISSUE</w:t>
            </w:r>
          </w:p>
          <w:p>
            <w:pPr>
              <w:spacing w:before="20" w:after="20"/>
            </w:pPr>
            <w:r>
              <w:rPr>
                <w:rFonts w:ascii="Arial" w:cs="Arial" w:eastAsia="Arial" w:hAnsi="Arial"/>
                <w:color w:val="1A2332"/>
                <w:sz w:val="18"/>
                <w:szCs w:val="18"/>
              </w:rPr>
              <w:t xml:space="preserve">Data in transit: All API calls are HTTP (not HTTPS). Any network observer sees raw bureau data.</w:t>
            </w:r>
          </w:p>
          <w:p>
            <w:pPr>
              <w:spacing w:before="20" w:after="20"/>
            </w:pPr>
            <w:r>
              <w:rPr>
                <w:rFonts w:ascii="Arial" w:cs="Arial" w:eastAsia="Arial" w:hAnsi="Arial"/>
                <w:color w:val="1A2332"/>
                <w:sz w:val="18"/>
                <w:szCs w:val="18"/>
              </w:rPr>
              <w:t xml:space="preserve">Data at rest: If PostgreSQL is adopted, PII columns must be encrypted (pgcrypto or application-level AES-256).</w:t>
            </w:r>
          </w:p>
          <w:p>
            <w:pPr>
              <w:spacing w:before="20" w:after="20"/>
            </w:pPr>
            <w:r>
              <w:rPr>
                <w:rFonts w:ascii="Arial" w:cs="Arial" w:eastAsia="Arial" w:hAnsi="Arial"/>
                <w:color w:val="1A2332"/>
                <w:sz w:val="18"/>
                <w:szCs w:val="18"/>
              </w:rPr>
              <w:t xml:space="preserve">Log data: Structured logs containing computed variables may inadvertently store PII in plaintext.</w:t>
            </w:r>
          </w:p>
          <w:p>
            <w:pPr>
              <w:spacing w:before="20" w:after="20"/>
            </w:pPr>
            <w:r>
              <w:rPr>
                <w:rFonts w:ascii="Arial" w:cs="Arial" w:eastAsia="Arial" w:hAnsi="Arial"/>
                <w:color w:val="1A2332"/>
                <w:sz w:val="18"/>
                <w:szCs w:val="18"/>
              </w:rPr>
              <w:t xml:space="preserve">The DPDP Act 2023 and RBI IT Framework both mandate encryption for financial personal data.</w:t>
            </w:r>
          </w:p>
        </w:tc>
      </w:tr>
    </w:tbl>
    <w:p>
      <w:pPr>
        <w:spacing w:before="80" w:after="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8460"/>
      </w:tblGrid>
      <w:tr>
        <w:tc>
          <w:tcPr>
            <w:tcW w:type="dxa" w:w="8460"/>
            <w:tcBorders>
              <w:top w:val="single" w:color="CCCCCC" w:sz="1"/>
              <w:left w:val="single" w:color="1A4FA0" w:sz="12"/>
              <w:bottom w:val="single" w:color="CCCCCC" w:sz="1"/>
              <w:right w:val="single" w:color="CCCCCC" w:sz="1"/>
            </w:tcBorders>
            <w:shd w:fill="EBF0FA" w:val="clear"/>
            <w:tcMar>
              <w:top w:type="dxa" w:w="120"/>
              <w:left w:type="dxa" w:w="200"/>
              <w:bottom w:type="dxa" w:w="120"/>
              <w:right w:type="dxa" w:w="200"/>
            </w:tcMar>
          </w:tcPr>
          <w:p>
            <w:pPr>
              <w:spacing w:before="0" w:after="60"/>
            </w:pPr>
            <w:r>
              <w:rPr>
                <w:rFonts w:ascii="Arial" w:cs="Arial" w:eastAsia="Arial" w:hAnsi="Arial"/>
                <w:b/>
                <w:bCs/>
                <w:color w:val="1A4FA0"/>
                <w:sz w:val="18"/>
                <w:szCs w:val="18"/>
              </w:rPr>
              <w:t xml:space="preserve">ℹ️  RECOMMENDATION</w:t>
            </w:r>
          </w:p>
          <w:p>
            <w:pPr>
              <w:spacing w:before="20" w:after="20"/>
            </w:pPr>
            <w:r>
              <w:rPr>
                <w:rFonts w:ascii="Arial" w:cs="Arial" w:eastAsia="Arial" w:hAnsi="Arial"/>
                <w:color w:val="1A2332"/>
                <w:sz w:val="18"/>
                <w:szCs w:val="18"/>
              </w:rPr>
              <w:t xml:space="preserve">Enforce TLS 1.3 at the API gateway (reject HTTP, add HSTS headers).</w:t>
            </w:r>
          </w:p>
          <w:p>
            <w:pPr>
              <w:spacing w:before="20" w:after="20"/>
            </w:pPr>
            <w:r>
              <w:rPr>
                <w:rFonts w:ascii="Arial" w:cs="Arial" w:eastAsia="Arial" w:hAnsi="Arial"/>
                <w:color w:val="1A2332"/>
                <w:sz w:val="18"/>
                <w:szCs w:val="18"/>
              </w:rPr>
              <w:t xml:space="preserve">Encrypt PII columns in PostgreSQL: bureau_score, computed_variables (JSONB), loan amounts.</w:t>
            </w:r>
          </w:p>
          <w:p>
            <w:pPr>
              <w:spacing w:before="20" w:after="20"/>
            </w:pPr>
            <w:r>
              <w:rPr>
                <w:rFonts w:ascii="Arial" w:cs="Arial" w:eastAsia="Arial" w:hAnsi="Arial"/>
                <w:color w:val="1A2332"/>
                <w:sz w:val="18"/>
                <w:szCs w:val="18"/>
              </w:rPr>
              <w:t xml:space="preserve">Use HashiCorp Vault or AWS Secrets Manager for all encryption keys — never in config files.</w:t>
            </w:r>
          </w:p>
          <w:p>
            <w:pPr>
              <w:spacing w:before="20" w:after="20"/>
            </w:pPr>
            <w:r>
              <w:rPr>
                <w:rFonts w:ascii="Arial" w:cs="Arial" w:eastAsia="Arial" w:hAnsi="Arial"/>
                <w:color w:val="1A2332"/>
                <w:sz w:val="18"/>
                <w:szCs w:val="18"/>
              </w:rPr>
              <w:t xml:space="preserve">Scrub sensitive fields from application logs — log only application_id, tenant_id, and outcome.</w:t>
            </w:r>
          </w:p>
        </w:tc>
      </w:tr>
    </w:tbl>
    <w:p>
      <w:pPr>
        <w:spacing w:before="120" w:after="0"/>
      </w:pPr>
      <w:r>
        <w:t xml:space="preserve"/>
      </w:r>
    </w:p>
    <w:p>
      <w:pPr>
        <w:pStyle w:val="Heading2"/>
        <w:spacing w:before="300" w:after="120"/>
      </w:pPr>
      <w:r>
        <w:rPr>
          <w:rFonts w:ascii="Arial" w:cs="Arial" w:eastAsia="Arial" w:hAnsi="Arial"/>
          <w:b/>
          <w:bCs/>
          <w:color w:val="C0392B"/>
          <w:sz w:val="28"/>
          <w:szCs w:val="28"/>
        </w:rPr>
        <w:t xml:space="preserve">3.4  No Audit Log / Immutable Trail (Issue #4)</w:t>
      </w:r>
    </w:p>
    <w:p>
      <w:pPr>
        <w:spacing w:before="80" w:after="80"/>
      </w:pPr>
      <w:r>
        <w:rPr>
          <w:rFonts w:ascii="Arial" w:cs="Arial" w:eastAsia="Arial" w:hAnsi="Arial"/>
          <w:b w:val="false"/>
          <w:bCs w:val="false"/>
          <w:color w:val="1A2332"/>
          <w:sz w:val="20"/>
          <w:szCs w:val="20"/>
        </w:rPr>
        <w:t xml:space="preserve">Credit decisioning is a heavily regulated activity in India. The RBI mandates that all credit decisions be traceable, auditable, and retained for a minimum period.</w:t>
      </w:r>
    </w:p>
    <w:p>
      <w:pPr>
        <w:spacing w:before="80" w:after="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8460"/>
      </w:tblGrid>
      <w:tr>
        <w:tc>
          <w:tcPr>
            <w:tcW w:type="dxa" w:w="8460"/>
            <w:tcBorders>
              <w:top w:val="single" w:color="CCCCCC" w:sz="1"/>
              <w:left w:val="single" w:color="C0392B" w:sz="12"/>
              <w:bottom w:val="single" w:color="CCCCCC" w:sz="1"/>
              <w:right w:val="single" w:color="CCCCCC" w:sz="1"/>
            </w:tcBorders>
            <w:shd w:fill="FDECEA" w:val="clear"/>
            <w:tcMar>
              <w:top w:type="dxa" w:w="120"/>
              <w:left w:type="dxa" w:w="200"/>
              <w:bottom w:type="dxa" w:w="120"/>
              <w:right w:type="dxa" w:w="200"/>
            </w:tcMar>
          </w:tcPr>
          <w:p>
            <w:pPr>
              <w:spacing w:before="0" w:after="60"/>
            </w:pPr>
            <w:r>
              <w:rPr>
                <w:rFonts w:ascii="Arial" w:cs="Arial" w:eastAsia="Arial" w:hAnsi="Arial"/>
                <w:b/>
                <w:bCs/>
                <w:color w:val="C0392B"/>
                <w:sz w:val="18"/>
                <w:szCs w:val="18"/>
              </w:rPr>
              <w:t xml:space="preserve">🚨  CRITICAL ISSUE</w:t>
            </w:r>
          </w:p>
          <w:p>
            <w:pPr>
              <w:spacing w:before="20" w:after="20"/>
            </w:pPr>
            <w:r>
              <w:rPr>
                <w:rFonts w:ascii="Arial" w:cs="Arial" w:eastAsia="Arial" w:hAnsi="Arial"/>
                <w:color w:val="1A2332"/>
                <w:sz w:val="18"/>
                <w:szCs w:val="18"/>
              </w:rPr>
              <w:t xml:space="preserve">RBI IT Framework (2011, updated 2023) requires audit trails for all system activities affecting credit.</w:t>
            </w:r>
          </w:p>
          <w:p>
            <w:pPr>
              <w:spacing w:before="20" w:after="20"/>
            </w:pPr>
            <w:r>
              <w:rPr>
                <w:rFonts w:ascii="Arial" w:cs="Arial" w:eastAsia="Arial" w:hAnsi="Arial"/>
                <w:color w:val="1A2332"/>
                <w:sz w:val="18"/>
                <w:szCs w:val="18"/>
              </w:rPr>
              <w:t xml:space="preserve">CIBIL usage agreements require logging of every bureau pull against a specific application.</w:t>
            </w:r>
          </w:p>
          <w:p>
            <w:pPr>
              <w:spacing w:before="20" w:after="20"/>
            </w:pPr>
            <w:r>
              <w:rPr>
                <w:rFonts w:ascii="Arial" w:cs="Arial" w:eastAsia="Arial" w:hAnsi="Arial"/>
                <w:color w:val="1A2332"/>
                <w:sz w:val="18"/>
                <w:szCs w:val="18"/>
              </w:rPr>
              <w:t xml:space="preserve">Currently: evaluation results are returned in the API response and immediately discarded — nothing is stored.</w:t>
            </w:r>
          </w:p>
          <w:p>
            <w:pPr>
              <w:spacing w:before="20" w:after="20"/>
            </w:pPr>
            <w:r>
              <w:rPr>
                <w:rFonts w:ascii="Arial" w:cs="Arial" w:eastAsia="Arial" w:hAnsi="Arial"/>
                <w:color w:val="1A2332"/>
                <w:sz w:val="18"/>
                <w:szCs w:val="18"/>
              </w:rPr>
              <w:t xml:space="preserve">Rule changes (who changed which threshold, when, from what value to what value) are untracked.</w:t>
            </w:r>
          </w:p>
          <w:p>
            <w:pPr>
              <w:spacing w:before="20" w:after="20"/>
            </w:pPr>
            <w:r>
              <w:rPr>
                <w:rFonts w:ascii="Arial" w:cs="Arial" w:eastAsia="Arial" w:hAnsi="Arial"/>
                <w:color w:val="1A2332"/>
                <w:sz w:val="18"/>
                <w:szCs w:val="18"/>
              </w:rPr>
              <w:t xml:space="preserve">In a regulatory audit or customer dispute, there is zero evidence of what rules were applied or what decision was made.</w:t>
            </w:r>
          </w:p>
        </w:tc>
      </w:tr>
    </w:tbl>
    <w:p>
      <w:pPr>
        <w:spacing w:before="80" w:after="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8460"/>
      </w:tblGrid>
      <w:tr>
        <w:tc>
          <w:tcPr>
            <w:tcW w:type="dxa" w:w="8460"/>
            <w:tcBorders>
              <w:top w:val="single" w:color="CCCCCC" w:sz="1"/>
              <w:left w:val="single" w:color="1A4FA0" w:sz="12"/>
              <w:bottom w:val="single" w:color="CCCCCC" w:sz="1"/>
              <w:right w:val="single" w:color="CCCCCC" w:sz="1"/>
            </w:tcBorders>
            <w:shd w:fill="EBF0FA" w:val="clear"/>
            <w:tcMar>
              <w:top w:type="dxa" w:w="120"/>
              <w:left w:type="dxa" w:w="200"/>
              <w:bottom w:type="dxa" w:w="120"/>
              <w:right w:type="dxa" w:w="200"/>
            </w:tcMar>
          </w:tcPr>
          <w:p>
            <w:pPr>
              <w:spacing w:before="0" w:after="60"/>
            </w:pPr>
            <w:r>
              <w:rPr>
                <w:rFonts w:ascii="Arial" w:cs="Arial" w:eastAsia="Arial" w:hAnsi="Arial"/>
                <w:b/>
                <w:bCs/>
                <w:color w:val="1A4FA0"/>
                <w:sz w:val="18"/>
                <w:szCs w:val="18"/>
              </w:rPr>
              <w:t xml:space="preserve">ℹ️  RECOMMENDATION</w:t>
            </w:r>
          </w:p>
          <w:p>
            <w:pPr>
              <w:spacing w:before="20" w:after="20"/>
            </w:pPr>
            <w:r>
              <w:rPr>
                <w:rFonts w:ascii="Arial" w:cs="Arial" w:eastAsia="Arial" w:hAnsi="Arial"/>
                <w:color w:val="1A2332"/>
                <w:sz w:val="18"/>
                <w:szCs w:val="18"/>
              </w:rPr>
              <w:t xml:space="preserve">Create an immutable bureau_evaluations table: store eval_id, tenant_id, application_id, bureau_pull_date, all computed_variables (JSONB), lead_score, grade, decision, and the exact rule snapshot applied.</w:t>
            </w:r>
          </w:p>
          <w:p>
            <w:pPr>
              <w:spacing w:before="20" w:after="20"/>
            </w:pPr>
            <w:r>
              <w:rPr>
                <w:rFonts w:ascii="Arial" w:cs="Arial" w:eastAsia="Arial" w:hAnsi="Arial"/>
                <w:color w:val="1A2332"/>
                <w:sz w:val="18"/>
                <w:szCs w:val="18"/>
              </w:rPr>
              <w:t xml:space="preserve">Create an audit_log table for all config changes: who changed what rule, old value → new value, timestamp, IP.</w:t>
            </w:r>
          </w:p>
          <w:p>
            <w:pPr>
              <w:spacing w:before="20" w:after="20"/>
            </w:pPr>
            <w:r>
              <w:rPr>
                <w:rFonts w:ascii="Arial" w:cs="Arial" w:eastAsia="Arial" w:hAnsi="Arial"/>
                <w:color w:val="1A2332"/>
                <w:sz w:val="18"/>
                <w:szCs w:val="18"/>
              </w:rPr>
              <w:t xml:space="preserve">Append-only design: evaluations can never be updated or deleted. Mark as superseded if re-evaluated.</w:t>
            </w:r>
          </w:p>
          <w:p>
            <w:pPr>
              <w:spacing w:before="20" w:after="20"/>
            </w:pPr>
            <w:r>
              <w:rPr>
                <w:rFonts w:ascii="Arial" w:cs="Arial" w:eastAsia="Arial" w:hAnsi="Arial"/>
                <w:color w:val="1A2332"/>
                <w:sz w:val="18"/>
                <w:szCs w:val="18"/>
              </w:rPr>
              <w:t xml:space="preserve">Retention policy: minimum 5 years for credit decisions, 7 years for write-off related decisions.</w:t>
            </w:r>
          </w:p>
        </w:tc>
      </w:tr>
    </w:tbl>
    <w:p>
      <w:pPr>
        <w:spacing w:before="120" w:after="0"/>
      </w:pPr>
      <w:r>
        <w:t xml:space="preserve"/>
      </w:r>
    </w:p>
    <w:p>
      <w:pPr>
        <w:pStyle w:val="Heading2"/>
        <w:spacing w:before="300" w:after="120"/>
      </w:pPr>
      <w:r>
        <w:rPr>
          <w:rFonts w:ascii="Arial" w:cs="Arial" w:eastAsia="Arial" w:hAnsi="Arial"/>
          <w:b/>
          <w:bCs/>
          <w:color w:val="C0392B"/>
          <w:sz w:val="28"/>
          <w:szCs w:val="28"/>
        </w:rPr>
        <w:t xml:space="preserve">3.5  Config Reload on Every Request (Issue #5)</w:t>
      </w:r>
    </w:p>
    <w:p>
      <w:pPr>
        <w:spacing w:before="80" w:after="80"/>
      </w:pPr>
      <w:r>
        <w:rPr>
          <w:rFonts w:ascii="Arial" w:cs="Arial" w:eastAsia="Arial" w:hAnsi="Arial"/>
          <w:b w:val="false"/>
          <w:bCs w:val="false"/>
          <w:color w:val="1A2332"/>
          <w:sz w:val="20"/>
          <w:szCs w:val="20"/>
        </w:rPr>
        <w:t xml:space="preserve">The _load_config() function reads the config.json file on every single API call. This is a critical performance problem that will cause the system to fail under any meaningful bank-level load.</w:t>
      </w:r>
    </w:p>
    <w:p>
      <w:pPr>
        <w:spacing w:before="80" w:after="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8460"/>
      </w:tblGrid>
      <w:tr>
        <w:tc>
          <w:tcPr>
            <w:tcW w:type="dxa" w:w="8460"/>
            <w:tcBorders>
              <w:top w:val="single" w:color="CCCCCC" w:sz="1"/>
              <w:left w:val="single" w:color="C0392B" w:sz="12"/>
              <w:bottom w:val="single" w:color="CCCCCC" w:sz="1"/>
              <w:right w:val="single" w:color="CCCCCC" w:sz="1"/>
            </w:tcBorders>
            <w:shd w:fill="FDECEA" w:val="clear"/>
            <w:tcMar>
              <w:top w:type="dxa" w:w="120"/>
              <w:left w:type="dxa" w:w="200"/>
              <w:bottom w:type="dxa" w:w="120"/>
              <w:right w:type="dxa" w:w="200"/>
            </w:tcMar>
          </w:tcPr>
          <w:p>
            <w:pPr>
              <w:spacing w:before="0" w:after="60"/>
            </w:pPr>
            <w:r>
              <w:rPr>
                <w:rFonts w:ascii="Arial" w:cs="Arial" w:eastAsia="Arial" w:hAnsi="Arial"/>
                <w:b/>
                <w:bCs/>
                <w:color w:val="C0392B"/>
                <w:sz w:val="18"/>
                <w:szCs w:val="18"/>
              </w:rPr>
              <w:t xml:space="preserve">🚨  CRITICAL ISSUE</w:t>
            </w:r>
          </w:p>
          <w:p>
            <w:pPr>
              <w:spacing w:before="20" w:after="20"/>
            </w:pPr>
            <w:r>
              <w:rPr>
                <w:rFonts w:ascii="Arial" w:cs="Arial" w:eastAsia="Arial" w:hAnsi="Arial"/>
                <w:color w:val="1A2332"/>
                <w:sz w:val="18"/>
                <w:szCs w:val="18"/>
              </w:rPr>
              <w:t xml:space="preserve">A bank submitting 100 evaluations/second = 100 file reads/second on a single disk.</w:t>
            </w:r>
          </w:p>
          <w:p>
            <w:pPr>
              <w:spacing w:before="20" w:after="20"/>
            </w:pPr>
            <w:r>
              <w:rPr>
                <w:rFonts w:ascii="Arial" w:cs="Arial" w:eastAsia="Arial" w:hAnsi="Arial"/>
                <w:color w:val="1A2332"/>
                <w:sz w:val="18"/>
                <w:szCs w:val="18"/>
              </w:rPr>
              <w:t xml:space="preserve">Each file read is blocking I/O in a Python async context — it blocks the entire event loop.</w:t>
            </w:r>
          </w:p>
          <w:p>
            <w:pPr>
              <w:spacing w:before="20" w:after="20"/>
            </w:pPr>
            <w:r>
              <w:rPr>
                <w:rFonts w:ascii="Arial" w:cs="Arial" w:eastAsia="Arial" w:hAnsi="Arial"/>
                <w:color w:val="1A2332"/>
                <w:sz w:val="18"/>
                <w:szCs w:val="18"/>
              </w:rPr>
              <w:t xml:space="preserve">At 1000 concurrent requests, this creates a sequential file-read queue — P99 latency explodes.</w:t>
            </w:r>
          </w:p>
          <w:p>
            <w:pPr>
              <w:spacing w:before="20" w:after="20"/>
            </w:pPr>
            <w:r>
              <w:rPr>
                <w:rFonts w:ascii="Arial" w:cs="Arial" w:eastAsia="Arial" w:hAnsi="Arial"/>
                <w:color w:val="1A2332"/>
                <w:sz w:val="18"/>
                <w:szCs w:val="18"/>
              </w:rPr>
              <w:t xml:space="preserve">The config grows linearly with companies and rules — read time increases with every new tenant.</w:t>
            </w:r>
          </w:p>
        </w:tc>
      </w:tr>
    </w:tbl>
    <w:p>
      <w:pPr>
        <w:spacing w:before="80" w:after="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8460"/>
      </w:tblGrid>
      <w:tr>
        <w:tc>
          <w:tcPr>
            <w:tcW w:type="dxa" w:w="8460"/>
            <w:tcBorders>
              <w:top w:val="single" w:color="CCCCCC" w:sz="1"/>
              <w:left w:val="single" w:color="1A4FA0" w:sz="12"/>
              <w:bottom w:val="single" w:color="CCCCCC" w:sz="1"/>
              <w:right w:val="single" w:color="CCCCCC" w:sz="1"/>
            </w:tcBorders>
            <w:shd w:fill="EBF0FA" w:val="clear"/>
            <w:tcMar>
              <w:top w:type="dxa" w:w="120"/>
              <w:left w:type="dxa" w:w="200"/>
              <w:bottom w:type="dxa" w:w="120"/>
              <w:right w:type="dxa" w:w="200"/>
            </w:tcMar>
          </w:tcPr>
          <w:p>
            <w:pPr>
              <w:spacing w:before="0" w:after="60"/>
            </w:pPr>
            <w:r>
              <w:rPr>
                <w:rFonts w:ascii="Arial" w:cs="Arial" w:eastAsia="Arial" w:hAnsi="Arial"/>
                <w:b/>
                <w:bCs/>
                <w:color w:val="1A4FA0"/>
                <w:sz w:val="18"/>
                <w:szCs w:val="18"/>
              </w:rPr>
              <w:t xml:space="preserve">ℹ️  RECOMMENDATION</w:t>
            </w:r>
          </w:p>
          <w:p>
            <w:pPr>
              <w:spacing w:before="20" w:after="20"/>
            </w:pPr>
            <w:r>
              <w:rPr>
                <w:rFonts w:ascii="Arial" w:cs="Arial" w:eastAsia="Arial" w:hAnsi="Arial"/>
                <w:color w:val="1A2332"/>
                <w:sz w:val="18"/>
                <w:szCs w:val="18"/>
              </w:rPr>
              <w:t xml:space="preserve">Move config to PostgreSQL + Redis cache. On startup: load all company configs into Redis.</w:t>
            </w:r>
          </w:p>
          <w:p>
            <w:pPr>
              <w:spacing w:before="20" w:after="20"/>
            </w:pPr>
            <w:r>
              <w:rPr>
                <w:rFonts w:ascii="Arial" w:cs="Arial" w:eastAsia="Arial" w:hAnsi="Arial"/>
                <w:color w:val="1A2332"/>
                <w:sz w:val="18"/>
                <w:szCs w:val="18"/>
              </w:rPr>
              <w:t xml:space="preserve">Cache key: tenant:{company_id}:config — TTL 5 minutes.</w:t>
            </w:r>
          </w:p>
          <w:p>
            <w:pPr>
              <w:spacing w:before="20" w:after="20"/>
            </w:pPr>
            <w:r>
              <w:rPr>
                <w:rFonts w:ascii="Arial" w:cs="Arial" w:eastAsia="Arial" w:hAnsi="Arial"/>
                <w:color w:val="1A2332"/>
                <w:sz w:val="18"/>
                <w:szCs w:val="18"/>
              </w:rPr>
              <w:t xml:space="preserve">On rule update: invalidate only that tenant's cache key (not all tenants).</w:t>
            </w:r>
          </w:p>
          <w:p>
            <w:pPr>
              <w:spacing w:before="20" w:after="20"/>
            </w:pPr>
            <w:r>
              <w:rPr>
                <w:rFonts w:ascii="Arial" w:cs="Arial" w:eastAsia="Arial" w:hAnsi="Arial"/>
                <w:color w:val="1A2332"/>
                <w:sz w:val="18"/>
                <w:szCs w:val="18"/>
              </w:rPr>
              <w:t xml:space="preserve">Result: config lookup becomes a &lt;1ms Redis GET instead of a disk read.</w:t>
            </w:r>
          </w:p>
        </w:tc>
      </w:tr>
    </w:tbl>
    <w:p>
      <w:pPr>
        <w:spacing w:before="120" w:after="0"/>
      </w:pPr>
      <w:r>
        <w:t xml:space="preserve"/>
      </w:r>
    </w:p>
    <w:p>
      <w:pPr>
        <w:pStyle w:val="Heading2"/>
        <w:spacing w:before="300" w:after="120"/>
      </w:pPr>
      <w:r>
        <w:rPr>
          <w:rFonts w:ascii="Arial" w:cs="Arial" w:eastAsia="Arial" w:hAnsi="Arial"/>
          <w:b/>
          <w:bCs/>
          <w:color w:val="C0392B"/>
          <w:sz w:val="28"/>
          <w:szCs w:val="28"/>
        </w:rPr>
        <w:t xml:space="preserve">3.6  No Tenant Data Isolation (Issue #6)</w:t>
      </w:r>
    </w:p>
    <w:p>
      <w:pPr>
        <w:spacing w:before="80" w:after="80"/>
      </w:pPr>
      <w:r>
        <w:rPr>
          <w:rFonts w:ascii="Arial" w:cs="Arial" w:eastAsia="Arial" w:hAnsi="Arial"/>
          <w:b w:val="false"/>
          <w:bCs w:val="false"/>
          <w:color w:val="1A2332"/>
          <w:sz w:val="20"/>
          <w:szCs w:val="20"/>
        </w:rPr>
        <w:t xml:space="preserve">Multiple companies share the same process, the same config file, and the same in-memory state. There is no technical enforcement of data boundaries between tenants.</w:t>
      </w:r>
    </w:p>
    <w:p>
      <w:pPr>
        <w:spacing w:before="80" w:after="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8460"/>
      </w:tblGrid>
      <w:tr>
        <w:tc>
          <w:tcPr>
            <w:tcW w:type="dxa" w:w="8460"/>
            <w:tcBorders>
              <w:top w:val="single" w:color="CCCCCC" w:sz="1"/>
              <w:left w:val="single" w:color="C0392B" w:sz="12"/>
              <w:bottom w:val="single" w:color="CCCCCC" w:sz="1"/>
              <w:right w:val="single" w:color="CCCCCC" w:sz="1"/>
            </w:tcBorders>
            <w:shd w:fill="FDECEA" w:val="clear"/>
            <w:tcMar>
              <w:top w:type="dxa" w:w="120"/>
              <w:left w:type="dxa" w:w="200"/>
              <w:bottom w:type="dxa" w:w="120"/>
              <w:right w:type="dxa" w:w="200"/>
            </w:tcMar>
          </w:tcPr>
          <w:p>
            <w:pPr>
              <w:spacing w:before="0" w:after="60"/>
            </w:pPr>
            <w:r>
              <w:rPr>
                <w:rFonts w:ascii="Arial" w:cs="Arial" w:eastAsia="Arial" w:hAnsi="Arial"/>
                <w:b/>
                <w:bCs/>
                <w:color w:val="C0392B"/>
                <w:sz w:val="18"/>
                <w:szCs w:val="18"/>
              </w:rPr>
              <w:t xml:space="preserve">🚨  CRITICAL ISSUE</w:t>
            </w:r>
          </w:p>
          <w:p>
            <w:pPr>
              <w:spacing w:before="20" w:after="20"/>
            </w:pPr>
            <w:r>
              <w:rPr>
                <w:rFonts w:ascii="Arial" w:cs="Arial" w:eastAsia="Arial" w:hAnsi="Arial"/>
                <w:color w:val="1A2332"/>
                <w:sz w:val="18"/>
                <w:szCs w:val="18"/>
              </w:rPr>
              <w:t xml:space="preserve">A bug in any endpoint could inadvertently return Company A's rules to Company B's API call.</w:t>
            </w:r>
          </w:p>
          <w:p>
            <w:pPr>
              <w:spacing w:before="20" w:after="20"/>
            </w:pPr>
            <w:r>
              <w:rPr>
                <w:rFonts w:ascii="Arial" w:cs="Arial" w:eastAsia="Arial" w:hAnsi="Arial"/>
                <w:color w:val="1A2332"/>
                <w:sz w:val="18"/>
                <w:szCs w:val="18"/>
              </w:rPr>
              <w:t xml:space="preserve">The /api/config endpoint returns the ENTIRE config — all companies' rules in one call.</w:t>
            </w:r>
          </w:p>
          <w:p>
            <w:pPr>
              <w:spacing w:before="20" w:after="20"/>
            </w:pPr>
            <w:r>
              <w:rPr>
                <w:rFonts w:ascii="Arial" w:cs="Arial" w:eastAsia="Arial" w:hAnsi="Arial"/>
                <w:color w:val="1A2332"/>
                <w:sz w:val="18"/>
                <w:szCs w:val="18"/>
              </w:rPr>
              <w:t xml:space="preserve">No company_id validation on rule operations: PUT /companies/bank-a/rules/r1 with bank-b's token works.</w:t>
            </w:r>
          </w:p>
          <w:p>
            <w:pPr>
              <w:spacing w:before="20" w:after="20"/>
            </w:pPr>
            <w:r>
              <w:rPr>
                <w:rFonts w:ascii="Arial" w:cs="Arial" w:eastAsia="Arial" w:hAnsi="Arial"/>
                <w:color w:val="1A2332"/>
                <w:sz w:val="18"/>
                <w:szCs w:val="18"/>
              </w:rPr>
              <w:t xml:space="preserve">Banks in India have strict due diligence processes — co-mingled tenant data is an automatic disqualifier.</w:t>
            </w:r>
          </w:p>
        </w:tc>
      </w:tr>
    </w:tbl>
    <w:p>
      <w:pPr>
        <w:spacing w:before="80" w:after="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8460"/>
      </w:tblGrid>
      <w:tr>
        <w:tc>
          <w:tcPr>
            <w:tcW w:type="dxa" w:w="8460"/>
            <w:tcBorders>
              <w:top w:val="single" w:color="CCCCCC" w:sz="1"/>
              <w:left w:val="single" w:color="1A4FA0" w:sz="12"/>
              <w:bottom w:val="single" w:color="CCCCCC" w:sz="1"/>
              <w:right w:val="single" w:color="CCCCCC" w:sz="1"/>
            </w:tcBorders>
            <w:shd w:fill="EBF0FA" w:val="clear"/>
            <w:tcMar>
              <w:top w:type="dxa" w:w="120"/>
              <w:left w:type="dxa" w:w="200"/>
              <w:bottom w:type="dxa" w:w="120"/>
              <w:right w:type="dxa" w:w="200"/>
            </w:tcMar>
          </w:tcPr>
          <w:p>
            <w:pPr>
              <w:spacing w:before="0" w:after="60"/>
            </w:pPr>
            <w:r>
              <w:rPr>
                <w:rFonts w:ascii="Arial" w:cs="Arial" w:eastAsia="Arial" w:hAnsi="Arial"/>
                <w:b/>
                <w:bCs/>
                <w:color w:val="1A4FA0"/>
                <w:sz w:val="18"/>
                <w:szCs w:val="18"/>
              </w:rPr>
              <w:t xml:space="preserve">ℹ️  RECOMMENDATION</w:t>
            </w:r>
          </w:p>
          <w:p>
            <w:pPr>
              <w:spacing w:before="20" w:after="20"/>
            </w:pPr>
            <w:r>
              <w:rPr>
                <w:rFonts w:ascii="Arial" w:cs="Arial" w:eastAsia="Arial" w:hAnsi="Arial"/>
                <w:color w:val="1A2332"/>
                <w:sz w:val="18"/>
                <w:szCs w:val="18"/>
              </w:rPr>
              <w:t xml:space="preserve">PostgreSQL Row-Level Security: CREATE POLICY tenant_isolation ON company_rules USING (tenant_id = current_setting('app.tenant_id')).</w:t>
            </w:r>
          </w:p>
          <w:p>
            <w:pPr>
              <w:spacing w:before="20" w:after="20"/>
            </w:pPr>
            <w:r>
              <w:rPr>
                <w:rFonts w:ascii="Arial" w:cs="Arial" w:eastAsia="Arial" w:hAnsi="Arial"/>
                <w:color w:val="1A2332"/>
                <w:sz w:val="18"/>
                <w:szCs w:val="18"/>
              </w:rPr>
              <w:t xml:space="preserve">Every database connection sets app.tenant_id from the validated JWT before executing any query.</w:t>
            </w:r>
          </w:p>
          <w:p>
            <w:pPr>
              <w:spacing w:before="20" w:after="20"/>
            </w:pPr>
            <w:r>
              <w:rPr>
                <w:rFonts w:ascii="Arial" w:cs="Arial" w:eastAsia="Arial" w:hAnsi="Arial"/>
                <w:color w:val="1A2332"/>
                <w:sz w:val="18"/>
                <w:szCs w:val="18"/>
              </w:rPr>
              <w:t xml:space="preserve">Remove /api/config (legacy) endpoints entirely — no endpoint should ever return multi-tenant data.</w:t>
            </w:r>
          </w:p>
          <w:p>
            <w:pPr>
              <w:spacing w:before="20" w:after="20"/>
            </w:pPr>
            <w:r>
              <w:rPr>
                <w:rFonts w:ascii="Arial" w:cs="Arial" w:eastAsia="Arial" w:hAnsi="Arial"/>
                <w:color w:val="1A2332"/>
                <w:sz w:val="18"/>
                <w:szCs w:val="18"/>
              </w:rPr>
              <w:t xml:space="preserve">Add integration tests that explicitly verify cross-tenant data cannot be accessed.</w:t>
            </w:r>
          </w:p>
        </w:tc>
      </w:tr>
    </w:tbl>
    <w:p>
      <w:r>
        <w:br w:type="page"/>
      </w:r>
    </w:p>
    <w:p>
      <w:pPr>
        <w:pStyle w:val="Heading1"/>
        <w:pBdr>
          <w:bottom w:val="single" w:color="0D6E8A" w:sz="8" w:space="4"/>
        </w:pBdr>
        <w:spacing w:before="400" w:after="200"/>
      </w:pPr>
      <w:r>
        <w:rPr>
          <w:rFonts w:ascii="Arial" w:cs="Arial" w:eastAsia="Arial" w:hAnsi="Arial"/>
          <w:b/>
          <w:bCs/>
          <w:color w:val="1A2332"/>
          <w:sz w:val="38"/>
          <w:szCs w:val="38"/>
        </w:rPr>
        <w:t xml:space="preserve">4. High Severity Issues — Analysis</w:t>
      </w:r>
    </w:p>
    <w:p>
      <w:pPr>
        <w:pStyle w:val="Heading2"/>
        <w:spacing w:before="300" w:after="120"/>
      </w:pPr>
      <w:r>
        <w:rPr>
          <w:rFonts w:ascii="Arial" w:cs="Arial" w:eastAsia="Arial" w:hAnsi="Arial"/>
          <w:b/>
          <w:bCs/>
          <w:color w:val="0D6E8A"/>
          <w:sz w:val="28"/>
          <w:szCs w:val="28"/>
        </w:rPr>
        <w:t xml:space="preserve">4.1  Evaluation Results Not Persisted (Issue #7)</w:t>
      </w:r>
    </w:p>
    <w:p>
      <w:pPr>
        <w:spacing w:before="80" w:after="80"/>
      </w:pPr>
      <w:r>
        <w:rPr>
          <w:rFonts w:ascii="Arial" w:cs="Arial" w:eastAsia="Arial" w:hAnsi="Arial"/>
          <w:b w:val="false"/>
          <w:bCs w:val="false"/>
          <w:color w:val="1A2332"/>
          <w:sz w:val="20"/>
          <w:szCs w:val="20"/>
        </w:rPr>
        <w:t xml:space="preserve">Credit decisions are legally significant events. Banks and NBFCs must be able to prove what decision was made, on what data, using what rules, at what time. Currently none of this is stored.</w:t>
      </w:r>
    </w:p>
    <w:p>
      <w:pPr>
        <w:pStyle w:val="ListParagraph"/>
        <w:numPr>
          <w:ilvl w:val="0"/>
          <w:numId w:val="2"/>
        </w:numPr>
        <w:spacing w:before="40" w:after="40"/>
      </w:pPr>
      <w:r>
        <w:rPr>
          <w:rFonts w:ascii="Arial" w:cs="Arial" w:eastAsia="Arial" w:hAnsi="Arial"/>
          <w:color w:val="1A2332"/>
          <w:sz w:val="18"/>
          <w:szCs w:val="18"/>
        </w:rPr>
        <w:t xml:space="preserve">Store every evaluation in bureau_evaluations with the full rule snapshot (not just rule IDs — rule thresholds can change after evaluation).</w:t>
      </w:r>
    </w:p>
    <w:p>
      <w:pPr>
        <w:pStyle w:val="ListParagraph"/>
        <w:numPr>
          <w:ilvl w:val="0"/>
          <w:numId w:val="2"/>
        </w:numPr>
        <w:spacing w:before="40" w:after="40"/>
      </w:pPr>
      <w:r>
        <w:rPr>
          <w:rFonts w:ascii="Arial" w:cs="Arial" w:eastAsia="Arial" w:hAnsi="Arial"/>
          <w:color w:val="1A2332"/>
          <w:sz w:val="18"/>
          <w:szCs w:val="18"/>
        </w:rPr>
        <w:t xml:space="preserve">Store computed_variables as a JSONB column — enables future analytics and model validation.</w:t>
      </w:r>
    </w:p>
    <w:p>
      <w:pPr>
        <w:pStyle w:val="ListParagraph"/>
        <w:numPr>
          <w:ilvl w:val="0"/>
          <w:numId w:val="2"/>
        </w:numPr>
        <w:spacing w:before="40" w:after="40"/>
      </w:pPr>
      <w:r>
        <w:rPr>
          <w:rFonts w:ascii="Arial" w:cs="Arial" w:eastAsia="Arial" w:hAnsi="Arial"/>
          <w:color w:val="1A2332"/>
          <w:sz w:val="18"/>
          <w:szCs w:val="18"/>
        </w:rPr>
        <w:t xml:space="preserve">Link rule_evaluation_results to the evaluation record — enables per-rule forensics.</w:t>
      </w:r>
    </w:p>
    <w:p>
      <w:pPr>
        <w:pStyle w:val="ListParagraph"/>
        <w:numPr>
          <w:ilvl w:val="0"/>
          <w:numId w:val="2"/>
        </w:numPr>
        <w:spacing w:before="40" w:after="40"/>
      </w:pPr>
      <w:r>
        <w:rPr>
          <w:rFonts w:ascii="Arial" w:cs="Arial" w:eastAsia="Arial" w:hAnsi="Arial"/>
          <w:color w:val="1A2332"/>
          <w:sz w:val="18"/>
          <w:szCs w:val="18"/>
        </w:rPr>
        <w:t xml:space="preserve">This also enables a critical feature: re-evaluation of historical applications if rules change (what would the old decision be under new rules?).</w:t>
      </w:r>
    </w:p>
    <w:p>
      <w:pPr>
        <w:spacing w:before="120" w:after="0"/>
      </w:pPr>
      <w:r>
        <w:t xml:space="preserve"/>
      </w:r>
    </w:p>
    <w:p>
      <w:pPr>
        <w:pStyle w:val="Heading2"/>
        <w:spacing w:before="300" w:after="120"/>
      </w:pPr>
      <w:r>
        <w:rPr>
          <w:rFonts w:ascii="Arial" w:cs="Arial" w:eastAsia="Arial" w:hAnsi="Arial"/>
          <w:b/>
          <w:bCs/>
          <w:color w:val="0D6E8A"/>
          <w:sz w:val="28"/>
          <w:szCs w:val="28"/>
        </w:rPr>
        <w:t xml:space="preserve">4.2  Single Process / No Async Queue (Issue #8)</w:t>
      </w:r>
    </w:p>
    <w:p>
      <w:pPr>
        <w:spacing w:before="80" w:after="80"/>
      </w:pPr>
      <w:r>
        <w:rPr>
          <w:rFonts w:ascii="Arial" w:cs="Arial" w:eastAsia="Arial" w:hAnsi="Arial"/>
          <w:b w:val="false"/>
          <w:bCs w:val="false"/>
          <w:color w:val="1A2332"/>
          <w:sz w:val="20"/>
          <w:szCs w:val="20"/>
        </w:rPr>
        <w:t xml:space="preserve">FastAPI runs in a single Uvicorn process. A complex evaluation with 119 variables and 50 rules takes ~200ms. During that time, other requests queue up. Banks submit bulk bureau pulls — hundreds or thousands at a time.</w:t>
      </w:r>
    </w:p>
    <w:p>
      <w:pPr>
        <w:pStyle w:val="ListParagraph"/>
        <w:numPr>
          <w:ilvl w:val="0"/>
          <w:numId w:val="2"/>
        </w:numPr>
        <w:spacing w:before="40" w:after="40"/>
      </w:pPr>
      <w:r>
        <w:rPr>
          <w:rFonts w:ascii="Arial" w:cs="Arial" w:eastAsia="Arial" w:hAnsi="Arial"/>
          <w:color w:val="1A2332"/>
          <w:sz w:val="18"/>
          <w:szCs w:val="18"/>
        </w:rPr>
        <w:t xml:space="preserve">Add Celery with Redis broker for async evaluation.</w:t>
      </w:r>
    </w:p>
    <w:p>
      <w:pPr>
        <w:pStyle w:val="ListParagraph"/>
        <w:numPr>
          <w:ilvl w:val="0"/>
          <w:numId w:val="2"/>
        </w:numPr>
        <w:spacing w:before="40" w:after="40"/>
      </w:pPr>
      <w:r>
        <w:rPr>
          <w:rFonts w:ascii="Arial" w:cs="Arial" w:eastAsia="Arial" w:hAnsi="Arial"/>
          <w:color w:val="1A2332"/>
          <w:sz w:val="18"/>
          <w:szCs w:val="18"/>
        </w:rPr>
        <w:t xml:space="preserve">POST /api/v1/evaluate/async → returns {job_id}. Client polls GET /api/v1/results/{job_id}.</w:t>
      </w:r>
    </w:p>
    <w:p>
      <w:pPr>
        <w:pStyle w:val="ListParagraph"/>
        <w:numPr>
          <w:ilvl w:val="0"/>
          <w:numId w:val="2"/>
        </w:numPr>
        <w:spacing w:before="40" w:after="40"/>
      </w:pPr>
      <w:r>
        <w:rPr>
          <w:rFonts w:ascii="Arial" w:cs="Arial" w:eastAsia="Arial" w:hAnsi="Arial"/>
          <w:color w:val="1A2332"/>
          <w:sz w:val="18"/>
          <w:szCs w:val="18"/>
        </w:rPr>
        <w:t xml:space="preserve">For sync evaluations, run 3+ Uvicorn workers behind Nginx or an AWS load balancer.</w:t>
      </w:r>
    </w:p>
    <w:p>
      <w:pPr>
        <w:pStyle w:val="ListParagraph"/>
        <w:numPr>
          <w:ilvl w:val="0"/>
          <w:numId w:val="2"/>
        </w:numPr>
        <w:spacing w:before="40" w:after="40"/>
      </w:pPr>
      <w:r>
        <w:rPr>
          <w:rFonts w:ascii="Arial" w:cs="Arial" w:eastAsia="Arial" w:hAnsi="Arial"/>
          <w:color w:val="1A2332"/>
          <w:sz w:val="18"/>
          <w:szCs w:val="18"/>
        </w:rPr>
        <w:t xml:space="preserve">Batch endpoint: POST /api/v1/evaluate/batch with array of applications → all queued in one call.</w:t>
      </w:r>
    </w:p>
    <w:p>
      <w:pPr>
        <w:spacing w:before="120" w:after="0"/>
      </w:pPr>
      <w:r>
        <w:t xml:space="preserve"/>
      </w:r>
    </w:p>
    <w:p>
      <w:pPr>
        <w:pStyle w:val="Heading2"/>
        <w:spacing w:before="300" w:after="120"/>
      </w:pPr>
      <w:r>
        <w:rPr>
          <w:rFonts w:ascii="Arial" w:cs="Arial" w:eastAsia="Arial" w:hAnsi="Arial"/>
          <w:b/>
          <w:bCs/>
          <w:color w:val="0D6E8A"/>
          <w:sz w:val="28"/>
          <w:szCs w:val="28"/>
        </w:rPr>
        <w:t xml:space="preserve">4.3  No Rate Limiting (Issue #9)</w:t>
      </w:r>
    </w:p>
    <w:p>
      <w:pPr>
        <w:spacing w:before="80" w:after="80"/>
      </w:pPr>
      <w:r>
        <w:rPr>
          <w:rFonts w:ascii="Arial" w:cs="Arial" w:eastAsia="Arial" w:hAnsi="Arial"/>
          <w:b w:val="false"/>
          <w:bCs w:val="false"/>
          <w:color w:val="1A2332"/>
          <w:sz w:val="20"/>
          <w:szCs w:val="20"/>
        </w:rPr>
        <w:t xml:space="preserve">Without rate limiting, any single tenant can consume 100% of compute resources, causing all other tenants to experience timeouts. In a multi-tenant SaaS serving banks, this is both a reliability and a security problem.</w:t>
      </w:r>
    </w:p>
    <w:p>
      <w:pPr>
        <w:pStyle w:val="ListParagraph"/>
        <w:numPr>
          <w:ilvl w:val="0"/>
          <w:numId w:val="2"/>
        </w:numPr>
        <w:spacing w:before="40" w:after="40"/>
      </w:pPr>
      <w:r>
        <w:rPr>
          <w:rFonts w:ascii="Arial" w:cs="Arial" w:eastAsia="Arial" w:hAnsi="Arial"/>
          <w:color w:val="1A2332"/>
          <w:sz w:val="18"/>
          <w:szCs w:val="18"/>
        </w:rPr>
        <w:t xml:space="preserve">Implement token bucket rate limiting per API key at the gateway level (Kong / AWS API GW).</w:t>
      </w:r>
    </w:p>
    <w:p>
      <w:pPr>
        <w:pStyle w:val="ListParagraph"/>
        <w:numPr>
          <w:ilvl w:val="0"/>
          <w:numId w:val="2"/>
        </w:numPr>
        <w:spacing w:before="40" w:after="40"/>
      </w:pPr>
      <w:r>
        <w:rPr>
          <w:rFonts w:ascii="Arial" w:cs="Arial" w:eastAsia="Arial" w:hAnsi="Arial"/>
          <w:color w:val="1A2332"/>
          <w:sz w:val="18"/>
          <w:szCs w:val="18"/>
        </w:rPr>
        <w:t xml:space="preserve">Plan-tier based limits: Basic plan 100 req/min, Standard 500 req/min, Enterprise unlimited.</w:t>
      </w:r>
    </w:p>
    <w:p>
      <w:pPr>
        <w:pStyle w:val="ListParagraph"/>
        <w:numPr>
          <w:ilvl w:val="0"/>
          <w:numId w:val="2"/>
        </w:numPr>
        <w:spacing w:before="40" w:after="40"/>
      </w:pPr>
      <w:r>
        <w:rPr>
          <w:rFonts w:ascii="Arial" w:cs="Arial" w:eastAsia="Arial" w:hAnsi="Arial"/>
          <w:color w:val="1A2332"/>
          <w:sz w:val="18"/>
          <w:szCs w:val="18"/>
        </w:rPr>
        <w:t xml:space="preserve">Return Retry-After header on 429 responses — clients can implement backoff correctly.</w:t>
      </w:r>
    </w:p>
    <w:p>
      <w:pPr>
        <w:pStyle w:val="ListParagraph"/>
        <w:numPr>
          <w:ilvl w:val="0"/>
          <w:numId w:val="2"/>
        </w:numPr>
        <w:spacing w:before="40" w:after="40"/>
      </w:pPr>
      <w:r>
        <w:rPr>
          <w:rFonts w:ascii="Arial" w:cs="Arial" w:eastAsia="Arial" w:hAnsi="Arial"/>
          <w:color w:val="1A2332"/>
          <w:sz w:val="18"/>
          <w:szCs w:val="18"/>
        </w:rPr>
        <w:t xml:space="preserve">Track rate limit usage in Redis — atomic INCR + EXPIRE operations are lock-free and fast.</w:t>
      </w:r>
    </w:p>
    <w:p>
      <w:pPr>
        <w:spacing w:before="120" w:after="0"/>
      </w:pPr>
      <w:r>
        <w:t xml:space="preserve"/>
      </w:r>
    </w:p>
    <w:p>
      <w:pPr>
        <w:pStyle w:val="Heading2"/>
        <w:spacing w:before="300" w:after="120"/>
      </w:pPr>
      <w:r>
        <w:rPr>
          <w:rFonts w:ascii="Arial" w:cs="Arial" w:eastAsia="Arial" w:hAnsi="Arial"/>
          <w:b/>
          <w:bCs/>
          <w:color w:val="0D6E8A"/>
          <w:sz w:val="28"/>
          <w:szCs w:val="28"/>
        </w:rPr>
        <w:t xml:space="preserve">4.4  Hardcoded Variable Templates (Issue #10)</w:t>
      </w:r>
    </w:p>
    <w:p>
      <w:pPr>
        <w:spacing w:before="80" w:after="80"/>
      </w:pPr>
      <w:r>
        <w:rPr>
          <w:rFonts w:ascii="Arial" w:cs="Arial" w:eastAsia="Arial" w:hAnsi="Arial"/>
          <w:b w:val="false"/>
          <w:bCs w:val="false"/>
          <w:color w:val="1A2332"/>
          <w:sz w:val="20"/>
          <w:szCs w:val="20"/>
        </w:rPr>
        <w:t xml:space="preserve">All 119 variable templates are defined in variable_templates.py as Python code. Adding, modifying, or disabling a variable requires a code deployment. This is a major extensibility problem for a SaaS.</w:t>
      </w:r>
    </w:p>
    <w:p>
      <w:pPr>
        <w:pStyle w:val="ListParagraph"/>
        <w:numPr>
          <w:ilvl w:val="0"/>
          <w:numId w:val="2"/>
        </w:numPr>
        <w:spacing w:before="40" w:after="40"/>
      </w:pPr>
      <w:r>
        <w:rPr>
          <w:rFonts w:ascii="Arial" w:cs="Arial" w:eastAsia="Arial" w:hAnsi="Arial"/>
          <w:color w:val="1A2332"/>
          <w:sz w:val="18"/>
          <w:szCs w:val="18"/>
        </w:rPr>
        <w:t xml:space="preserve">Migrate variable templates to the database (variable_templates table with a params JSONB column).</w:t>
      </w:r>
    </w:p>
    <w:p>
      <w:pPr>
        <w:pStyle w:val="ListParagraph"/>
        <w:numPr>
          <w:ilvl w:val="0"/>
          <w:numId w:val="2"/>
        </w:numPr>
        <w:spacing w:before="40" w:after="40"/>
      </w:pPr>
      <w:r>
        <w:rPr>
          <w:rFonts w:ascii="Arial" w:cs="Arial" w:eastAsia="Arial" w:hAnsi="Arial"/>
          <w:color w:val="1A2332"/>
          <w:sz w:val="18"/>
          <w:szCs w:val="18"/>
        </w:rPr>
        <w:t xml:space="preserve">The computation engine maps logic_type strings to Python functions — this mapping stays in code.</w:t>
      </w:r>
    </w:p>
    <w:p>
      <w:pPr>
        <w:pStyle w:val="ListParagraph"/>
        <w:numPr>
          <w:ilvl w:val="0"/>
          <w:numId w:val="2"/>
        </w:numPr>
        <w:spacing w:before="40" w:after="40"/>
      </w:pPr>
      <w:r>
        <w:rPr>
          <w:rFonts w:ascii="Arial" w:cs="Arial" w:eastAsia="Arial" w:hAnsi="Arial"/>
          <w:color w:val="1A2332"/>
          <w:sz w:val="18"/>
          <w:szCs w:val="18"/>
        </w:rPr>
        <w:t xml:space="preserve">Template metadata (name, group, description, params schema) becomes database-managed.</w:t>
      </w:r>
    </w:p>
    <w:p>
      <w:pPr>
        <w:pStyle w:val="ListParagraph"/>
        <w:numPr>
          <w:ilvl w:val="0"/>
          <w:numId w:val="2"/>
        </w:numPr>
        <w:spacing w:before="40" w:after="40"/>
      </w:pPr>
      <w:r>
        <w:rPr>
          <w:rFonts w:ascii="Arial" w:cs="Arial" w:eastAsia="Arial" w:hAnsi="Arial"/>
          <w:color w:val="1A2332"/>
          <w:sz w:val="18"/>
          <w:szCs w:val="18"/>
        </w:rPr>
        <w:t xml:space="preserve">Enables: per-tenant custom variables (premium feature), template versioning, and admin UI management.</w:t>
      </w:r>
    </w:p>
    <w:p>
      <w:pPr>
        <w:pStyle w:val="ListParagraph"/>
        <w:numPr>
          <w:ilvl w:val="0"/>
          <w:numId w:val="2"/>
        </w:numPr>
        <w:spacing w:before="40" w:after="40"/>
      </w:pPr>
      <w:r>
        <w:rPr>
          <w:rFonts w:ascii="Arial" w:cs="Arial" w:eastAsia="Arial" w:hAnsi="Arial"/>
          <w:color w:val="1A2332"/>
          <w:sz w:val="18"/>
          <w:szCs w:val="18"/>
        </w:rPr>
        <w:t xml:space="preserve">Banks may need jurisdiction-specific or product-specific variables — this unlocks that capability.</w:t>
      </w:r>
    </w:p>
    <w:p>
      <w:pPr>
        <w:spacing w:before="120" w:after="0"/>
      </w:pPr>
      <w:r>
        <w:t xml:space="preserve"/>
      </w:r>
    </w:p>
    <w:p>
      <w:pPr>
        <w:pStyle w:val="Heading2"/>
        <w:spacing w:before="300" w:after="120"/>
      </w:pPr>
      <w:r>
        <w:rPr>
          <w:rFonts w:ascii="Arial" w:cs="Arial" w:eastAsia="Arial" w:hAnsi="Arial"/>
          <w:b/>
          <w:bCs/>
          <w:color w:val="0D6E8A"/>
          <w:sz w:val="28"/>
          <w:szCs w:val="28"/>
        </w:rPr>
        <w:t xml:space="preserve">4.5  No Input Validation on Bureau Data (Issue #11)</w:t>
      </w:r>
    </w:p>
    <w:p>
      <w:pPr>
        <w:spacing w:before="80" w:after="80"/>
      </w:pPr>
      <w:r>
        <w:rPr>
          <w:rFonts w:ascii="Arial" w:cs="Arial" w:eastAsia="Arial" w:hAnsi="Arial"/>
          <w:b w:val="false"/>
          <w:bCs w:val="false"/>
          <w:color w:val="1A2332"/>
          <w:sz w:val="20"/>
          <w:szCs w:val="20"/>
        </w:rPr>
        <w:t xml:space="preserve">Repayment history strings are parsed without validating format, length, or character set. A malformed string (wrong length, unexpected characters) could cause silent wrong results or unhandled exceptions.</w:t>
      </w:r>
    </w:p>
    <w:p>
      <w:pPr>
        <w:pStyle w:val="ListParagraph"/>
        <w:numPr>
          <w:ilvl w:val="0"/>
          <w:numId w:val="2"/>
        </w:numPr>
        <w:spacing w:before="40" w:after="40"/>
      </w:pPr>
      <w:r>
        <w:rPr>
          <w:rFonts w:ascii="Arial" w:cs="Arial" w:eastAsia="Arial" w:hAnsi="Arial"/>
          <w:color w:val="1A2332"/>
          <w:sz w:val="18"/>
          <w:szCs w:val="18"/>
        </w:rPr>
        <w:t xml:space="preserve">Validate repayment_history: must be a string of 3-char blocks, each block must be 000-999 or a known alpha code.</w:t>
      </w:r>
    </w:p>
    <w:p>
      <w:pPr>
        <w:pStyle w:val="ListParagraph"/>
        <w:numPr>
          <w:ilvl w:val="0"/>
          <w:numId w:val="2"/>
        </w:numPr>
        <w:spacing w:before="40" w:after="40"/>
      </w:pPr>
      <w:r>
        <w:rPr>
          <w:rFonts w:ascii="Arial" w:cs="Arial" w:eastAsia="Arial" w:hAnsi="Arial"/>
          <w:color w:val="1A2332"/>
          <w:sz w:val="18"/>
          <w:szCs w:val="18"/>
        </w:rPr>
        <w:t xml:space="preserve">Validate date fields: reported_date cannot be in the future; loan_disb_date cannot be after bureau_pull_date.</w:t>
      </w:r>
    </w:p>
    <w:p>
      <w:pPr>
        <w:pStyle w:val="ListParagraph"/>
        <w:numPr>
          <w:ilvl w:val="0"/>
          <w:numId w:val="2"/>
        </w:numPr>
        <w:spacing w:before="40" w:after="40"/>
      </w:pPr>
      <w:r>
        <w:rPr>
          <w:rFonts w:ascii="Arial" w:cs="Arial" w:eastAsia="Arial" w:hAnsi="Arial"/>
          <w:color w:val="1A2332"/>
          <w:sz w:val="18"/>
          <w:szCs w:val="18"/>
        </w:rPr>
        <w:t xml:space="preserve">Validate amounts: loan_disb_amt, loan_outstanding_bal cannot be negative.</w:t>
      </w:r>
    </w:p>
    <w:p>
      <w:pPr>
        <w:pStyle w:val="ListParagraph"/>
        <w:numPr>
          <w:ilvl w:val="0"/>
          <w:numId w:val="2"/>
        </w:numPr>
        <w:spacing w:before="40" w:after="40"/>
      </w:pPr>
      <w:r>
        <w:rPr>
          <w:rFonts w:ascii="Arial" w:cs="Arial" w:eastAsia="Arial" w:hAnsi="Arial"/>
          <w:color w:val="1A2332"/>
          <w:sz w:val="18"/>
          <w:szCs w:val="18"/>
        </w:rPr>
        <w:t xml:space="preserve">Return structured validation errors (422 with field-level details) — don't silently skip bad data.</w:t>
      </w:r>
    </w:p>
    <w:p>
      <w:pPr>
        <w:spacing w:before="120" w:after="0"/>
      </w:pPr>
      <w:r>
        <w:t xml:space="preserve"/>
      </w:r>
    </w:p>
    <w:p>
      <w:pPr>
        <w:pStyle w:val="Heading2"/>
        <w:spacing w:before="300" w:after="120"/>
      </w:pPr>
      <w:r>
        <w:rPr>
          <w:rFonts w:ascii="Arial" w:cs="Arial" w:eastAsia="Arial" w:hAnsi="Arial"/>
          <w:b/>
          <w:bCs/>
          <w:color w:val="0D6E8A"/>
          <w:sz w:val="28"/>
          <w:szCs w:val="28"/>
        </w:rPr>
        <w:t xml:space="preserve">4.6  No API Versioning Strategy (Issue #12)</w:t>
      </w:r>
    </w:p>
    <w:p>
      <w:pPr>
        <w:spacing w:before="80" w:after="80"/>
      </w:pPr>
      <w:r>
        <w:rPr>
          <w:rFonts w:ascii="Arial" w:cs="Arial" w:eastAsia="Arial" w:hAnsi="Arial"/>
          <w:b w:val="false"/>
          <w:bCs w:val="false"/>
          <w:color w:val="1A2332"/>
          <w:sz w:val="20"/>
          <w:szCs w:val="20"/>
        </w:rPr>
        <w:t xml:space="preserve">The API uses /api/v1/ as a prefix but has no strategy for evolving it. When you need to change a response schema or computation logic, all banks on v1 break simultaneously.</w:t>
      </w:r>
    </w:p>
    <w:p>
      <w:pPr>
        <w:pStyle w:val="ListParagraph"/>
        <w:numPr>
          <w:ilvl w:val="0"/>
          <w:numId w:val="2"/>
        </w:numPr>
        <w:spacing w:before="40" w:after="40"/>
      </w:pPr>
      <w:r>
        <w:rPr>
          <w:rFonts w:ascii="Arial" w:cs="Arial" w:eastAsia="Arial" w:hAnsi="Arial"/>
          <w:color w:val="1A2332"/>
          <w:sz w:val="18"/>
          <w:szCs w:val="18"/>
        </w:rPr>
        <w:t xml:space="preserve">Define a strict deprecation policy: v1 supported for minimum 12 months after v2 release.</w:t>
      </w:r>
    </w:p>
    <w:p>
      <w:pPr>
        <w:pStyle w:val="ListParagraph"/>
        <w:numPr>
          <w:ilvl w:val="0"/>
          <w:numId w:val="2"/>
        </w:numPr>
        <w:spacing w:before="40" w:after="40"/>
      </w:pPr>
      <w:r>
        <w:rPr>
          <w:rFonts w:ascii="Arial" w:cs="Arial" w:eastAsia="Arial" w:hAnsi="Arial"/>
          <w:color w:val="1A2332"/>
          <w:sz w:val="18"/>
          <w:szCs w:val="18"/>
        </w:rPr>
        <w:t xml:space="preserve">Use Accept-Version header or URL versioning (/api/v2/) — URL versioning is simpler for bank integration teams.</w:t>
      </w:r>
    </w:p>
    <w:p>
      <w:pPr>
        <w:pStyle w:val="ListParagraph"/>
        <w:numPr>
          <w:ilvl w:val="0"/>
          <w:numId w:val="2"/>
        </w:numPr>
        <w:spacing w:before="40" w:after="40"/>
      </w:pPr>
      <w:r>
        <w:rPr>
          <w:rFonts w:ascii="Arial" w:cs="Arial" w:eastAsia="Arial" w:hAnsi="Arial"/>
          <w:color w:val="1A2332"/>
          <w:sz w:val="18"/>
          <w:szCs w:val="18"/>
        </w:rPr>
        <w:t xml:space="preserve">Maintain a changelog — banks require advance notice of any API changes.</w:t>
      </w:r>
    </w:p>
    <w:p>
      <w:pPr>
        <w:pStyle w:val="ListParagraph"/>
        <w:numPr>
          <w:ilvl w:val="0"/>
          <w:numId w:val="2"/>
        </w:numPr>
        <w:spacing w:before="40" w:after="40"/>
      </w:pPr>
      <w:r>
        <w:rPr>
          <w:rFonts w:ascii="Arial" w:cs="Arial" w:eastAsia="Arial" w:hAnsi="Arial"/>
          <w:color w:val="1A2332"/>
          <w:sz w:val="18"/>
          <w:szCs w:val="18"/>
        </w:rPr>
        <w:t xml:space="preserve">Consider using OpenAPI spec as the contract — auto-generate client SDKs for banks.</w:t>
      </w:r>
    </w:p>
    <w:p>
      <w:r>
        <w:br w:type="page"/>
      </w:r>
    </w:p>
    <w:p>
      <w:pPr>
        <w:pStyle w:val="Heading1"/>
        <w:pBdr>
          <w:bottom w:val="single" w:color="0D6E8A" w:sz="8" w:space="4"/>
        </w:pBdr>
        <w:spacing w:before="400" w:after="200"/>
      </w:pPr>
      <w:r>
        <w:rPr>
          <w:rFonts w:ascii="Arial" w:cs="Arial" w:eastAsia="Arial" w:hAnsi="Arial"/>
          <w:b/>
          <w:bCs/>
          <w:color w:val="1A2332"/>
          <w:sz w:val="38"/>
          <w:szCs w:val="38"/>
        </w:rPr>
        <w:t xml:space="preserve">5. Architectural Strengths — What to Preserve</w:t>
      </w:r>
    </w:p>
    <w:p>
      <w:pPr>
        <w:spacing w:before="80" w:after="80"/>
      </w:pPr>
      <w:r>
        <w:rPr>
          <w:rFonts w:ascii="Arial" w:cs="Arial" w:eastAsia="Arial" w:hAnsi="Arial"/>
          <w:b w:val="false"/>
          <w:bCs w:val="false"/>
          <w:color w:val="1A2332"/>
          <w:sz w:val="20"/>
          <w:szCs w:val="20"/>
        </w:rPr>
        <w:t xml:space="preserve">These design decisions are correct and should be carried forward into the production architecture without change:</w:t>
      </w:r>
    </w:p>
    <w:p>
      <w:pPr>
        <w:spacing w:before="100" w:after="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500"/>
        <w:gridCol w:w="5960"/>
      </w:tblGrid>
      <w:tr>
        <w:trPr>
          <w:tblHeader/>
        </w:trPr>
        <w:tc>
          <w:tcPr>
            <w:tcW w:type="dxa" w:w="250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Strength</w:t>
            </w:r>
          </w:p>
        </w:tc>
        <w:tc>
          <w:tcPr>
            <w:tcW w:type="dxa" w:w="596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It Matters for SaaS</w:t>
            </w:r>
          </w:p>
        </w:tc>
      </w:tr>
      <w:tr>
        <w:tc>
          <w:tcPr>
            <w:tcW w:type="dxa" w:w="25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left"/>
            </w:pPr>
            <w:r>
              <w:rPr>
                <w:rFonts w:ascii="Arial" w:cs="Arial" w:eastAsia="Arial" w:hAnsi="Arial"/>
                <w:b/>
                <w:bCs/>
                <w:color w:val="1A7A4A"/>
                <w:sz w:val="16"/>
                <w:szCs w:val="16"/>
              </w:rPr>
              <w:t xml:space="preserve">4-layer pipeline design</w:t>
            </w:r>
          </w:p>
        </w:tc>
        <w:tc>
          <w:tcPr>
            <w:tcW w:type="dxa" w:w="59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Normalize → Compute → Evaluate → Score is clean, testable, and extensible. Each layer can be independently swapped.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7A4A"/>
                <w:sz w:val="16"/>
                <w:szCs w:val="16"/>
              </w:rPr>
              <w:t xml:space="preserve">Parse-once repayment history</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Pre-parsing DPD strings in the normalizer (not per-rule) is the correct architectural decision — eliminates O(n×rules) re-parsing.</w:t>
            </w:r>
          </w:p>
        </w:tc>
      </w:tr>
      <w:tr>
        <w:tc>
          <w:tcPr>
            <w:tcW w:type="dxa" w:w="25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left"/>
            </w:pPr>
            <w:r>
              <w:rPr>
                <w:rFonts w:ascii="Arial" w:cs="Arial" w:eastAsia="Arial" w:hAnsi="Arial"/>
                <w:b/>
                <w:bCs/>
                <w:color w:val="1A7A4A"/>
                <w:sz w:val="16"/>
                <w:szCs w:val="16"/>
              </w:rPr>
              <w:t xml:space="preserve">22 logic types cover most credit use cases</w:t>
            </w:r>
          </w:p>
        </w:tc>
        <w:tc>
          <w:tcPr>
            <w:tcW w:type="dxa" w:w="59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The existing computation functions cover DPD, enquiry, vintage, CC utilization, write-offs, and ratios — solid coverage for Indian credit bureau data.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7A4A"/>
                <w:sz w:val="16"/>
                <w:szCs w:val="16"/>
              </w:rPr>
              <w:t xml:space="preserve">Multi-tenant config model</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Per-company rules, thresholds, and score bands in a shared library of 119 templates is a well-designed SaaS data model.</w:t>
            </w:r>
          </w:p>
        </w:tc>
      </w:tr>
      <w:tr>
        <w:tc>
          <w:tcPr>
            <w:tcW w:type="dxa" w:w="25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left"/>
            </w:pPr>
            <w:r>
              <w:rPr>
                <w:rFonts w:ascii="Arial" w:cs="Arial" w:eastAsia="Arial" w:hAnsi="Arial"/>
                <w:b/>
                <w:bCs/>
                <w:color w:val="1A7A4A"/>
                <w:sz w:val="16"/>
                <w:szCs w:val="16"/>
              </w:rPr>
              <w:t xml:space="preserve">Hard reject concept</w:t>
            </w:r>
          </w:p>
        </w:tc>
        <w:tc>
          <w:tcPr>
            <w:tcW w:type="dxa" w:w="59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Allowing rules to immediately reject an application regardless of score is critical for regulatory compliance (e.g., active NPA = auto-reject).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7A4A"/>
                <w:sz w:val="16"/>
                <w:szCs w:val="16"/>
              </w:rPr>
              <w:t xml:space="preserve">BETWEEN / IN / NOT_IN operators</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Most credit rule engines only support simple comparisons. Having BETWEEN and set operators handles complex credit policy without code changes.</w:t>
            </w:r>
          </w:p>
        </w:tc>
      </w:tr>
      <w:tr>
        <w:tc>
          <w:tcPr>
            <w:tcW w:type="dxa" w:w="25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left"/>
            </w:pPr>
            <w:r>
              <w:rPr>
                <w:rFonts w:ascii="Arial" w:cs="Arial" w:eastAsia="Arial" w:hAnsi="Arial"/>
                <w:b/>
                <w:bCs/>
                <w:color w:val="1A7A4A"/>
                <w:sz w:val="16"/>
                <w:szCs w:val="16"/>
              </w:rPr>
              <w:t xml:space="preserve">Pydantic input models</w:t>
            </w:r>
          </w:p>
        </w:tc>
        <w:tc>
          <w:tcPr>
            <w:tcW w:type="dxa" w:w="59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Using Pydantic for request validation is the right foundation — provides type safety and auto-documentation via Swagger.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7A4A"/>
                <w:sz w:val="16"/>
                <w:szCs w:val="16"/>
              </w:rPr>
              <w:t xml:space="preserve">Separation of computed vs. raw data</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Returning both computed_variables and rule_results in the API response enables client-side debugging without re-submission.</w:t>
            </w:r>
          </w:p>
        </w:tc>
      </w:tr>
    </w:tbl>
    <w:p>
      <w:r>
        <w:br w:type="page"/>
      </w:r>
    </w:p>
    <w:p>
      <w:pPr>
        <w:pStyle w:val="Heading1"/>
        <w:pBdr>
          <w:bottom w:val="single" w:color="0D6E8A" w:sz="8" w:space="4"/>
        </w:pBdr>
        <w:spacing w:before="400" w:after="200"/>
      </w:pPr>
      <w:r>
        <w:rPr>
          <w:rFonts w:ascii="Arial" w:cs="Arial" w:eastAsia="Arial" w:hAnsi="Arial"/>
          <w:b/>
          <w:bCs/>
          <w:color w:val="1A2332"/>
          <w:sz w:val="38"/>
          <w:szCs w:val="38"/>
        </w:rPr>
        <w:t xml:space="preserve">6. Target SaaS Architecture</w:t>
      </w:r>
    </w:p>
    <w:p>
      <w:pPr>
        <w:spacing w:before="80" w:after="80"/>
      </w:pPr>
      <w:r>
        <w:rPr>
          <w:rFonts w:ascii="Arial" w:cs="Arial" w:eastAsia="Arial" w:hAnsi="Arial"/>
          <w:b w:val="false"/>
          <w:bCs w:val="false"/>
          <w:color w:val="1A2332"/>
          <w:sz w:val="20"/>
          <w:szCs w:val="20"/>
        </w:rPr>
        <w:t xml:space="preserve">The following architecture addresses all identified issues while preserving the strong computation engine core:</w:t>
      </w:r>
    </w:p>
    <w:p>
      <w:pPr>
        <w:spacing w:before="100" w:after="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260"/>
      </w:tblGrid>
      <w:tr>
        <w:trPr>
          <w:tblHeader/>
        </w:trPr>
        <w:tc>
          <w:tcPr>
            <w:tcW w:type="dxa" w:w="180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220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Technology</w:t>
            </w:r>
          </w:p>
        </w:tc>
        <w:tc>
          <w:tcPr>
            <w:tcW w:type="dxa" w:w="220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Responsibility</w:t>
            </w:r>
          </w:p>
        </w:tc>
        <w:tc>
          <w:tcPr>
            <w:tcW w:type="dxa" w:w="226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It Matters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API Gateway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Kong / AWS API GW</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Auth, rate limiting, routing, TLS termination</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Shields all internal services</w:t>
            </w:r>
          </w:p>
        </w:tc>
      </w:tr>
      <w:tr>
        <w:tc>
          <w:tcPr>
            <w:tcW w:type="dxa" w:w="1800"/>
            <w:tcBorders>
              <w:top w:val="single" w:color="CCCCCC" w:sz="1"/>
              <w:left w:val="single" w:color="CCCCCC" w:sz="1"/>
              <w:bottom w:val="single" w:color="CCCCCC" w:sz="1"/>
              <w:right w:val="single" w:color="CCCCCC" w:sz="1"/>
            </w:tcBorders>
            <w:shd w:fill="E6F4F8" w:val="clear"/>
            <w:tcMar>
              <w:top w:type="dxa" w:w="60"/>
              <w:left w:type="dxa" w:w="120"/>
              <w:bottom w:type="dxa" w:w="60"/>
              <w:right w:type="dxa" w:w="120"/>
            </w:tcMar>
          </w:tcPr>
          <w:p>
            <w:pPr>
              <w:jc w:val="left"/>
            </w:pPr>
            <w:r>
              <w:rPr>
                <w:rFonts w:ascii="Arial" w:cs="Arial" w:eastAsia="Arial" w:hAnsi="Arial"/>
                <w:b/>
                <w:bCs/>
                <w:color w:val="1A2332"/>
                <w:sz w:val="16"/>
                <w:szCs w:val="16"/>
              </w:rPr>
              <w:t xml:space="preserve">Auth Service</w:t>
            </w:r>
          </w:p>
        </w:tc>
        <w:tc>
          <w:tcPr>
            <w:tcW w:type="dxa" w:w="2200"/>
            <w:tcBorders>
              <w:top w:val="single" w:color="CCCCCC" w:sz="1"/>
              <w:left w:val="single" w:color="CCCCCC" w:sz="1"/>
              <w:bottom w:val="single" w:color="CCCCCC" w:sz="1"/>
              <w:right w:val="single" w:color="CCCCCC" w:sz="1"/>
            </w:tcBorders>
            <w:shd w:fill="E6F4F8"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Keycloak / Auth0</w:t>
            </w:r>
          </w:p>
        </w:tc>
        <w:tc>
          <w:tcPr>
            <w:tcW w:type="dxa" w:w="2200"/>
            <w:tcBorders>
              <w:top w:val="single" w:color="CCCCCC" w:sz="1"/>
              <w:left w:val="single" w:color="CCCCCC" w:sz="1"/>
              <w:bottom w:val="single" w:color="CCCCCC" w:sz="1"/>
              <w:right w:val="single" w:color="CCCCCC" w:sz="1"/>
            </w:tcBorders>
            <w:shd w:fill="E6F4F8"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OAuth2, JWT, API keys, RBAC, tenant isolation</w:t>
            </w:r>
          </w:p>
        </w:tc>
        <w:tc>
          <w:tcPr>
            <w:tcW w:type="dxa" w:w="2260"/>
            <w:tcBorders>
              <w:top w:val="single" w:color="CCCCCC" w:sz="1"/>
              <w:left w:val="single" w:color="CCCCCC" w:sz="1"/>
              <w:bottom w:val="single" w:color="CCCCCC" w:sz="1"/>
              <w:right w:val="single" w:color="CCCCCC" w:sz="1"/>
            </w:tcBorders>
            <w:shd w:fill="E6F4F8"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Per-company scoped tokens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Evaluation API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FastAPI (3 replicas)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Bureau ingestion, normalization, compute, evaluate</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Horizontal scalability</w:t>
            </w:r>
          </w:p>
        </w:tc>
      </w:tr>
      <w:tr>
        <w:tc>
          <w:tcPr>
            <w:tcW w:type="dxa" w:w="1800"/>
            <w:tcBorders>
              <w:top w:val="single" w:color="CCCCCC" w:sz="1"/>
              <w:left w:val="single" w:color="CCCCCC" w:sz="1"/>
              <w:bottom w:val="single" w:color="CCCCCC" w:sz="1"/>
              <w:right w:val="single" w:color="CCCCCC" w:sz="1"/>
            </w:tcBorders>
            <w:shd w:fill="E6F4F8" w:val="clear"/>
            <w:tcMar>
              <w:top w:type="dxa" w:w="60"/>
              <w:left w:type="dxa" w:w="120"/>
              <w:bottom w:type="dxa" w:w="60"/>
              <w:right w:type="dxa" w:w="120"/>
            </w:tcMar>
          </w:tcPr>
          <w:p>
            <w:pPr>
              <w:jc w:val="left"/>
            </w:pPr>
            <w:r>
              <w:rPr>
                <w:rFonts w:ascii="Arial" w:cs="Arial" w:eastAsia="Arial" w:hAnsi="Arial"/>
                <w:b/>
                <w:bCs/>
                <w:color w:val="1A2332"/>
                <w:sz w:val="16"/>
                <w:szCs w:val="16"/>
              </w:rPr>
              <w:t xml:space="preserve">Job Queue</w:t>
            </w:r>
          </w:p>
        </w:tc>
        <w:tc>
          <w:tcPr>
            <w:tcW w:type="dxa" w:w="2200"/>
            <w:tcBorders>
              <w:top w:val="single" w:color="CCCCCC" w:sz="1"/>
              <w:left w:val="single" w:color="CCCCCC" w:sz="1"/>
              <w:bottom w:val="single" w:color="CCCCCC" w:sz="1"/>
              <w:right w:val="single" w:color="CCCCCC" w:sz="1"/>
            </w:tcBorders>
            <w:shd w:fill="E6F4F8"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Celery + Redis</w:t>
            </w:r>
          </w:p>
        </w:tc>
        <w:tc>
          <w:tcPr>
            <w:tcW w:type="dxa" w:w="2200"/>
            <w:tcBorders>
              <w:top w:val="single" w:color="CCCCCC" w:sz="1"/>
              <w:left w:val="single" w:color="CCCCCC" w:sz="1"/>
              <w:bottom w:val="single" w:color="CCCCCC" w:sz="1"/>
              <w:right w:val="single" w:color="CCCCCC" w:sz="1"/>
            </w:tcBorders>
            <w:shd w:fill="E6F4F8"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Async batch evaluation, retry logic, priority queues</w:t>
            </w:r>
          </w:p>
        </w:tc>
        <w:tc>
          <w:tcPr>
            <w:tcW w:type="dxa" w:w="2260"/>
            <w:tcBorders>
              <w:top w:val="single" w:color="CCCCCC" w:sz="1"/>
              <w:left w:val="single" w:color="CCCCCC" w:sz="1"/>
              <w:bottom w:val="single" w:color="CCCCCC" w:sz="1"/>
              <w:right w:val="single" w:color="CCCCCC" w:sz="1"/>
            </w:tcBorders>
            <w:shd w:fill="E6F4F8"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Non-blocking bulk processing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Cache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Redis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Computed variable cache, session cache, config cache</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Eliminates redundant computation</w:t>
            </w:r>
          </w:p>
        </w:tc>
      </w:tr>
      <w:tr>
        <w:tc>
          <w:tcPr>
            <w:tcW w:type="dxa" w:w="1800"/>
            <w:tcBorders>
              <w:top w:val="single" w:color="CCCCCC" w:sz="1"/>
              <w:left w:val="single" w:color="CCCCCC" w:sz="1"/>
              <w:bottom w:val="single" w:color="CCCCCC" w:sz="1"/>
              <w:right w:val="single" w:color="CCCCCC" w:sz="1"/>
            </w:tcBorders>
            <w:shd w:fill="E6F4F8" w:val="clear"/>
            <w:tcMar>
              <w:top w:type="dxa" w:w="60"/>
              <w:left w:type="dxa" w:w="120"/>
              <w:bottom w:type="dxa" w:w="60"/>
              <w:right w:type="dxa" w:w="120"/>
            </w:tcMar>
          </w:tcPr>
          <w:p>
            <w:pPr>
              <w:jc w:val="left"/>
            </w:pPr>
            <w:r>
              <w:rPr>
                <w:rFonts w:ascii="Arial" w:cs="Arial" w:eastAsia="Arial" w:hAnsi="Arial"/>
                <w:b/>
                <w:bCs/>
                <w:color w:val="1A2332"/>
                <w:sz w:val="16"/>
                <w:szCs w:val="16"/>
              </w:rPr>
              <w:t xml:space="preserve">Primary DB</w:t>
            </w:r>
          </w:p>
        </w:tc>
        <w:tc>
          <w:tcPr>
            <w:tcW w:type="dxa" w:w="2200"/>
            <w:tcBorders>
              <w:top w:val="single" w:color="CCCCCC" w:sz="1"/>
              <w:left w:val="single" w:color="CCCCCC" w:sz="1"/>
              <w:bottom w:val="single" w:color="CCCCCC" w:sz="1"/>
              <w:right w:val="single" w:color="CCCCCC" w:sz="1"/>
            </w:tcBorders>
            <w:shd w:fill="E6F4F8"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PostgreSQL 15</w:t>
            </w:r>
          </w:p>
        </w:tc>
        <w:tc>
          <w:tcPr>
            <w:tcW w:type="dxa" w:w="2200"/>
            <w:tcBorders>
              <w:top w:val="single" w:color="CCCCCC" w:sz="1"/>
              <w:left w:val="single" w:color="CCCCCC" w:sz="1"/>
              <w:bottom w:val="single" w:color="CCCCCC" w:sz="1"/>
              <w:right w:val="single" w:color="CCCCCC" w:sz="1"/>
            </w:tcBorders>
            <w:shd w:fill="E6F4F8"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Rules, audit logs, evaluation results, companies</w:t>
            </w:r>
          </w:p>
        </w:tc>
        <w:tc>
          <w:tcPr>
            <w:tcW w:type="dxa" w:w="2260"/>
            <w:tcBorders>
              <w:top w:val="single" w:color="CCCCCC" w:sz="1"/>
              <w:left w:val="single" w:color="CCCCCC" w:sz="1"/>
              <w:bottom w:val="single" w:color="CCCCCC" w:sz="1"/>
              <w:right w:val="single" w:color="CCCCCC" w:sz="1"/>
            </w:tcBorders>
            <w:shd w:fill="E6F4F8"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ACID, RLS tenant isolation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Config Store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PostgreSQL + Redis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Variable templates, company configs, score bands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Replaces config.json</w:t>
            </w:r>
          </w:p>
        </w:tc>
      </w:tr>
      <w:tr>
        <w:tc>
          <w:tcPr>
            <w:tcW w:type="dxa" w:w="1800"/>
            <w:tcBorders>
              <w:top w:val="single" w:color="CCCCCC" w:sz="1"/>
              <w:left w:val="single" w:color="CCCCCC" w:sz="1"/>
              <w:bottom w:val="single" w:color="CCCCCC" w:sz="1"/>
              <w:right w:val="single" w:color="CCCCCC" w:sz="1"/>
            </w:tcBorders>
            <w:shd w:fill="E6F4F8" w:val="clear"/>
            <w:tcMar>
              <w:top w:type="dxa" w:w="60"/>
              <w:left w:type="dxa" w:w="120"/>
              <w:bottom w:type="dxa" w:w="60"/>
              <w:right w:type="dxa" w:w="120"/>
            </w:tcMar>
          </w:tcPr>
          <w:p>
            <w:pPr>
              <w:jc w:val="left"/>
            </w:pPr>
            <w:r>
              <w:rPr>
                <w:rFonts w:ascii="Arial" w:cs="Arial" w:eastAsia="Arial" w:hAnsi="Arial"/>
                <w:b/>
                <w:bCs/>
                <w:color w:val="1A2332"/>
                <w:sz w:val="16"/>
                <w:szCs w:val="16"/>
              </w:rPr>
              <w:t xml:space="preserve">Secret Store</w:t>
            </w:r>
          </w:p>
        </w:tc>
        <w:tc>
          <w:tcPr>
            <w:tcW w:type="dxa" w:w="2200"/>
            <w:tcBorders>
              <w:top w:val="single" w:color="CCCCCC" w:sz="1"/>
              <w:left w:val="single" w:color="CCCCCC" w:sz="1"/>
              <w:bottom w:val="single" w:color="CCCCCC" w:sz="1"/>
              <w:right w:val="single" w:color="CCCCCC" w:sz="1"/>
            </w:tcBorders>
            <w:shd w:fill="E6F4F8"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HashiCorp Vault / AWS SM</w:t>
            </w:r>
          </w:p>
        </w:tc>
        <w:tc>
          <w:tcPr>
            <w:tcW w:type="dxa" w:w="2200"/>
            <w:tcBorders>
              <w:top w:val="single" w:color="CCCCCC" w:sz="1"/>
              <w:left w:val="single" w:color="CCCCCC" w:sz="1"/>
              <w:bottom w:val="single" w:color="CCCCCC" w:sz="1"/>
              <w:right w:val="single" w:color="CCCCCC" w:sz="1"/>
            </w:tcBorders>
            <w:shd w:fill="E6F4F8"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DB passwords, API keys, encryption keys</w:t>
            </w:r>
          </w:p>
        </w:tc>
        <w:tc>
          <w:tcPr>
            <w:tcW w:type="dxa" w:w="2260"/>
            <w:tcBorders>
              <w:top w:val="single" w:color="CCCCCC" w:sz="1"/>
              <w:left w:val="single" w:color="CCCCCC" w:sz="1"/>
              <w:bottom w:val="single" w:color="CCCCCC" w:sz="1"/>
              <w:right w:val="single" w:color="CCCCCC" w:sz="1"/>
            </w:tcBorders>
            <w:shd w:fill="E6F4F8"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Zero secrets in code/files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Observability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Prometheus + Grafana + ELK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Metrics, tracing, structured logs, alerting</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SLA visibility</w:t>
            </w:r>
          </w:p>
        </w:tc>
      </w:tr>
      <w:tr>
        <w:tc>
          <w:tcPr>
            <w:tcW w:type="dxa" w:w="1800"/>
            <w:tcBorders>
              <w:top w:val="single" w:color="CCCCCC" w:sz="1"/>
              <w:left w:val="single" w:color="CCCCCC" w:sz="1"/>
              <w:bottom w:val="single" w:color="CCCCCC" w:sz="1"/>
              <w:right w:val="single" w:color="CCCCCC" w:sz="1"/>
            </w:tcBorders>
            <w:shd w:fill="E6F4F8" w:val="clear"/>
            <w:tcMar>
              <w:top w:type="dxa" w:w="60"/>
              <w:left w:type="dxa" w:w="120"/>
              <w:bottom w:type="dxa" w:w="60"/>
              <w:right w:type="dxa" w:w="120"/>
            </w:tcMar>
          </w:tcPr>
          <w:p>
            <w:pPr>
              <w:jc w:val="left"/>
            </w:pPr>
            <w:r>
              <w:rPr>
                <w:rFonts w:ascii="Arial" w:cs="Arial" w:eastAsia="Arial" w:hAnsi="Arial"/>
                <w:b/>
                <w:bCs/>
                <w:color w:val="1A2332"/>
                <w:sz w:val="16"/>
                <w:szCs w:val="16"/>
              </w:rPr>
              <w:t xml:space="preserve">CDN / Static</w:t>
            </w:r>
          </w:p>
        </w:tc>
        <w:tc>
          <w:tcPr>
            <w:tcW w:type="dxa" w:w="2200"/>
            <w:tcBorders>
              <w:top w:val="single" w:color="CCCCCC" w:sz="1"/>
              <w:left w:val="single" w:color="CCCCCC" w:sz="1"/>
              <w:bottom w:val="single" w:color="CCCCCC" w:sz="1"/>
              <w:right w:val="single" w:color="CCCCCC" w:sz="1"/>
            </w:tcBorders>
            <w:shd w:fill="E6F4F8"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CloudFront / Nginx</w:t>
            </w:r>
          </w:p>
        </w:tc>
        <w:tc>
          <w:tcPr>
            <w:tcW w:type="dxa" w:w="2200"/>
            <w:tcBorders>
              <w:top w:val="single" w:color="CCCCCC" w:sz="1"/>
              <w:left w:val="single" w:color="CCCCCC" w:sz="1"/>
              <w:bottom w:val="single" w:color="CCCCCC" w:sz="1"/>
              <w:right w:val="single" w:color="CCCCCC" w:sz="1"/>
            </w:tcBorders>
            <w:shd w:fill="E6F4F8"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Dashboard static assets</w:t>
            </w:r>
          </w:p>
        </w:tc>
        <w:tc>
          <w:tcPr>
            <w:tcW w:type="dxa" w:w="2260"/>
            <w:tcBorders>
              <w:top w:val="single" w:color="CCCCCC" w:sz="1"/>
              <w:left w:val="single" w:color="CCCCCC" w:sz="1"/>
              <w:bottom w:val="single" w:color="CCCCCC" w:sz="1"/>
              <w:right w:val="single" w:color="CCCCCC" w:sz="1"/>
            </w:tcBorders>
            <w:shd w:fill="E6F4F8"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Decoupled from API process</w:t>
            </w:r>
          </w:p>
        </w:tc>
      </w:tr>
    </w:tbl>
    <w:p>
      <w:pPr>
        <w:spacing w:before="160" w:after="0"/>
      </w:pPr>
      <w:r>
        <w:t xml:space="preserve"/>
      </w:r>
    </w:p>
    <w:p>
      <w:pPr>
        <w:pStyle w:val="Heading2"/>
        <w:spacing w:before="300" w:after="120"/>
      </w:pPr>
      <w:r>
        <w:rPr>
          <w:rFonts w:ascii="Arial" w:cs="Arial" w:eastAsia="Arial" w:hAnsi="Arial"/>
          <w:b/>
          <w:bCs/>
          <w:color w:val="0D6E8A"/>
          <w:sz w:val="28"/>
          <w:szCs w:val="28"/>
        </w:rPr>
        <w:t xml:space="preserve">6.1 Revised Request Flow</w:t>
      </w:r>
    </w:p>
    <w:p>
      <w:pPr>
        <w:pStyle w:val="ListParagraph"/>
        <w:numPr>
          <w:ilvl w:val="0"/>
          <w:numId w:val="3"/>
        </w:numPr>
        <w:spacing w:before="40" w:after="40"/>
      </w:pPr>
      <w:r>
        <w:rPr>
          <w:rFonts w:ascii="Arial" w:cs="Arial" w:eastAsia="Arial" w:hAnsi="Arial"/>
          <w:color w:val="1A2332"/>
          <w:sz w:val="18"/>
          <w:szCs w:val="18"/>
        </w:rPr>
        <w:t xml:space="preserve">Client sends POST /api/v1/evaluate with Bearer JWT / API key.</w:t>
      </w:r>
    </w:p>
    <w:p>
      <w:pPr>
        <w:pStyle w:val="ListParagraph"/>
        <w:numPr>
          <w:ilvl w:val="0"/>
          <w:numId w:val="3"/>
        </w:numPr>
        <w:spacing w:before="40" w:after="40"/>
      </w:pPr>
      <w:r>
        <w:rPr>
          <w:rFonts w:ascii="Arial" w:cs="Arial" w:eastAsia="Arial" w:hAnsi="Arial"/>
          <w:color w:val="1A2332"/>
          <w:sz w:val="18"/>
          <w:szCs w:val="18"/>
        </w:rPr>
        <w:t xml:space="preserve">API Gateway validates token, applies rate limiting, routes to Evaluation API replica.</w:t>
      </w:r>
    </w:p>
    <w:p>
      <w:pPr>
        <w:pStyle w:val="ListParagraph"/>
        <w:numPr>
          <w:ilvl w:val="0"/>
          <w:numId w:val="3"/>
        </w:numPr>
        <w:spacing w:before="40" w:after="40"/>
      </w:pPr>
      <w:r>
        <w:rPr>
          <w:rFonts w:ascii="Arial" w:cs="Arial" w:eastAsia="Arial" w:hAnsi="Arial"/>
          <w:color w:val="1A2332"/>
          <w:sz w:val="18"/>
          <w:szCs w:val="18"/>
        </w:rPr>
        <w:t xml:space="preserve">Middleware extracts tenant_id from JWT, sets PostgreSQL session variable for RLS.</w:t>
      </w:r>
    </w:p>
    <w:p>
      <w:pPr>
        <w:pStyle w:val="ListParagraph"/>
        <w:numPr>
          <w:ilvl w:val="0"/>
          <w:numId w:val="3"/>
        </w:numPr>
        <w:spacing w:before="40" w:after="40"/>
      </w:pPr>
      <w:r>
        <w:rPr>
          <w:rFonts w:ascii="Arial" w:cs="Arial" w:eastAsia="Arial" w:hAnsi="Arial"/>
          <w:color w:val="1A2332"/>
          <w:sz w:val="18"/>
          <w:szCs w:val="18"/>
        </w:rPr>
        <w:t xml:space="preserve">Engine loads company config from Redis cache (miss → DB query → cache set).</w:t>
      </w:r>
    </w:p>
    <w:p>
      <w:pPr>
        <w:pStyle w:val="ListParagraph"/>
        <w:numPr>
          <w:ilvl w:val="0"/>
          <w:numId w:val="3"/>
        </w:numPr>
        <w:spacing w:before="40" w:after="40"/>
      </w:pPr>
      <w:r>
        <w:rPr>
          <w:rFonts w:ascii="Arial" w:cs="Arial" w:eastAsia="Arial" w:hAnsi="Arial"/>
          <w:color w:val="1A2332"/>
          <w:sz w:val="18"/>
          <w:szCs w:val="18"/>
        </w:rPr>
        <w:t xml:space="preserve">Normalizer parses bureau data in memory (no storage of raw data).</w:t>
      </w:r>
    </w:p>
    <w:p>
      <w:pPr>
        <w:pStyle w:val="ListParagraph"/>
        <w:numPr>
          <w:ilvl w:val="0"/>
          <w:numId w:val="3"/>
        </w:numPr>
        <w:spacing w:before="40" w:after="40"/>
      </w:pPr>
      <w:r>
        <w:rPr>
          <w:rFonts w:ascii="Arial" w:cs="Arial" w:eastAsia="Arial" w:hAnsi="Arial"/>
          <w:color w:val="1A2332"/>
          <w:sz w:val="18"/>
          <w:szCs w:val="18"/>
        </w:rPr>
        <w:t xml:space="preserve">Engine computes all 119 variables from pre-parsed normalized data.</w:t>
      </w:r>
    </w:p>
    <w:p>
      <w:pPr>
        <w:pStyle w:val="ListParagraph"/>
        <w:numPr>
          <w:ilvl w:val="0"/>
          <w:numId w:val="3"/>
        </w:numPr>
        <w:spacing w:before="40" w:after="40"/>
      </w:pPr>
      <w:r>
        <w:rPr>
          <w:rFonts w:ascii="Arial" w:cs="Arial" w:eastAsia="Arial" w:hAnsi="Arial"/>
          <w:color w:val="1A2332"/>
          <w:sz w:val="18"/>
          <w:szCs w:val="18"/>
        </w:rPr>
        <w:t xml:space="preserve">Engine evaluates company rules against computed variables.</w:t>
      </w:r>
    </w:p>
    <w:p>
      <w:pPr>
        <w:pStyle w:val="ListParagraph"/>
        <w:numPr>
          <w:ilvl w:val="0"/>
          <w:numId w:val="3"/>
        </w:numPr>
        <w:spacing w:before="40" w:after="40"/>
      </w:pPr>
      <w:r>
        <w:rPr>
          <w:rFonts w:ascii="Arial" w:cs="Arial" w:eastAsia="Arial" w:hAnsi="Arial"/>
          <w:color w:val="1A2332"/>
          <w:sz w:val="18"/>
          <w:szCs w:val="18"/>
        </w:rPr>
        <w:t xml:space="preserve">Results written to bureau_evaluations + rule_evaluation_results (async, non-blocking).</w:t>
      </w:r>
    </w:p>
    <w:p>
      <w:pPr>
        <w:pStyle w:val="ListParagraph"/>
        <w:numPr>
          <w:ilvl w:val="0"/>
          <w:numId w:val="3"/>
        </w:numPr>
        <w:spacing w:before="40" w:after="40"/>
      </w:pPr>
      <w:r>
        <w:rPr>
          <w:rFonts w:ascii="Arial" w:cs="Arial" w:eastAsia="Arial" w:hAnsi="Arial"/>
          <w:color w:val="1A2332"/>
          <w:sz w:val="18"/>
          <w:szCs w:val="18"/>
        </w:rPr>
        <w:t xml:space="preserve">All config changes written to audit_log via database trigger.</w:t>
      </w:r>
    </w:p>
    <w:p>
      <w:pPr>
        <w:pStyle w:val="ListParagraph"/>
        <w:numPr>
          <w:ilvl w:val="0"/>
          <w:numId w:val="3"/>
        </w:numPr>
        <w:spacing w:before="40" w:after="40"/>
      </w:pPr>
      <w:r>
        <w:rPr>
          <w:rFonts w:ascii="Arial" w:cs="Arial" w:eastAsia="Arial" w:hAnsi="Arial"/>
          <w:color w:val="1A2332"/>
          <w:sz w:val="18"/>
          <w:szCs w:val="18"/>
        </w:rPr>
        <w:t xml:space="preserve">JSON response returned — computed_variables + rule_results + decision.</w:t>
      </w:r>
    </w:p>
    <w:p>
      <w:pPr>
        <w:spacing w:before="160" w:after="0"/>
      </w:pPr>
      <w:r>
        <w:t xml:space="preserve"/>
      </w:r>
    </w:p>
    <w:p>
      <w:pPr>
        <w:pStyle w:val="Heading2"/>
        <w:spacing w:before="300" w:after="120"/>
      </w:pPr>
      <w:r>
        <w:rPr>
          <w:rFonts w:ascii="Arial" w:cs="Arial" w:eastAsia="Arial" w:hAnsi="Arial"/>
          <w:b/>
          <w:bCs/>
          <w:color w:val="0D6E8A"/>
          <w:sz w:val="28"/>
          <w:szCs w:val="28"/>
        </w:rPr>
        <w:t xml:space="preserve">6.2 Data Architecture</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400"/>
        <w:gridCol w:w="5300"/>
        <w:gridCol w:w="760"/>
      </w:tblGrid>
      <w:tr>
        <w:trPr>
          <w:tblHeader/>
        </w:trPr>
        <w:tc>
          <w:tcPr>
            <w:tcW w:type="dxa" w:w="240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Table</w:t>
            </w:r>
          </w:p>
        </w:tc>
        <w:tc>
          <w:tcPr>
            <w:tcW w:type="dxa" w:w="530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Columns</w:t>
            </w:r>
          </w:p>
        </w:tc>
        <w:tc>
          <w:tcPr>
            <w:tcW w:type="dxa" w:w="76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tenants</w:t>
            </w:r>
          </w:p>
        </w:tc>
        <w:tc>
          <w:tcPr>
            <w:tcW w:type="dxa" w:w="5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company_id, name, api_key_hash, status, plan_tier, created_at, rls_policy</w:t>
            </w:r>
          </w:p>
        </w:tc>
        <w:tc>
          <w:tcPr>
            <w:tcW w:type="dxa" w:w="7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center"/>
            </w:pPr>
            <w:r>
              <w:rPr>
                <w:rFonts w:ascii="Arial" w:cs="Arial" w:eastAsia="Arial" w:hAnsi="Arial"/>
                <w:b/>
                <w:bCs/>
                <w:color w:val="1A7A4A"/>
                <w:sz w:val="16"/>
                <w:szCs w:val="16"/>
              </w:rPr>
              <w:t xml:space="preserve">Core</w:t>
            </w:r>
          </w:p>
        </w:tc>
      </w:tr>
      <w:tr>
        <w:tc>
          <w:tcPr>
            <w:tcW w:type="dxa" w:w="24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variable_templates</w:t>
            </w:r>
          </w:p>
        </w:tc>
        <w:tc>
          <w:tcPr>
            <w:tcW w:type="dxa" w:w="53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template_id, db_column, variable_name, logic_type, group, section, params JSONB, version, active</w:t>
            </w:r>
          </w:p>
        </w:tc>
        <w:tc>
          <w:tcPr>
            <w:tcW w:type="dxa" w:w="7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center"/>
            </w:pPr>
            <w:r>
              <w:rPr>
                <w:rFonts w:ascii="Arial" w:cs="Arial" w:eastAsia="Arial" w:hAnsi="Arial"/>
                <w:b/>
                <w:bCs/>
                <w:color w:val="1A7A4A"/>
                <w:sz w:val="16"/>
                <w:szCs w:val="16"/>
              </w:rPr>
              <w:t xml:space="preserve">Core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company_rules</w:t>
            </w:r>
          </w:p>
        </w:tc>
        <w:tc>
          <w:tcPr>
            <w:tcW w:type="dxa" w:w="5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rule_id, tenant_id, template_id, operator, threshold, weight, hard_reject, active_flag, effective_from, effective_to, created_by, updated_at</w:t>
            </w:r>
          </w:p>
        </w:tc>
        <w:tc>
          <w:tcPr>
            <w:tcW w:type="dxa" w:w="7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center"/>
            </w:pPr>
            <w:r>
              <w:rPr>
                <w:rFonts w:ascii="Arial" w:cs="Arial" w:eastAsia="Arial" w:hAnsi="Arial"/>
                <w:b/>
                <w:bCs/>
                <w:color w:val="1A7A4A"/>
                <w:sz w:val="16"/>
                <w:szCs w:val="16"/>
              </w:rPr>
              <w:t xml:space="preserve">Core</w:t>
            </w:r>
          </w:p>
        </w:tc>
      </w:tr>
      <w:tr>
        <w:tc>
          <w:tcPr>
            <w:tcW w:type="dxa" w:w="24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company_score_bands</w:t>
            </w:r>
          </w:p>
        </w:tc>
        <w:tc>
          <w:tcPr>
            <w:tcW w:type="dxa" w:w="53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band_id, tenant_id, min_score, max_score, grade, label, decision</w:t>
            </w:r>
          </w:p>
        </w:tc>
        <w:tc>
          <w:tcPr>
            <w:tcW w:type="dxa" w:w="7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center"/>
            </w:pPr>
            <w:r>
              <w:rPr>
                <w:rFonts w:ascii="Arial" w:cs="Arial" w:eastAsia="Arial" w:hAnsi="Arial"/>
                <w:b/>
                <w:bCs/>
                <w:color w:val="1A7A4A"/>
                <w:sz w:val="16"/>
                <w:szCs w:val="16"/>
              </w:rPr>
              <w:t xml:space="preserve">Core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bureau_evaluations</w:t>
            </w:r>
          </w:p>
        </w:tc>
        <w:tc>
          <w:tcPr>
            <w:tcW w:type="dxa" w:w="5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eval_id, tenant_id, application_id, bureau_pull_date, bureau_score, payload_hash, computed_variables JSONB, lead_score, grade, decision, hard_reject, evaluated_at, api_version</w:t>
            </w:r>
          </w:p>
        </w:tc>
        <w:tc>
          <w:tcPr>
            <w:tcW w:type="dxa" w:w="760"/>
            <w:tcBorders>
              <w:top w:val="single" w:color="CCCCCC" w:sz="1"/>
              <w:left w:val="single" w:color="CCCCCC" w:sz="1"/>
              <w:bottom w:val="single" w:color="CCCCCC" w:sz="1"/>
              <w:right w:val="single" w:color="CCCCCC" w:sz="1"/>
            </w:tcBorders>
            <w:shd w:fill="FEF3CD" w:val="clear"/>
            <w:tcMar>
              <w:top w:type="dxa" w:w="60"/>
              <w:left w:type="dxa" w:w="120"/>
              <w:bottom w:type="dxa" w:w="60"/>
              <w:right w:type="dxa" w:w="120"/>
            </w:tcMar>
          </w:tcPr>
          <w:p>
            <w:pPr>
              <w:jc w:val="center"/>
            </w:pPr>
            <w:r>
              <w:rPr>
                <w:rFonts w:ascii="Arial" w:cs="Arial" w:eastAsia="Arial" w:hAnsi="Arial"/>
                <w:b/>
                <w:bCs/>
                <w:color w:val="D97706"/>
                <w:sz w:val="16"/>
                <w:szCs w:val="16"/>
              </w:rPr>
              <w:t xml:space="preserve">Audit</w:t>
            </w:r>
          </w:p>
        </w:tc>
      </w:tr>
      <w:tr>
        <w:tc>
          <w:tcPr>
            <w:tcW w:type="dxa" w:w="24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rule_evaluation_results</w:t>
            </w:r>
          </w:p>
        </w:tc>
        <w:tc>
          <w:tcPr>
            <w:tcW w:type="dxa" w:w="53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result_id, eval_id, tenant_id, rule_id, template_id, computed_value, threshold, operator, outcome, score_contribution, evaluated_at</w:t>
            </w:r>
          </w:p>
        </w:tc>
        <w:tc>
          <w:tcPr>
            <w:tcW w:type="dxa" w:w="760"/>
            <w:tcBorders>
              <w:top w:val="single" w:color="CCCCCC" w:sz="1"/>
              <w:left w:val="single" w:color="CCCCCC" w:sz="1"/>
              <w:bottom w:val="single" w:color="CCCCCC" w:sz="1"/>
              <w:right w:val="single" w:color="CCCCCC" w:sz="1"/>
            </w:tcBorders>
            <w:shd w:fill="FEF3CD" w:val="clear"/>
            <w:tcMar>
              <w:top w:type="dxa" w:w="60"/>
              <w:left w:type="dxa" w:w="120"/>
              <w:bottom w:type="dxa" w:w="60"/>
              <w:right w:type="dxa" w:w="120"/>
            </w:tcMar>
          </w:tcPr>
          <w:p>
            <w:pPr>
              <w:jc w:val="center"/>
            </w:pPr>
            <w:r>
              <w:rPr>
                <w:rFonts w:ascii="Arial" w:cs="Arial" w:eastAsia="Arial" w:hAnsi="Arial"/>
                <w:b/>
                <w:bCs/>
                <w:color w:val="D97706"/>
                <w:sz w:val="16"/>
                <w:szCs w:val="16"/>
              </w:rPr>
              <w:t xml:space="preserve">Audit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audit_log</w:t>
            </w:r>
          </w:p>
        </w:tc>
        <w:tc>
          <w:tcPr>
            <w:tcW w:type="dxa" w:w="5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log_id, tenant_id, actor_id, action, entity_type, entity_id, old_value JSONB, new_value JSONB, ip_address, timestamp</w:t>
            </w:r>
          </w:p>
        </w:tc>
        <w:tc>
          <w:tcPr>
            <w:tcW w:type="dxa" w:w="76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C0392B"/>
                <w:sz w:val="16"/>
                <w:szCs w:val="16"/>
              </w:rPr>
              <w:t xml:space="preserve">Compliance</w:t>
            </w:r>
          </w:p>
        </w:tc>
      </w:tr>
      <w:tr>
        <w:tc>
          <w:tcPr>
            <w:tcW w:type="dxa" w:w="24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api_keys</w:t>
            </w:r>
          </w:p>
        </w:tc>
        <w:tc>
          <w:tcPr>
            <w:tcW w:type="dxa" w:w="53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key_id, tenant_id, key_hash, scopes, rate_limit_rpm, expires_at, last_used_at, revoked</w:t>
            </w:r>
          </w:p>
        </w:tc>
        <w:tc>
          <w:tcPr>
            <w:tcW w:type="dxa" w:w="760"/>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tcPr>
          <w:p>
            <w:pPr>
              <w:jc w:val="center"/>
            </w:pPr>
            <w:r>
              <w:rPr>
                <w:rFonts w:ascii="Arial" w:cs="Arial" w:eastAsia="Arial" w:hAnsi="Arial"/>
                <w:b/>
                <w:bCs/>
                <w:color w:val="1A4FA0"/>
                <w:sz w:val="16"/>
                <w:szCs w:val="16"/>
              </w:rPr>
              <w:t xml:space="preserve">Auth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rate_limit_buckets</w:t>
            </w:r>
          </w:p>
        </w:tc>
        <w:tc>
          <w:tcPr>
            <w:tcW w:type="dxa" w:w="5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bucket_id, tenant_id, endpoint, request_count, window_start, window_end</w:t>
            </w:r>
          </w:p>
        </w:tc>
        <w:tc>
          <w:tcPr>
            <w:tcW w:type="dxa" w:w="7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center"/>
            </w:pPr>
            <w:r>
              <w:rPr>
                <w:rFonts w:ascii="Arial" w:cs="Arial" w:eastAsia="Arial" w:hAnsi="Arial"/>
                <w:b/>
                <w:bCs/>
                <w:color w:val="1A7A4A"/>
                <w:sz w:val="16"/>
                <w:szCs w:val="16"/>
              </w:rPr>
              <w:t xml:space="preserve">Security</w:t>
            </w:r>
          </w:p>
        </w:tc>
      </w:tr>
    </w:tbl>
    <w:p>
      <w:r>
        <w:br w:type="page"/>
      </w:r>
    </w:p>
    <w:p>
      <w:pPr>
        <w:pStyle w:val="Heading1"/>
        <w:pBdr>
          <w:bottom w:val="single" w:color="0D6E8A" w:sz="8" w:space="4"/>
        </w:pBdr>
        <w:spacing w:before="400" w:after="200"/>
      </w:pPr>
      <w:r>
        <w:rPr>
          <w:rFonts w:ascii="Arial" w:cs="Arial" w:eastAsia="Arial" w:hAnsi="Arial"/>
          <w:b/>
          <w:bCs/>
          <w:color w:val="1A2332"/>
          <w:sz w:val="38"/>
          <w:szCs w:val="38"/>
        </w:rPr>
        <w:t xml:space="preserve">7. Regulatory &amp; Compliance Requirements</w:t>
      </w:r>
    </w:p>
    <w:p>
      <w:pPr>
        <w:spacing w:before="80" w:after="80"/>
      </w:pPr>
      <w:r>
        <w:rPr>
          <w:rFonts w:ascii="Arial" w:cs="Arial" w:eastAsia="Arial" w:hAnsi="Arial"/>
          <w:b w:val="false"/>
          <w:bCs w:val="false"/>
          <w:color w:val="1A2332"/>
          <w:sz w:val="20"/>
          <w:szCs w:val="20"/>
        </w:rPr>
        <w:t xml:space="preserve">Selling to banks and NBFCs in India means operating under multiple overlapping regulatory frameworks. The current architecture is non-compliant with all of the following:</w:t>
      </w:r>
    </w:p>
    <w:p>
      <w:pPr>
        <w:spacing w:before="100" w:after="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200"/>
        <w:gridCol w:w="3260"/>
        <w:gridCol w:w="3000"/>
      </w:tblGrid>
      <w:tr>
        <w:trPr>
          <w:tblHeader/>
        </w:trPr>
        <w:tc>
          <w:tcPr>
            <w:tcW w:type="dxa" w:w="220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Regulation / Standard</w:t>
            </w:r>
          </w:p>
        </w:tc>
        <w:tc>
          <w:tcPr>
            <w:tcW w:type="dxa" w:w="326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Requirement</w:t>
            </w:r>
          </w:p>
        </w:tc>
        <w:tc>
          <w:tcPr>
            <w:tcW w:type="dxa" w:w="300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How to Comply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RBI IT Framework</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Audit trails for all credit decisions with minimum 5-year retention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Immutable audit_log + bureau_evaluations tables; scheduled backup to cold storage</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RBI Data Localisation</w:t>
            </w:r>
          </w:p>
        </w:tc>
        <w:tc>
          <w:tcPr>
            <w:tcW w:type="dxa" w:w="32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All financial data of Indian residents must reside in India</w:t>
            </w:r>
          </w:p>
        </w:tc>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Deploy in ap-south-1 (Mumbai) or Indian DCs; no cross-border data transfer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DPDP Act 2023</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Consent-based data processing; right to erasure; data minimisation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Consent tracking table; anonymisation pipeline; do not store raw PII beyond session</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CIBIL Usage Agreement</w:t>
            </w:r>
          </w:p>
        </w:tc>
        <w:tc>
          <w:tcPr>
            <w:tcW w:type="dxa" w:w="32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Bureau data can only be used for the specific credit enquiry purpose</w:t>
            </w:r>
          </w:p>
        </w:tc>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Do not persist raw bureau XML/JSON; store only computed derived variables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ISO 27001</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Information security management system (ISMS) required for B2B SaaS to banks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Implement ISMS controls; annual third-party audit</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SOC 2 Type II</w:t>
            </w:r>
          </w:p>
        </w:tc>
        <w:tc>
          <w:tcPr>
            <w:tcW w:type="dxa" w:w="32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Banks increasingly require SOC 2 for SaaS vendors</w:t>
            </w:r>
          </w:p>
        </w:tc>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Plan for SOC 2 audit in Year 1; implement trust service criteria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PCI-DSS (if cards)</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If any credit card data flows through, PCI-DSS applies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Ensure CC data is not stored; DPD parsing only — no PAN/CVV ever</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NBFC-P2P / Scale-based</w:t>
            </w:r>
          </w:p>
        </w:tc>
        <w:tc>
          <w:tcPr>
            <w:tcW w:type="dxa" w:w="32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Different regulatory tiers for NBFC categories</w:t>
            </w:r>
          </w:p>
        </w:tc>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Multi-tenant config must support tier-specific rule lockdowns</w:t>
            </w:r>
          </w:p>
        </w:tc>
      </w:tr>
    </w:tbl>
    <w:p>
      <w:pPr>
        <w:spacing w:before="160" w:after="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8460"/>
      </w:tblGrid>
      <w:tr>
        <w:tc>
          <w:tcPr>
            <w:tcW w:type="dxa" w:w="8460"/>
            <w:tcBorders>
              <w:top w:val="single" w:color="CCCCCC" w:sz="1"/>
              <w:left w:val="single" w:color="D97706" w:sz="12"/>
              <w:bottom w:val="single" w:color="CCCCCC" w:sz="1"/>
              <w:right w:val="single" w:color="CCCCCC" w:sz="1"/>
            </w:tcBorders>
            <w:shd w:fill="FEF3CD" w:val="clear"/>
            <w:tcMar>
              <w:top w:type="dxa" w:w="120"/>
              <w:left w:type="dxa" w:w="200"/>
              <w:bottom w:type="dxa" w:w="120"/>
              <w:right w:type="dxa" w:w="200"/>
            </w:tcMar>
          </w:tcPr>
          <w:p>
            <w:pPr>
              <w:spacing w:before="0" w:after="60"/>
            </w:pPr>
            <w:r>
              <w:rPr>
                <w:rFonts w:ascii="Arial" w:cs="Arial" w:eastAsia="Arial" w:hAnsi="Arial"/>
                <w:b/>
                <w:bCs/>
                <w:color w:val="D97706"/>
                <w:sz w:val="18"/>
                <w:szCs w:val="18"/>
              </w:rPr>
              <w:t xml:space="preserve">⚠️  WARNING</w:t>
            </w:r>
          </w:p>
          <w:p>
            <w:pPr>
              <w:spacing w:before="20" w:after="20"/>
            </w:pPr>
            <w:r>
              <w:rPr>
                <w:rFonts w:ascii="Arial" w:cs="Arial" w:eastAsia="Arial" w:hAnsi="Arial"/>
                <w:color w:val="1A2332"/>
                <w:sz w:val="18"/>
                <w:szCs w:val="18"/>
              </w:rPr>
              <w:t xml:space="preserve">CIBIL Usage Agreement — Critical: CIBIL's end-user agreements typically prohibit storing raw bureau data</w:t>
            </w:r>
          </w:p>
          <w:p>
            <w:pPr>
              <w:spacing w:before="20" w:after="20"/>
            </w:pPr>
            <w:r>
              <w:rPr>
                <w:rFonts w:ascii="Arial" w:cs="Arial" w:eastAsia="Arial" w:hAnsi="Arial"/>
                <w:color w:val="1A2332"/>
                <w:sz w:val="18"/>
                <w:szCs w:val="18"/>
              </w:rPr>
              <w:t xml:space="preserve">beyond the duration needed for the specific credit decision. Currently the architecture returns raw bureau</w:t>
            </w:r>
          </w:p>
          <w:p>
            <w:pPr>
              <w:spacing w:before="20" w:after="20"/>
            </w:pPr>
            <w:r>
              <w:rPr>
                <w:rFonts w:ascii="Arial" w:cs="Arial" w:eastAsia="Arial" w:hAnsi="Arial"/>
                <w:color w:val="1A2332"/>
                <w:sz w:val="18"/>
                <w:szCs w:val="18"/>
              </w:rPr>
              <w:t xml:space="preserve">data in the /normalize endpoint response. This endpoint should be removed or restricted to debug/sandbox</w:t>
            </w:r>
          </w:p>
          <w:p>
            <w:pPr>
              <w:spacing w:before="20" w:after="20"/>
            </w:pPr>
            <w:r>
              <w:rPr>
                <w:rFonts w:ascii="Arial" w:cs="Arial" w:eastAsia="Arial" w:hAnsi="Arial"/>
                <w:color w:val="1A2332"/>
                <w:sz w:val="18"/>
                <w:szCs w:val="18"/>
              </w:rPr>
              <w:t xml:space="preserve">environments only. Only computed derived variables should be stored — never the raw repayment history string.</w:t>
            </w:r>
          </w:p>
        </w:tc>
      </w:tr>
    </w:tbl>
    <w:p>
      <w:r>
        <w:br w:type="page"/>
      </w:r>
    </w:p>
    <w:p>
      <w:pPr>
        <w:pStyle w:val="Heading1"/>
        <w:pBdr>
          <w:bottom w:val="single" w:color="0D6E8A" w:sz="8" w:space="4"/>
        </w:pBdr>
        <w:spacing w:before="400" w:after="200"/>
      </w:pPr>
      <w:r>
        <w:rPr>
          <w:rFonts w:ascii="Arial" w:cs="Arial" w:eastAsia="Arial" w:hAnsi="Arial"/>
          <w:b/>
          <w:bCs/>
          <w:color w:val="1A2332"/>
          <w:sz w:val="38"/>
          <w:szCs w:val="38"/>
        </w:rPr>
        <w:t xml:space="preserve">8. Performance Analysis &amp; Targets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1960"/>
      </w:tblGrid>
      <w:tr>
        <w:trPr>
          <w:tblHeader/>
        </w:trPr>
        <w:tc>
          <w:tcPr>
            <w:tcW w:type="dxa" w:w="250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200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Current State</w:t>
            </w:r>
          </w:p>
        </w:tc>
        <w:tc>
          <w:tcPr>
            <w:tcW w:type="dxa" w:w="200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SaaS Target</w:t>
            </w:r>
          </w:p>
        </w:tc>
        <w:tc>
          <w:tcPr>
            <w:tcW w:type="dxa" w:w="196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Solution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Single application evaluation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Current: ~200ms*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Target: &lt;500ms p99</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Caching + async compute</w:t>
            </w:r>
          </w:p>
        </w:tc>
      </w:tr>
      <w:tr>
        <w:tc>
          <w:tcPr>
            <w:tcW w:type="dxa" w:w="25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Batch 1000 applications</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Current: Sequential, ~200s</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Target: &lt;60s</w:t>
            </w:r>
          </w:p>
        </w:tc>
        <w:tc>
          <w:tcPr>
            <w:tcW w:type="dxa" w:w="19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Celery workers + Redis queue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Config reload overhead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Current: Per-request file I/O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Target: 0 (cache hit)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Redis config cache, 5min TTL</w:t>
            </w:r>
          </w:p>
        </w:tc>
      </w:tr>
      <w:tr>
        <w:tc>
          <w:tcPr>
            <w:tcW w:type="dxa" w:w="25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Concurrent evaluations</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Current: ~10 (single process)</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Target: 500+ rps</w:t>
            </w:r>
          </w:p>
        </w:tc>
        <w:tc>
          <w:tcPr>
            <w:tcW w:type="dxa" w:w="19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3× FastAPI replicas + load balancer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Variable template lookup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Current: Linear scan 119 items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Target: O(1)</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Dict-indexed by template_id</w:t>
            </w:r>
          </w:p>
        </w:tc>
      </w:tr>
      <w:tr>
        <w:tc>
          <w:tcPr>
            <w:tcW w:type="dxa" w:w="25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Repayment history parsing</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Current: Once per eval (good)</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Target: Once per bureau pull</w:t>
            </w:r>
          </w:p>
        </w:tc>
        <w:tc>
          <w:tcPr>
            <w:tcW w:type="dxa" w:w="19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Cache parsed result by payload hash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Database query latency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Current: N/A (file I/O)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Target: &lt;10ms p99</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PostgreSQL + connection pooling</w:t>
            </w:r>
          </w:p>
        </w:tc>
      </w:tr>
      <w:tr>
        <w:tc>
          <w:tcPr>
            <w:tcW w:type="dxa" w:w="25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API key validation</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Current: N/A</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Target: &lt;1ms</w:t>
            </w:r>
          </w:p>
        </w:tc>
        <w:tc>
          <w:tcPr>
            <w:tcW w:type="dxa" w:w="19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Redis cache of hashed keys</w:t>
            </w:r>
          </w:p>
        </w:tc>
      </w:tr>
    </w:tbl>
    <w:p>
      <w:pPr>
        <w:spacing w:before="160" w:after="0"/>
      </w:pPr>
      <w:r>
        <w:t xml:space="preserve"/>
      </w:r>
    </w:p>
    <w:p>
      <w:pPr>
        <w:pStyle w:val="Heading2"/>
        <w:spacing w:before="300" w:after="120"/>
      </w:pPr>
      <w:r>
        <w:rPr>
          <w:rFonts w:ascii="Arial" w:cs="Arial" w:eastAsia="Arial" w:hAnsi="Arial"/>
          <w:b/>
          <w:bCs/>
          <w:color w:val="0D6E8A"/>
          <w:sz w:val="28"/>
          <w:szCs w:val="28"/>
        </w:rPr>
        <w:t xml:space="preserve">8.1 Caching Strategy</w:t>
      </w:r>
    </w:p>
    <w:p>
      <w:pPr>
        <w:pStyle w:val="ListParagraph"/>
        <w:numPr>
          <w:ilvl w:val="0"/>
          <w:numId w:val="2"/>
        </w:numPr>
        <w:spacing w:before="40" w:after="40"/>
      </w:pPr>
      <w:r>
        <w:rPr>
          <w:rFonts w:ascii="Arial" w:cs="Arial" w:eastAsia="Arial" w:hAnsi="Arial"/>
          <w:color w:val="1A2332"/>
          <w:sz w:val="18"/>
          <w:szCs w:val="18"/>
        </w:rPr>
        <w:t xml:space="preserve">L1 Cache (in-process): Python dict cache of compiled rule evaluation functions — eliminates reflection overhead per request.</w:t>
      </w:r>
    </w:p>
    <w:p>
      <w:pPr>
        <w:pStyle w:val="ListParagraph"/>
        <w:numPr>
          <w:ilvl w:val="0"/>
          <w:numId w:val="2"/>
        </w:numPr>
        <w:spacing w:before="40" w:after="40"/>
      </w:pPr>
      <w:r>
        <w:rPr>
          <w:rFonts w:ascii="Arial" w:cs="Arial" w:eastAsia="Arial" w:hAnsi="Arial"/>
          <w:color w:val="1A2332"/>
          <w:sz w:val="18"/>
          <w:szCs w:val="18"/>
        </w:rPr>
        <w:t xml:space="preserve">L2 Cache (Redis): Company config cache (5-min TTL), parsed repayment profile cache keyed by SHA256 of bureau payload (useful for re-evaluations), API key validation cache (1-hour TTL).</w:t>
      </w:r>
    </w:p>
    <w:p>
      <w:pPr>
        <w:pStyle w:val="ListParagraph"/>
        <w:numPr>
          <w:ilvl w:val="0"/>
          <w:numId w:val="2"/>
        </w:numPr>
        <w:spacing w:before="40" w:after="40"/>
      </w:pPr>
      <w:r>
        <w:rPr>
          <w:rFonts w:ascii="Arial" w:cs="Arial" w:eastAsia="Arial" w:hAnsi="Arial"/>
          <w:color w:val="1A2332"/>
          <w:sz w:val="18"/>
          <w:szCs w:val="18"/>
        </w:rPr>
        <w:t xml:space="preserve">L3 Cache (PostgreSQL materialized views): Aggregate stats per tenant for the dashboard (refreshed every 15 minutes).</w:t>
      </w:r>
    </w:p>
    <w:p>
      <w:pPr>
        <w:spacing w:before="120" w:after="0"/>
      </w:pPr>
      <w:r>
        <w:t xml:space="preserve"/>
      </w:r>
    </w:p>
    <w:p>
      <w:pPr>
        <w:pStyle w:val="Heading2"/>
        <w:spacing w:before="300" w:after="120"/>
      </w:pPr>
      <w:r>
        <w:rPr>
          <w:rFonts w:ascii="Arial" w:cs="Arial" w:eastAsia="Arial" w:hAnsi="Arial"/>
          <w:b/>
          <w:bCs/>
          <w:color w:val="0D6E8A"/>
          <w:sz w:val="28"/>
          <w:szCs w:val="28"/>
        </w:rPr>
        <w:t xml:space="preserve">8.2 Scalability Model</w:t>
      </w:r>
    </w:p>
    <w:p>
      <w:pPr>
        <w:pStyle w:val="ListParagraph"/>
        <w:numPr>
          <w:ilvl w:val="0"/>
          <w:numId w:val="2"/>
        </w:numPr>
        <w:spacing w:before="40" w:after="40"/>
      </w:pPr>
      <w:r>
        <w:rPr>
          <w:rFonts w:ascii="Arial" w:cs="Arial" w:eastAsia="Arial" w:hAnsi="Arial"/>
          <w:color w:val="1A2332"/>
          <w:sz w:val="18"/>
          <w:szCs w:val="18"/>
        </w:rPr>
        <w:t xml:space="preserve">Stateless API replicas: Each FastAPI instance is fully stateless (no in-memory state). Scale horizontally with a load balancer.</w:t>
      </w:r>
    </w:p>
    <w:p>
      <w:pPr>
        <w:pStyle w:val="ListParagraph"/>
        <w:numPr>
          <w:ilvl w:val="0"/>
          <w:numId w:val="2"/>
        </w:numPr>
        <w:spacing w:before="40" w:after="40"/>
      </w:pPr>
      <w:r>
        <w:rPr>
          <w:rFonts w:ascii="Arial" w:cs="Arial" w:eastAsia="Arial" w:hAnsi="Arial"/>
          <w:color w:val="1A2332"/>
          <w:sz w:val="18"/>
          <w:szCs w:val="18"/>
        </w:rPr>
        <w:t xml:space="preserve">Read replicas: PostgreSQL read replica for audit log queries and reporting — keeps write latency low on primary.</w:t>
      </w:r>
    </w:p>
    <w:p>
      <w:pPr>
        <w:pStyle w:val="ListParagraph"/>
        <w:numPr>
          <w:ilvl w:val="0"/>
          <w:numId w:val="2"/>
        </w:numPr>
        <w:spacing w:before="40" w:after="40"/>
      </w:pPr>
      <w:r>
        <w:rPr>
          <w:rFonts w:ascii="Arial" w:cs="Arial" w:eastAsia="Arial" w:hAnsi="Arial"/>
          <w:color w:val="1A2332"/>
          <w:sz w:val="18"/>
          <w:szCs w:val="18"/>
        </w:rPr>
        <w:t xml:space="preserve">Queue workers: Celery workers scale independently of the API. Add workers during batch processing windows.</w:t>
      </w:r>
    </w:p>
    <w:p>
      <w:pPr>
        <w:pStyle w:val="ListParagraph"/>
        <w:numPr>
          <w:ilvl w:val="0"/>
          <w:numId w:val="2"/>
        </w:numPr>
        <w:spacing w:before="40" w:after="40"/>
      </w:pPr>
      <w:r>
        <w:rPr>
          <w:rFonts w:ascii="Arial" w:cs="Arial" w:eastAsia="Arial" w:hAnsi="Arial"/>
          <w:color w:val="1A2332"/>
          <w:sz w:val="18"/>
          <w:szCs w:val="18"/>
        </w:rPr>
        <w:t xml:space="preserve">Connection pooling: PgBouncer in transaction mode — reduces PostgreSQL connection overhead dramatically.</w:t>
      </w:r>
    </w:p>
    <w:p>
      <w:r>
        <w:br w:type="page"/>
      </w:r>
    </w:p>
    <w:p>
      <w:pPr>
        <w:pStyle w:val="Heading1"/>
        <w:pBdr>
          <w:bottom w:val="single" w:color="0D6E8A" w:sz="8" w:space="4"/>
        </w:pBdr>
        <w:spacing w:before="400" w:after="200"/>
      </w:pPr>
      <w:r>
        <w:rPr>
          <w:rFonts w:ascii="Arial" w:cs="Arial" w:eastAsia="Arial" w:hAnsi="Arial"/>
          <w:b/>
          <w:bCs/>
          <w:color w:val="1A2332"/>
          <w:sz w:val="38"/>
          <w:szCs w:val="38"/>
        </w:rPr>
        <w:t xml:space="preserve">9. Remediation Roadmap</w:t>
      </w:r>
    </w:p>
    <w:p>
      <w:pPr>
        <w:spacing w:before="80" w:after="80"/>
      </w:pPr>
      <w:r>
        <w:rPr>
          <w:rFonts w:ascii="Arial" w:cs="Arial" w:eastAsia="Arial" w:hAnsi="Arial"/>
          <w:b w:val="false"/>
          <w:bCs w:val="false"/>
          <w:color w:val="1A2332"/>
          <w:sz w:val="20"/>
          <w:szCs w:val="20"/>
        </w:rPr>
        <w:t xml:space="preserve">Recommended 16-week phased remediation. Phase 1 must be complete before any bank receives API credentials.</w:t>
      </w:r>
    </w:p>
    <w:p>
      <w:pPr>
        <w:spacing w:before="100" w:after="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2260"/>
      </w:tblGrid>
      <w:tr>
        <w:trPr>
          <w:tblHeader/>
        </w:trPr>
        <w:tc>
          <w:tcPr>
            <w:tcW w:type="dxa" w:w="140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240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Work Items</w:t>
            </w:r>
          </w:p>
        </w:tc>
        <w:tc>
          <w:tcPr>
            <w:tcW w:type="dxa" w:w="240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Issues Resolved</w:t>
            </w:r>
          </w:p>
        </w:tc>
        <w:tc>
          <w:tcPr>
            <w:tcW w:type="dxa" w:w="226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 Order</w:t>
            </w:r>
          </w:p>
        </w:tc>
      </w:tr>
      <w:tr>
        <w:tc>
          <w:tcPr>
            <w:tcW w:type="dxa" w:w="1400"/>
            <w:tcBorders>
              <w:top w:val="single" w:color="CCCCCC" w:sz="1"/>
              <w:left w:val="single" w:color="CCCCCC" w:sz="1"/>
              <w:bottom w:val="single" w:color="CCCCCC" w:sz="1"/>
              <w:right w:val="single" w:color="CCCCCC" w:sz="1"/>
            </w:tcBorders>
            <w:shd w:fill="E6F4F8" w:val="clear"/>
            <w:tcMar>
              <w:top w:type="dxa" w:w="80"/>
              <w:left w:type="dxa" w:w="120"/>
              <w:bottom w:type="dxa" w:w="80"/>
              <w:right w:type="dxa" w:w="120"/>
            </w:tcMar>
          </w:tcPr>
          <w:p>
            <w:pPr>
              <w:spacing w:before="0" w:after="0"/>
            </w:pPr>
            <w:r>
              <w:rPr>
                <w:rFonts w:ascii="Arial" w:cs="Arial" w:eastAsia="Arial" w:hAnsi="Arial"/>
                <w:b/>
                <w:bCs/>
                <w:color w:val="1A2332"/>
                <w:sz w:val="18"/>
                <w:szCs w:val="18"/>
              </w:rPr>
              <w:t xml:space="preserve">Phase 1</w:t>
            </w:r>
          </w:p>
          <w:p>
            <w:pPr>
              <w:spacing w:before="30" w:after="0"/>
            </w:pPr>
            <w:r>
              <w:rPr>
                <w:rFonts w:ascii="Arial" w:cs="Arial" w:eastAsia="Arial" w:hAnsi="Arial"/>
                <w:b w:val="false"/>
                <w:bCs w:val="false"/>
                <w:color w:val="1A2332"/>
                <w:sz w:val="16"/>
                <w:szCs w:val="16"/>
              </w:rPr>
              <w:t xml:space="preserve">Weeks 1–4</w:t>
            </w:r>
          </w:p>
          <w:p>
            <w:pPr>
              <w:spacing w:before="30" w:after="0"/>
            </w:pPr>
            <w:r>
              <w:rPr>
                <w:rFonts w:ascii="Arial" w:cs="Arial" w:eastAsia="Arial" w:hAnsi="Arial"/>
                <w:b w:val="false"/>
                <w:bCs w:val="false"/>
                <w:color w:val="1A2332"/>
                <w:sz w:val="16"/>
                <w:szCs w:val="16"/>
              </w:rPr>
              <w:t xml:space="preserve">(Stop-ship blockers)</w:t>
            </w:r>
          </w:p>
        </w:tc>
        <w:tc>
          <w:tcPr>
            <w:tcW w:type="dxa" w:w="2400"/>
            <w:tcBorders>
              <w:top w:val="single" w:color="CCCCCC" w:sz="1"/>
              <w:left w:val="single" w:color="CCCCCC" w:sz="1"/>
              <w:bottom w:val="single" w:color="CCCCCC" w:sz="1"/>
              <w:right w:val="single" w:color="CCCCCC" w:sz="1"/>
            </w:tcBorders>
            <w:shd w:fill="E6F4F8" w:val="clear"/>
            <w:tcMar>
              <w:top w:type="dxa" w:w="80"/>
              <w:left w:type="dxa" w:w="120"/>
              <w:bottom w:type="dxa" w:w="80"/>
              <w:right w:type="dxa" w:w="120"/>
            </w:tcMar>
          </w:tcPr>
          <w:p>
            <w:pPr>
              <w:spacing w:before="0" w:after="0"/>
            </w:pPr>
            <w:r>
              <w:rPr>
                <w:rFonts w:ascii="Arial" w:cs="Arial" w:eastAsia="Arial" w:hAnsi="Arial"/>
                <w:b w:val="false"/>
                <w:bCs w:val="false"/>
                <w:color w:val="1A2332"/>
                <w:sz w:val="16"/>
                <w:szCs w:val="16"/>
              </w:rPr>
              <w:t xml:space="preserve">Replace JSON with PostgreSQL</w:t>
            </w:r>
          </w:p>
          <w:p>
            <w:pPr>
              <w:spacing w:before="30" w:after="0"/>
            </w:pPr>
            <w:r>
              <w:rPr>
                <w:rFonts w:ascii="Arial" w:cs="Arial" w:eastAsia="Arial" w:hAnsi="Arial"/>
                <w:b w:val="false"/>
                <w:bCs w:val="false"/>
                <w:color w:val="1A2332"/>
                <w:sz w:val="16"/>
                <w:szCs w:val="16"/>
              </w:rPr>
              <w:t xml:space="preserve">Add JWT/API key auth</w:t>
            </w:r>
          </w:p>
          <w:p>
            <w:pPr>
              <w:spacing w:before="30" w:after="0"/>
            </w:pPr>
            <w:r>
              <w:rPr>
                <w:rFonts w:ascii="Arial" w:cs="Arial" w:eastAsia="Arial" w:hAnsi="Arial"/>
                <w:b w:val="false"/>
                <w:bCs w:val="false"/>
                <w:color w:val="1A2332"/>
                <w:sz w:val="16"/>
                <w:szCs w:val="16"/>
              </w:rPr>
              <w:t xml:space="preserve">Add tenant isolation (RLS)</w:t>
            </w:r>
          </w:p>
          <w:p>
            <w:pPr>
              <w:spacing w:before="30" w:after="0"/>
            </w:pPr>
            <w:r>
              <w:rPr>
                <w:rFonts w:ascii="Arial" w:cs="Arial" w:eastAsia="Arial" w:hAnsi="Arial"/>
                <w:b w:val="false"/>
                <w:bCs w:val="false"/>
                <w:color w:val="1A2332"/>
                <w:sz w:val="16"/>
                <w:szCs w:val="16"/>
              </w:rPr>
              <w:t xml:space="preserve">Add TLS / HTTPS only</w:t>
            </w:r>
          </w:p>
        </w:tc>
        <w:tc>
          <w:tcPr>
            <w:tcW w:type="dxa" w:w="2400"/>
            <w:tcBorders>
              <w:top w:val="single" w:color="CCCCCC" w:sz="1"/>
              <w:left w:val="single" w:color="CCCCCC" w:sz="1"/>
              <w:bottom w:val="single" w:color="CCCCCC" w:sz="1"/>
              <w:right w:val="single" w:color="CCCCCC" w:sz="1"/>
            </w:tcBorders>
            <w:shd w:fill="E6F4F8" w:val="clear"/>
            <w:tcMar>
              <w:top w:type="dxa" w:w="80"/>
              <w:left w:type="dxa" w:w="120"/>
              <w:bottom w:type="dxa" w:w="80"/>
              <w:right w:type="dxa" w:w="120"/>
            </w:tcMar>
          </w:tcPr>
          <w:p>
            <w:pPr>
              <w:spacing w:before="0" w:after="0"/>
            </w:pPr>
            <w:r>
              <w:rPr>
                <w:rFonts w:ascii="Arial" w:cs="Arial" w:eastAsia="Arial" w:hAnsi="Arial"/>
                <w:b w:val="false"/>
                <w:bCs w:val="false"/>
                <w:color w:val="1A2332"/>
                <w:sz w:val="16"/>
                <w:szCs w:val="16"/>
              </w:rPr>
              <w:t xml:space="preserve">CRITICAL issues #1, #2, #3, #6</w:t>
            </w:r>
          </w:p>
        </w:tc>
        <w:tc>
          <w:tcPr>
            <w:tcW w:type="dxa" w:w="2260"/>
            <w:tcBorders>
              <w:top w:val="single" w:color="CCCCCC" w:sz="1"/>
              <w:left w:val="single" w:color="CCCCCC" w:sz="1"/>
              <w:bottom w:val="single" w:color="CCCCCC" w:sz="1"/>
              <w:right w:val="single" w:color="CCCCCC" w:sz="1"/>
            </w:tcBorders>
            <w:shd w:fill="E6F4F8" w:val="clear"/>
            <w:tcMar>
              <w:top w:type="dxa" w:w="80"/>
              <w:left w:type="dxa" w:w="120"/>
              <w:bottom w:type="dxa" w:w="80"/>
              <w:right w:type="dxa" w:w="120"/>
            </w:tcMar>
          </w:tcPr>
          <w:p>
            <w:pPr>
              <w:spacing w:before="0" w:after="0"/>
            </w:pPr>
            <w:r>
              <w:rPr>
                <w:rFonts w:ascii="Arial" w:cs="Arial" w:eastAsia="Arial" w:hAnsi="Arial"/>
                <w:b w:val="false"/>
                <w:bCs w:val="false"/>
                <w:color w:val="1A2332"/>
                <w:sz w:val="16"/>
                <w:szCs w:val="16"/>
              </w:rPr>
              <w:t xml:space="preserve">Without these, cannot expose to any bank</w:t>
            </w:r>
          </w:p>
        </w:tc>
      </w:tr>
      <w:tr>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before="0" w:after="0"/>
            </w:pPr>
            <w:r>
              <w:rPr>
                <w:rFonts w:ascii="Arial" w:cs="Arial" w:eastAsia="Arial" w:hAnsi="Arial"/>
                <w:b/>
                <w:bCs/>
                <w:color w:val="1A2332"/>
                <w:sz w:val="18"/>
                <w:szCs w:val="18"/>
              </w:rPr>
              <w:t xml:space="preserve">Phase 2</w:t>
            </w:r>
          </w:p>
          <w:p>
            <w:pPr>
              <w:spacing w:before="30" w:after="0"/>
            </w:pPr>
            <w:r>
              <w:rPr>
                <w:rFonts w:ascii="Arial" w:cs="Arial" w:eastAsia="Arial" w:hAnsi="Arial"/>
                <w:b w:val="false"/>
                <w:bCs w:val="false"/>
                <w:color w:val="1A2332"/>
                <w:sz w:val="16"/>
                <w:szCs w:val="16"/>
              </w:rPr>
              <w:t xml:space="preserve">Weeks 5–8</w:t>
            </w:r>
          </w:p>
          <w:p>
            <w:pPr>
              <w:spacing w:before="30" w:after="0"/>
            </w:pPr>
            <w:r>
              <w:rPr>
                <w:rFonts w:ascii="Arial" w:cs="Arial" w:eastAsia="Arial" w:hAnsi="Arial"/>
                <w:b w:val="false"/>
                <w:bCs w:val="false"/>
                <w:color w:val="1A2332"/>
                <w:sz w:val="16"/>
                <w:szCs w:val="16"/>
              </w:rPr>
              <w:t xml:space="preserve">(Compliance baseline)</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before="0" w:after="0"/>
            </w:pPr>
            <w:r>
              <w:rPr>
                <w:rFonts w:ascii="Arial" w:cs="Arial" w:eastAsia="Arial" w:hAnsi="Arial"/>
                <w:b w:val="false"/>
                <w:bCs w:val="false"/>
                <w:color w:val="1A2332"/>
                <w:sz w:val="16"/>
                <w:szCs w:val="16"/>
              </w:rPr>
              <w:t xml:space="preserve">Immutable audit log</w:t>
            </w:r>
          </w:p>
          <w:p>
            <w:pPr>
              <w:spacing w:before="30" w:after="0"/>
            </w:pPr>
            <w:r>
              <w:rPr>
                <w:rFonts w:ascii="Arial" w:cs="Arial" w:eastAsia="Arial" w:hAnsi="Arial"/>
                <w:b w:val="false"/>
                <w:bCs w:val="false"/>
                <w:color w:val="1A2332"/>
                <w:sz w:val="16"/>
                <w:szCs w:val="16"/>
              </w:rPr>
              <w:t xml:space="preserve">Persist evaluation results</w:t>
            </w:r>
          </w:p>
          <w:p>
            <w:pPr>
              <w:spacing w:before="30" w:after="0"/>
            </w:pPr>
            <w:r>
              <w:rPr>
                <w:rFonts w:ascii="Arial" w:cs="Arial" w:eastAsia="Arial" w:hAnsi="Arial"/>
                <w:b w:val="false"/>
                <w:bCs w:val="false"/>
                <w:color w:val="1A2332"/>
                <w:sz w:val="16"/>
                <w:szCs w:val="16"/>
              </w:rPr>
              <w:t xml:space="preserve">Encrypt PII columns</w:t>
            </w:r>
          </w:p>
          <w:p>
            <w:pPr>
              <w:spacing w:before="30" w:after="0"/>
            </w:pPr>
            <w:r>
              <w:rPr>
                <w:rFonts w:ascii="Arial" w:cs="Arial" w:eastAsia="Arial" w:hAnsi="Arial"/>
                <w:b w:val="false"/>
                <w:bCs w:val="false"/>
                <w:color w:val="1A2332"/>
                <w:sz w:val="16"/>
                <w:szCs w:val="16"/>
              </w:rPr>
              <w:t xml:space="preserve">Input validation layer</w:t>
            </w:r>
          </w:p>
          <w:p>
            <w:pPr>
              <w:spacing w:before="30" w:after="0"/>
            </w:pPr>
            <w:r>
              <w:rPr>
                <w:rFonts w:ascii="Arial" w:cs="Arial" w:eastAsia="Arial" w:hAnsi="Arial"/>
                <w:b w:val="false"/>
                <w:bCs w:val="false"/>
                <w:color w:val="1A2332"/>
                <w:sz w:val="16"/>
                <w:szCs w:val="16"/>
              </w:rPr>
              <w:t xml:space="preserve">Structured logging + request tracing</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before="0" w:after="0"/>
            </w:pPr>
            <w:r>
              <w:rPr>
                <w:rFonts w:ascii="Arial" w:cs="Arial" w:eastAsia="Arial" w:hAnsi="Arial"/>
                <w:b w:val="false"/>
                <w:bCs w:val="false"/>
                <w:color w:val="1A2332"/>
                <w:sz w:val="16"/>
                <w:szCs w:val="16"/>
              </w:rPr>
              <w:t xml:space="preserve">CRITICAL issues #4, #7, #11 + HIGH #9</w:t>
            </w:r>
          </w:p>
        </w:tc>
        <w:tc>
          <w:tcPr>
            <w:tcW w:type="dxa" w:w="22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before="0" w:after="0"/>
            </w:pPr>
            <w:r>
              <w:rPr>
                <w:rFonts w:ascii="Arial" w:cs="Arial" w:eastAsia="Arial" w:hAnsi="Arial"/>
                <w:b w:val="false"/>
                <w:bCs w:val="false"/>
                <w:color w:val="1A2332"/>
                <w:sz w:val="16"/>
                <w:szCs w:val="16"/>
              </w:rPr>
              <w:t xml:space="preserve">Needed for RBI compliance and CIBIL agreement</w:t>
            </w:r>
          </w:p>
        </w:tc>
      </w:tr>
      <w:tr>
        <w:tc>
          <w:tcPr>
            <w:tcW w:type="dxa" w:w="14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before="0" w:after="0"/>
            </w:pPr>
            <w:r>
              <w:rPr>
                <w:rFonts w:ascii="Arial" w:cs="Arial" w:eastAsia="Arial" w:hAnsi="Arial"/>
                <w:b/>
                <w:bCs/>
                <w:color w:val="1A2332"/>
                <w:sz w:val="18"/>
                <w:szCs w:val="18"/>
              </w:rPr>
              <w:t xml:space="preserve">Phase 3</w:t>
            </w:r>
          </w:p>
          <w:p>
            <w:pPr>
              <w:spacing w:before="30" w:after="0"/>
            </w:pPr>
            <w:r>
              <w:rPr>
                <w:rFonts w:ascii="Arial" w:cs="Arial" w:eastAsia="Arial" w:hAnsi="Arial"/>
                <w:b w:val="false"/>
                <w:bCs w:val="false"/>
                <w:color w:val="1A2332"/>
                <w:sz w:val="16"/>
                <w:szCs w:val="16"/>
              </w:rPr>
              <w:t xml:space="preserve">Weeks 9–12</w:t>
            </w:r>
          </w:p>
          <w:p>
            <w:pPr>
              <w:spacing w:before="30" w:after="0"/>
            </w:pPr>
            <w:r>
              <w:rPr>
                <w:rFonts w:ascii="Arial" w:cs="Arial" w:eastAsia="Arial" w:hAnsi="Arial"/>
                <w:b w:val="false"/>
                <w:bCs w:val="false"/>
                <w:color w:val="1A2332"/>
                <w:sz w:val="16"/>
                <w:szCs w:val="16"/>
              </w:rPr>
              <w:t xml:space="preserve">(SaaS hardening)</w:t>
            </w:r>
          </w:p>
        </w:tc>
        <w:tc>
          <w:tcPr>
            <w:tcW w:type="dxa" w:w="24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before="0" w:after="0"/>
            </w:pPr>
            <w:r>
              <w:rPr>
                <w:rFonts w:ascii="Arial" w:cs="Arial" w:eastAsia="Arial" w:hAnsi="Arial"/>
                <w:b w:val="false"/>
                <w:bCs w:val="false"/>
                <w:color w:val="1A2332"/>
                <w:sz w:val="16"/>
                <w:szCs w:val="16"/>
              </w:rPr>
              <w:t xml:space="preserve">Redis config cache</w:t>
            </w:r>
          </w:p>
          <w:p>
            <w:pPr>
              <w:spacing w:before="30" w:after="0"/>
            </w:pPr>
            <w:r>
              <w:rPr>
                <w:rFonts w:ascii="Arial" w:cs="Arial" w:eastAsia="Arial" w:hAnsi="Arial"/>
                <w:b w:val="false"/>
                <w:bCs w:val="false"/>
                <w:color w:val="1A2332"/>
                <w:sz w:val="16"/>
                <w:szCs w:val="16"/>
              </w:rPr>
              <w:t xml:space="preserve">Celery async queue</w:t>
            </w:r>
          </w:p>
          <w:p>
            <w:pPr>
              <w:spacing w:before="30" w:after="0"/>
            </w:pPr>
            <w:r>
              <w:rPr>
                <w:rFonts w:ascii="Arial" w:cs="Arial" w:eastAsia="Arial" w:hAnsi="Arial"/>
                <w:b w:val="false"/>
                <w:bCs w:val="false"/>
                <w:color w:val="1A2332"/>
                <w:sz w:val="16"/>
                <w:szCs w:val="16"/>
              </w:rPr>
              <w:t xml:space="preserve">Rate limiting per tenant</w:t>
            </w:r>
          </w:p>
          <w:p>
            <w:pPr>
              <w:spacing w:before="30" w:after="0"/>
            </w:pPr>
            <w:r>
              <w:rPr>
                <w:rFonts w:ascii="Arial" w:cs="Arial" w:eastAsia="Arial" w:hAnsi="Arial"/>
                <w:b w:val="false"/>
                <w:bCs w:val="false"/>
                <w:color w:val="1A2332"/>
                <w:sz w:val="16"/>
                <w:szCs w:val="16"/>
              </w:rPr>
              <w:t xml:space="preserve">Health / readiness endpoints</w:t>
            </w:r>
          </w:p>
          <w:p>
            <w:pPr>
              <w:spacing w:before="30" w:after="0"/>
            </w:pPr>
            <w:r>
              <w:rPr>
                <w:rFonts w:ascii="Arial" w:cs="Arial" w:eastAsia="Arial" w:hAnsi="Arial"/>
                <w:b w:val="false"/>
                <w:bCs w:val="false"/>
                <w:color w:val="1A2332"/>
                <w:sz w:val="16"/>
                <w:szCs w:val="16"/>
              </w:rPr>
              <w:t xml:space="preserve">API versioning strategy</w:t>
            </w:r>
          </w:p>
          <w:p>
            <w:pPr>
              <w:spacing w:before="30" w:after="0"/>
            </w:pPr>
            <w:r>
              <w:rPr>
                <w:rFonts w:ascii="Arial" w:cs="Arial" w:eastAsia="Arial" w:hAnsi="Arial"/>
                <w:b w:val="false"/>
                <w:bCs w:val="false"/>
                <w:color w:val="1A2332"/>
                <w:sz w:val="16"/>
                <w:szCs w:val="16"/>
              </w:rPr>
              <w:t xml:space="preserve">Separate static asset serving</w:t>
            </w:r>
          </w:p>
        </w:tc>
        <w:tc>
          <w:tcPr>
            <w:tcW w:type="dxa" w:w="24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before="0" w:after="0"/>
            </w:pPr>
            <w:r>
              <w:rPr>
                <w:rFonts w:ascii="Arial" w:cs="Arial" w:eastAsia="Arial" w:hAnsi="Arial"/>
                <w:b w:val="false"/>
                <w:bCs w:val="false"/>
                <w:color w:val="1A2332"/>
                <w:sz w:val="16"/>
                <w:szCs w:val="16"/>
              </w:rPr>
              <w:t xml:space="preserve">HIGH issues #8, #9, #12, #13, #14, #15</w:t>
            </w:r>
          </w:p>
        </w:tc>
        <w:tc>
          <w:tcPr>
            <w:tcW w:type="dxa" w:w="226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pPr>
              <w:spacing w:before="0" w:after="0"/>
            </w:pPr>
            <w:r>
              <w:rPr>
                <w:rFonts w:ascii="Arial" w:cs="Arial" w:eastAsia="Arial" w:hAnsi="Arial"/>
                <w:b w:val="false"/>
                <w:bCs w:val="false"/>
                <w:color w:val="1A2332"/>
                <w:sz w:val="16"/>
                <w:szCs w:val="16"/>
              </w:rPr>
              <w:t xml:space="preserve">Production-grade scalability</w:t>
            </w:r>
          </w:p>
        </w:tc>
      </w:tr>
      <w:tr>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before="0" w:after="0"/>
            </w:pPr>
            <w:r>
              <w:rPr>
                <w:rFonts w:ascii="Arial" w:cs="Arial" w:eastAsia="Arial" w:hAnsi="Arial"/>
                <w:b/>
                <w:bCs/>
                <w:color w:val="1A2332"/>
                <w:sz w:val="18"/>
                <w:szCs w:val="18"/>
              </w:rPr>
              <w:t xml:space="preserve">Phase 4</w:t>
            </w:r>
          </w:p>
          <w:p>
            <w:pPr>
              <w:spacing w:before="30" w:after="0"/>
            </w:pPr>
            <w:r>
              <w:rPr>
                <w:rFonts w:ascii="Arial" w:cs="Arial" w:eastAsia="Arial" w:hAnsi="Arial"/>
                <w:b w:val="false"/>
                <w:bCs w:val="false"/>
                <w:color w:val="1A2332"/>
                <w:sz w:val="16"/>
                <w:szCs w:val="16"/>
              </w:rPr>
              <w:t xml:space="preserve">Weeks 13–16</w:t>
            </w:r>
          </w:p>
          <w:p>
            <w:pPr>
              <w:spacing w:before="30" w:after="0"/>
            </w:pPr>
            <w:r>
              <w:rPr>
                <w:rFonts w:ascii="Arial" w:cs="Arial" w:eastAsia="Arial" w:hAnsi="Arial"/>
                <w:b w:val="false"/>
                <w:bCs w:val="false"/>
                <w:color w:val="1A2332"/>
                <w:sz w:val="16"/>
                <w:szCs w:val="16"/>
              </w:rPr>
              <w:t xml:space="preserve">(Growth features)</w:t>
            </w:r>
          </w:p>
        </w:tc>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before="0" w:after="0"/>
            </w:pPr>
            <w:r>
              <w:rPr>
                <w:rFonts w:ascii="Arial" w:cs="Arial" w:eastAsia="Arial" w:hAnsi="Arial"/>
                <w:b w:val="false"/>
                <w:bCs w:val="false"/>
                <w:color w:val="1A2332"/>
                <w:sz w:val="16"/>
                <w:szCs w:val="16"/>
              </w:rPr>
              <w:t xml:space="preserve">Multi-bureau adapters (Experian, CRIF)</w:t>
            </w:r>
          </w:p>
          <w:p>
            <w:pPr>
              <w:spacing w:before="30" w:after="0"/>
            </w:pPr>
            <w:r>
              <w:rPr>
                <w:rFonts w:ascii="Arial" w:cs="Arial" w:eastAsia="Arial" w:hAnsi="Arial"/>
                <w:b w:val="false"/>
                <w:bCs w:val="false"/>
                <w:color w:val="1A2332"/>
                <w:sz w:val="16"/>
                <w:szCs w:val="16"/>
              </w:rPr>
              <w:t xml:space="preserve">Variable template management UI</w:t>
            </w:r>
          </w:p>
          <w:p>
            <w:pPr>
              <w:spacing w:before="30" w:after="0"/>
            </w:pPr>
            <w:r>
              <w:rPr>
                <w:rFonts w:ascii="Arial" w:cs="Arial" w:eastAsia="Arial" w:hAnsi="Arial"/>
                <w:b w:val="false"/>
                <w:bCs w:val="false"/>
                <w:color w:val="1A2332"/>
                <w:sz w:val="16"/>
                <w:szCs w:val="16"/>
              </w:rPr>
              <w:t xml:space="preserve">Batch evaluation API</w:t>
            </w:r>
          </w:p>
          <w:p>
            <w:pPr>
              <w:spacing w:before="30" w:after="0"/>
            </w:pPr>
            <w:r>
              <w:rPr>
                <w:rFonts w:ascii="Arial" w:cs="Arial" w:eastAsia="Arial" w:hAnsi="Arial"/>
                <w:b w:val="false"/>
                <w:bCs w:val="false"/>
                <w:color w:val="1A2332"/>
                <w:sz w:val="16"/>
                <w:szCs w:val="16"/>
              </w:rPr>
              <w:t xml:space="preserve">Metrics dashboard (Grafana)</w:t>
            </w:r>
          </w:p>
          <w:p>
            <w:pPr>
              <w:spacing w:before="30" w:after="0"/>
            </w:pPr>
            <w:r>
              <w:rPr>
                <w:rFonts w:ascii="Arial" w:cs="Arial" w:eastAsia="Arial" w:hAnsi="Arial"/>
                <w:b w:val="false"/>
                <w:bCs w:val="false"/>
                <w:color w:val="1A2332"/>
                <w:sz w:val="16"/>
                <w:szCs w:val="16"/>
              </w:rPr>
              <w:t xml:space="preserve">SOC 2 / ISO 27001 preparation</w:t>
            </w:r>
          </w:p>
          <w:p>
            <w:pPr>
              <w:spacing w:before="30" w:after="0"/>
            </w:pPr>
            <w:r>
              <w:rPr>
                <w:rFonts w:ascii="Arial" w:cs="Arial" w:eastAsia="Arial" w:hAnsi="Arial"/>
                <w:b w:val="false"/>
                <w:bCs w:val="false"/>
                <w:color w:val="1A2332"/>
                <w:sz w:val="16"/>
                <w:szCs w:val="16"/>
              </w:rPr>
              <w:t xml:space="preserve">Sandbox environment per tenant</w:t>
            </w:r>
          </w:p>
        </w:tc>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before="0" w:after="0"/>
            </w:pPr>
            <w:r>
              <w:rPr>
                <w:rFonts w:ascii="Arial" w:cs="Arial" w:eastAsia="Arial" w:hAnsi="Arial"/>
                <w:b w:val="false"/>
                <w:bCs w:val="false"/>
                <w:color w:val="1A2332"/>
                <w:sz w:val="16"/>
                <w:szCs w:val="16"/>
              </w:rPr>
              <w:t xml:space="preserve">MEDIUM issues + extensibility</w:t>
            </w:r>
          </w:p>
        </w:tc>
        <w:tc>
          <w:tcPr>
            <w:tcW w:type="dxa" w:w="22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before="0" w:after="0"/>
            </w:pPr>
            <w:r>
              <w:rPr>
                <w:rFonts w:ascii="Arial" w:cs="Arial" w:eastAsia="Arial" w:hAnsi="Arial"/>
                <w:b w:val="false"/>
                <w:bCs w:val="false"/>
                <w:color w:val="1A2332"/>
                <w:sz w:val="16"/>
                <w:szCs w:val="16"/>
              </w:rPr>
              <w:t xml:space="preserve">Competitive differentiation for banks</w:t>
            </w:r>
          </w:p>
        </w:tc>
      </w:tr>
    </w:tbl>
    <w:p>
      <w:r>
        <w:br w:type="page"/>
      </w:r>
    </w:p>
    <w:p>
      <w:pPr>
        <w:pStyle w:val="Heading1"/>
        <w:pBdr>
          <w:bottom w:val="single" w:color="0D6E8A" w:sz="8" w:space="4"/>
        </w:pBdr>
        <w:spacing w:before="400" w:after="200"/>
      </w:pPr>
      <w:r>
        <w:rPr>
          <w:rFonts w:ascii="Arial" w:cs="Arial" w:eastAsia="Arial" w:hAnsi="Arial"/>
          <w:b/>
          <w:bCs/>
          <w:color w:val="1A2332"/>
          <w:sz w:val="38"/>
          <w:szCs w:val="38"/>
        </w:rPr>
        <w:t xml:space="preserve">10. Security Checklist</w:t>
      </w:r>
    </w:p>
    <w:p>
      <w:pPr>
        <w:spacing w:before="80" w:after="80"/>
      </w:pPr>
      <w:r>
        <w:rPr>
          <w:rFonts w:ascii="Arial" w:cs="Arial" w:eastAsia="Arial" w:hAnsi="Arial"/>
          <w:b w:val="false"/>
          <w:bCs w:val="false"/>
          <w:color w:val="1A2332"/>
          <w:sz w:val="20"/>
          <w:szCs w:val="20"/>
        </w:rPr>
        <w:t xml:space="preserve">Current state of all key security controls required for bank-grade SaaS:</w:t>
      </w:r>
    </w:p>
    <w:p>
      <w:pPr>
        <w:spacing w:before="100" w:after="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3460"/>
      </w:tblGrid>
      <w:tr>
        <w:trPr>
          <w:tblHeader/>
        </w:trPr>
        <w:tc>
          <w:tcPr>
            <w:tcW w:type="dxa" w:w="350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Security Control</w:t>
            </w:r>
          </w:p>
        </w:tc>
        <w:tc>
          <w:tcPr>
            <w:tcW w:type="dxa" w:w="150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346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 Required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TLS 1.3 enforced on all endpoints</w:t>
            </w:r>
          </w:p>
        </w:tc>
        <w:tc>
          <w:tcPr>
            <w:tcW w:type="dxa" w:w="15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 Missing</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Add HTTPS-only; reject HTTP; HSTS headers</w:t>
            </w:r>
          </w:p>
        </w:tc>
      </w:tr>
      <w:tr>
        <w:tc>
          <w:tcPr>
            <w:tcW w:type="dxa" w:w="35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API authentication (JWT / API key)</w:t>
            </w:r>
          </w:p>
        </w:tc>
        <w:tc>
          <w:tcPr>
            <w:tcW w:type="dxa" w:w="15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 Missing</w:t>
            </w:r>
          </w:p>
        </w:tc>
        <w:tc>
          <w:tcPr>
            <w:tcW w:type="dxa" w:w="34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Implement OAuth2 client credentials flow per tenant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Role-based access control (RBAC)</w:t>
            </w:r>
          </w:p>
        </w:tc>
        <w:tc>
          <w:tcPr>
            <w:tcW w:type="dxa" w:w="15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 Missing</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Admin / Rule Manager / Read-only roles per company</w:t>
            </w:r>
          </w:p>
        </w:tc>
      </w:tr>
      <w:tr>
        <w:tc>
          <w:tcPr>
            <w:tcW w:type="dxa" w:w="35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Tenant data isolation (row-level security)</w:t>
            </w:r>
          </w:p>
        </w:tc>
        <w:tc>
          <w:tcPr>
            <w:tcW w:type="dxa" w:w="15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 Missing</w:t>
            </w:r>
          </w:p>
        </w:tc>
        <w:tc>
          <w:tcPr>
            <w:tcW w:type="dxa" w:w="34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PostgreSQL RLS policies scoped to tenant_id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Encryption at rest (PII columns)</w:t>
            </w:r>
          </w:p>
        </w:tc>
        <w:tc>
          <w:tcPr>
            <w:tcW w:type="dxa" w:w="15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 Missing</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pgcrypto / column-level encryption for sensitive fields</w:t>
            </w:r>
          </w:p>
        </w:tc>
      </w:tr>
      <w:tr>
        <w:tc>
          <w:tcPr>
            <w:tcW w:type="dxa" w:w="35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Encryption in transit</w:t>
            </w:r>
          </w:p>
        </w:tc>
        <w:tc>
          <w:tcPr>
            <w:tcW w:type="dxa" w:w="15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 Missing</w:t>
            </w:r>
          </w:p>
        </w:tc>
        <w:tc>
          <w:tcPr>
            <w:tcW w:type="dxa" w:w="34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TLS between all internal services (mTLS for service mesh)</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Rate limiting per tenant</w:t>
            </w:r>
          </w:p>
        </w:tc>
        <w:tc>
          <w:tcPr>
            <w:tcW w:type="dxa" w:w="15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 Missing</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Token bucket per API key; configurable per plan tier</w:t>
            </w:r>
          </w:p>
        </w:tc>
      </w:tr>
      <w:tr>
        <w:tc>
          <w:tcPr>
            <w:tcW w:type="dxa" w:w="35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Input sanitisation / validation</w:t>
            </w:r>
          </w:p>
        </w:tc>
        <w:tc>
          <w:tcPr>
            <w:tcW w:type="dxa" w:w="1500"/>
            <w:tcBorders>
              <w:top w:val="single" w:color="CCCCCC" w:sz="1"/>
              <w:left w:val="single" w:color="CCCCCC" w:sz="1"/>
              <w:bottom w:val="single" w:color="CCCCCC" w:sz="1"/>
              <w:right w:val="single" w:color="CCCCCC" w:sz="1"/>
            </w:tcBorders>
            <w:shd w:fill="FEF3CD"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 Partial</w:t>
            </w:r>
          </w:p>
        </w:tc>
        <w:tc>
          <w:tcPr>
            <w:tcW w:type="dxa" w:w="34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Pydantic models exist but no DPD string length/format checks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Secret management</w:t>
            </w:r>
          </w:p>
        </w:tc>
        <w:tc>
          <w:tcPr>
            <w:tcW w:type="dxa" w:w="15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 Missing</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No secrets in config.json or env vars; use Vault / AWS SM</w:t>
            </w:r>
          </w:p>
        </w:tc>
      </w:tr>
      <w:tr>
        <w:tc>
          <w:tcPr>
            <w:tcW w:type="dxa" w:w="35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Dependency vulnerability scanning</w:t>
            </w:r>
          </w:p>
        </w:tc>
        <w:tc>
          <w:tcPr>
            <w:tcW w:type="dxa" w:w="15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 Unknown</w:t>
            </w:r>
          </w:p>
        </w:tc>
        <w:tc>
          <w:tcPr>
            <w:tcW w:type="dxa" w:w="34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Add Dependabot / Snyk to CI pipeline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Penetration testing schedule</w:t>
            </w:r>
          </w:p>
        </w:tc>
        <w:tc>
          <w:tcPr>
            <w:tcW w:type="dxa" w:w="15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 Not planned</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Annual pentest required for bank vendor onboarding</w:t>
            </w:r>
          </w:p>
        </w:tc>
      </w:tr>
      <w:tr>
        <w:tc>
          <w:tcPr>
            <w:tcW w:type="dxa" w:w="35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Incident response plan</w:t>
            </w:r>
          </w:p>
        </w:tc>
        <w:tc>
          <w:tcPr>
            <w:tcW w:type="dxa" w:w="15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1A2332"/>
                <w:sz w:val="16"/>
                <w:szCs w:val="16"/>
              </w:rPr>
              <w:t xml:space="preserve">❌ Not planned</w:t>
            </w:r>
          </w:p>
        </w:tc>
        <w:tc>
          <w:tcPr>
            <w:tcW w:type="dxa" w:w="34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Required for ISO 27001 / SOC 2 compliance</w:t>
            </w:r>
          </w:p>
        </w:tc>
      </w:tr>
    </w:tbl>
    <w:p>
      <w:r>
        <w:br w:type="page"/>
      </w:r>
    </w:p>
    <w:p>
      <w:pPr>
        <w:pStyle w:val="Heading1"/>
        <w:pBdr>
          <w:bottom w:val="single" w:color="0D6E8A" w:sz="8" w:space="4"/>
        </w:pBdr>
        <w:spacing w:before="400" w:after="200"/>
      </w:pPr>
      <w:r>
        <w:rPr>
          <w:rFonts w:ascii="Arial" w:cs="Arial" w:eastAsia="Arial" w:hAnsi="Arial"/>
          <w:b/>
          <w:bCs/>
          <w:color w:val="1A2332"/>
          <w:sz w:val="38"/>
          <w:szCs w:val="38"/>
        </w:rPr>
        <w:t xml:space="preserve">11. Information Needed for Full Sizing</w:t>
      </w:r>
    </w:p>
    <w:p>
      <w:pPr>
        <w:spacing w:before="80" w:after="80"/>
      </w:pPr>
      <w:r>
        <w:rPr>
          <w:rFonts w:ascii="Arial" w:cs="Arial" w:eastAsia="Arial" w:hAnsi="Arial"/>
          <w:b w:val="false"/>
          <w:bCs w:val="false"/>
          <w:color w:val="1A2332"/>
          <w:sz w:val="20"/>
          <w:szCs w:val="20"/>
        </w:rPr>
        <w:t xml:space="preserve">The following information will allow finalization of infrastructure sizing, compliance scope, and feature prioritisation. Please provide answers to complete the architecture design:</w:t>
      </w:r>
    </w:p>
    <w:p>
      <w:pPr>
        <w:spacing w:before="100" w:after="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000"/>
        <w:gridCol w:w="5460"/>
      </w:tblGrid>
      <w:tr>
        <w:trPr>
          <w:tblHeader/>
        </w:trPr>
        <w:tc>
          <w:tcPr>
            <w:tcW w:type="dxa" w:w="300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Information Needed</w:t>
            </w:r>
          </w:p>
        </w:tc>
        <w:tc>
          <w:tcPr>
            <w:tcW w:type="dxa" w:w="546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It Matters for Architecture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Expected TPS / evaluations per day</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Determines number of API replicas, queue workers, and DB read replicas needed</w:t>
            </w:r>
          </w:p>
        </w:tc>
      </w:tr>
      <w:tr>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Target deployment model</w:t>
            </w:r>
          </w:p>
        </w:tc>
        <w:tc>
          <w:tcPr>
            <w:tcW w:type="dxa" w:w="54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Cloud-native (AWS/GCP/Azure) vs on-premise deployment at bank data centres vs hybrid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Bureau data format</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Will you receive raw CIBIL XML, structured JSON, or direct CIBIL API integration?</w:t>
            </w:r>
          </w:p>
        </w:tc>
      </w:tr>
      <w:tr>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Multi-bureau requirement timeline</w:t>
            </w:r>
          </w:p>
        </w:tc>
        <w:tc>
          <w:tcPr>
            <w:tcW w:type="dxa" w:w="54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When do you need Experian/Equifax/CRIF support? Affects normalizer abstraction design now</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Regulatory scope of clients</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Are clients Scheduled Commercial Banks, NBFCs, P2P lenders, or all? Affects audit log retention and data handling rules</w:t>
            </w:r>
          </w:p>
        </w:tc>
      </w:tr>
      <w:tr>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Custom variable requirement</w:t>
            </w:r>
          </w:p>
        </w:tc>
        <w:tc>
          <w:tcPr>
            <w:tcW w:type="dxa" w:w="54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Do banks need to bring their own derived variables beyond the 119? Affects template engine design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Existing CIBIL API credentials model</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Will each bank provide their own CIBIL API key, or will you proxy bureau pulls? Critical for data ownership and liability</w:t>
            </w:r>
          </w:p>
        </w:tc>
      </w:tr>
      <w:tr>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SLA commitments to banks</w:t>
            </w:r>
          </w:p>
        </w:tc>
        <w:tc>
          <w:tcPr>
            <w:tcW w:type="dxa" w:w="54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What uptime and p99 latency are you promising in contracts? Drives infrastructure sizing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Data residency requirements</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All Indian clients? Or do you plan global expansion? Determines deployment regions and data replication strategy</w:t>
            </w:r>
          </w:p>
        </w:tc>
      </w:tr>
      <w:tr>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Pricing / plan tiers</w:t>
            </w:r>
          </w:p>
        </w:tc>
        <w:tc>
          <w:tcPr>
            <w:tcW w:type="dxa" w:w="54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Needed to design rate limits and feature flags per tenant in the system</w:t>
            </w:r>
          </w:p>
        </w:tc>
      </w:tr>
    </w:tbl>
    <w:p>
      <w:r>
        <w:br w:type="page"/>
      </w:r>
    </w:p>
    <w:p>
      <w:pPr>
        <w:pStyle w:val="Heading1"/>
        <w:pBdr>
          <w:bottom w:val="single" w:color="0D6E8A" w:sz="8" w:space="4"/>
        </w:pBdr>
        <w:spacing w:before="400" w:after="200"/>
      </w:pPr>
      <w:r>
        <w:rPr>
          <w:rFonts w:ascii="Arial" w:cs="Arial" w:eastAsia="Arial" w:hAnsi="Arial"/>
          <w:b/>
          <w:bCs/>
          <w:color w:val="1A2332"/>
          <w:sz w:val="38"/>
          <w:szCs w:val="38"/>
        </w:rPr>
        <w:t xml:space="preserve">12. Quick Wins — Can Be Done This Week</w:t>
      </w:r>
    </w:p>
    <w:p>
      <w:pPr>
        <w:spacing w:before="80" w:after="80"/>
      </w:pPr>
      <w:r>
        <w:rPr>
          <w:rFonts w:ascii="Arial" w:cs="Arial" w:eastAsia="Arial" w:hAnsi="Arial"/>
          <w:b w:val="false"/>
          <w:bCs w:val="false"/>
          <w:color w:val="1A2332"/>
          <w:sz w:val="20"/>
          <w:szCs w:val="20"/>
        </w:rPr>
        <w:t xml:space="preserve">While the full remediation roadmap is 16 weeks, the following changes can be made immediately with minimal risk and significant impact:</w:t>
      </w:r>
    </w:p>
    <w:p>
      <w:pPr>
        <w:spacing w:before="80" w:after="0"/>
      </w:pPr>
      <w:r>
        <w:t xml:space="preserve"/>
      </w:r>
    </w:p>
    <w:p>
      <w:pPr>
        <w:pStyle w:val="ListParagraph"/>
        <w:numPr>
          <w:ilvl w:val="0"/>
          <w:numId w:val="3"/>
        </w:numPr>
        <w:spacing w:before="40" w:after="40"/>
      </w:pPr>
      <w:r>
        <w:rPr>
          <w:rFonts w:ascii="Arial" w:cs="Arial" w:eastAsia="Arial" w:hAnsi="Arial"/>
          <w:color w:val="1A2332"/>
          <w:sz w:val="18"/>
          <w:szCs w:val="18"/>
        </w:rPr>
        <w:t xml:space="preserve">Remove POST /api/config and GET /api/config endpoints entirely — they expose all tenant data in one call and have no place in a multi-tenant SaaS.</w:t>
      </w:r>
    </w:p>
    <w:p>
      <w:pPr>
        <w:pStyle w:val="ListParagraph"/>
        <w:numPr>
          <w:ilvl w:val="0"/>
          <w:numId w:val="3"/>
        </w:numPr>
        <w:spacing w:before="40" w:after="40"/>
      </w:pPr>
      <w:r>
        <w:rPr>
          <w:rFonts w:ascii="Arial" w:cs="Arial" w:eastAsia="Arial" w:hAnsi="Arial"/>
          <w:color w:val="1A2332"/>
          <w:sz w:val="18"/>
          <w:szCs w:val="18"/>
        </w:rPr>
        <w:t xml:space="preserve">Add HTTPS-only enforcement to Uvicorn startup config — one line of code, eliminates plaintext data in transit immediately.</w:t>
      </w:r>
    </w:p>
    <w:p>
      <w:pPr>
        <w:pStyle w:val="ListParagraph"/>
        <w:numPr>
          <w:ilvl w:val="0"/>
          <w:numId w:val="3"/>
        </w:numPr>
        <w:spacing w:before="40" w:after="40"/>
      </w:pPr>
      <w:r>
        <w:rPr>
          <w:rFonts w:ascii="Arial" w:cs="Arial" w:eastAsia="Arial" w:hAnsi="Arial"/>
          <w:color w:val="1A2332"/>
          <w:sz w:val="18"/>
          <w:szCs w:val="18"/>
        </w:rPr>
        <w:t xml:space="preserve">Add repayment_history string validation in the Pydantic Tradeline model — regex match for ^([0-9]{3}|XXX|STD|SMA|SUB|DBT|LSS|NEW|DIS)*$ prevents malformed input from reaching the parser.</w:t>
      </w:r>
    </w:p>
    <w:p>
      <w:pPr>
        <w:pStyle w:val="ListParagraph"/>
        <w:numPr>
          <w:ilvl w:val="0"/>
          <w:numId w:val="3"/>
        </w:numPr>
        <w:spacing w:before="40" w:after="40"/>
      </w:pPr>
      <w:r>
        <w:rPr>
          <w:rFonts w:ascii="Arial" w:cs="Arial" w:eastAsia="Arial" w:hAnsi="Arial"/>
          <w:color w:val="1A2332"/>
          <w:sz w:val="18"/>
          <w:szCs w:val="18"/>
        </w:rPr>
        <w:t xml:space="preserve">Add X-Request-ID header generation in API middleware — every request gets a unique ID logged with it, enabling basic request tracing before full observability is built.</w:t>
      </w:r>
    </w:p>
    <w:p>
      <w:pPr>
        <w:pStyle w:val="ListParagraph"/>
        <w:numPr>
          <w:ilvl w:val="0"/>
          <w:numId w:val="3"/>
        </w:numPr>
        <w:spacing w:before="40" w:after="40"/>
      </w:pPr>
      <w:r>
        <w:rPr>
          <w:rFonts w:ascii="Arial" w:cs="Arial" w:eastAsia="Arial" w:hAnsi="Arial"/>
          <w:color w:val="1A2332"/>
          <w:sz w:val="18"/>
          <w:szCs w:val="18"/>
        </w:rPr>
        <w:t xml:space="preserve">Move company_id validation to a middleware decorator — ensure every /companies/{company_id}/* route verifies the caller is authorized for that company_id before the endpoint runs.</w:t>
      </w:r>
    </w:p>
    <w:p>
      <w:pPr>
        <w:pStyle w:val="ListParagraph"/>
        <w:numPr>
          <w:ilvl w:val="0"/>
          <w:numId w:val="3"/>
        </w:numPr>
        <w:spacing w:before="40" w:after="40"/>
      </w:pPr>
      <w:r>
        <w:rPr>
          <w:rFonts w:ascii="Arial" w:cs="Arial" w:eastAsia="Arial" w:hAnsi="Arial"/>
          <w:color w:val="1A2332"/>
          <w:sz w:val="18"/>
          <w:szCs w:val="18"/>
        </w:rPr>
        <w:t xml:space="preserve">Add GET /health and GET /ready endpoints — zero-downtime deploys and load balancer health checks require these.</w:t>
      </w:r>
    </w:p>
    <w:p>
      <w:pPr>
        <w:pStyle w:val="ListParagraph"/>
        <w:numPr>
          <w:ilvl w:val="0"/>
          <w:numId w:val="3"/>
        </w:numPr>
        <w:spacing w:before="40" w:after="40"/>
      </w:pPr>
      <w:r>
        <w:rPr>
          <w:rFonts w:ascii="Arial" w:cs="Arial" w:eastAsia="Arial" w:hAnsi="Arial"/>
          <w:color w:val="1A2332"/>
          <w:sz w:val="18"/>
          <w:szCs w:val="18"/>
        </w:rPr>
        <w:t xml:space="preserve">Pin all dependency versions in requirements.txt and run pip-audit — identify known vulnerabilities in current dependencies immediately.</w:t>
      </w:r>
    </w:p>
    <w:p>
      <w:r>
        <w:br w:type="page"/>
      </w:r>
    </w:p>
    <w:p>
      <w:pPr>
        <w:pStyle w:val="Heading1"/>
        <w:pBdr>
          <w:bottom w:val="single" w:color="0D6E8A" w:sz="8" w:space="4"/>
        </w:pBdr>
        <w:spacing w:before="400" w:after="200"/>
      </w:pPr>
      <w:r>
        <w:rPr>
          <w:rFonts w:ascii="Arial" w:cs="Arial" w:eastAsia="Arial" w:hAnsi="Arial"/>
          <w:b/>
          <w:bCs/>
          <w:color w:val="1A2332"/>
          <w:sz w:val="38"/>
          <w:szCs w:val="38"/>
        </w:rPr>
        <w:t xml:space="preserve">13. Summary Verdict</w:t>
      </w:r>
    </w:p>
    <w:p>
      <w:pPr>
        <w:spacing w:before="60" w:after="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200"/>
        <w:gridCol w:w="6260"/>
      </w:tblGrid>
      <w:tr>
        <w:trPr>
          <w:tblHeader/>
        </w:trPr>
        <w:tc>
          <w:tcPr>
            <w:tcW w:type="dxa" w:w="220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Dimension</w:t>
            </w:r>
          </w:p>
        </w:tc>
        <w:tc>
          <w:tcPr>
            <w:tcW w:type="dxa" w:w="6260"/>
            <w:tcBorders>
              <w:top w:val="single" w:color="CCCCCC" w:sz="1"/>
              <w:left w:val="single" w:color="CCCCCC" w:sz="1"/>
              <w:bottom w:val="single" w:color="CCCCCC" w:sz="1"/>
              <w:right w:val="single" w:color="CCCCCC" w:sz="1"/>
            </w:tcBorders>
            <w:shd w:fill="0D6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Assessment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Core computation engine</w:t>
            </w:r>
          </w:p>
        </w:tc>
        <w:tc>
          <w:tcPr>
            <w:tcW w:type="dxa" w:w="62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 Production-quality — preserve and extend</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Multi-tenant config model</w:t>
            </w:r>
          </w:p>
        </w:tc>
        <w:tc>
          <w:tcPr>
            <w:tcW w:type="dxa" w:w="62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 Right design — needs PostgreSQL backend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4-layer pipeline</w:t>
            </w:r>
          </w:p>
        </w:tc>
        <w:tc>
          <w:tcPr>
            <w:tcW w:type="dxa" w:w="62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 Clean and testable — keep as-is</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Storage (JSON file)</w:t>
            </w:r>
          </w:p>
        </w:tc>
        <w:tc>
          <w:tcPr>
            <w:tcW w:type="dxa" w:w="626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 Cannot go to production — replace with PostgreSQL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Security (auth, encryption)</w:t>
            </w:r>
          </w:p>
        </w:tc>
        <w:tc>
          <w:tcPr>
            <w:tcW w:type="dxa" w:w="626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 Cannot go to production — zero controls present</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Compliance (audit, data retention)</w:t>
            </w:r>
          </w:p>
        </w:tc>
        <w:tc>
          <w:tcPr>
            <w:tcW w:type="dxa" w:w="626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 Cannot go to production — no audit trail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Performance (config reload)</w:t>
            </w:r>
          </w:p>
        </w:tc>
        <w:tc>
          <w:tcPr>
            <w:tcW w:type="dxa" w:w="626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 Cannot go to production — blocking I/O per request</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Scalability</w:t>
            </w:r>
          </w:p>
        </w:tc>
        <w:tc>
          <w:tcPr>
            <w:tcW w:type="dxa" w:w="6260"/>
            <w:tcBorders>
              <w:top w:val="single" w:color="CCCCCC" w:sz="1"/>
              <w:left w:val="single" w:color="CCCCCC" w:sz="1"/>
              <w:bottom w:val="single" w:color="CCCCCC" w:sz="1"/>
              <w:right w:val="single" w:color="CCCCCC" w:sz="1"/>
            </w:tcBorders>
            <w:shd w:fill="FEF3CD"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 Limited — single process; add async queue + replicas in Phase 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2332"/>
                <w:sz w:val="16"/>
                <w:szCs w:val="16"/>
              </w:rPr>
              <w:t xml:space="preserve">Regulatory readiness (RBI/DPDP)</w:t>
            </w:r>
          </w:p>
        </w:tc>
        <w:tc>
          <w:tcPr>
            <w:tcW w:type="dxa" w:w="6260"/>
            <w:tcBorders>
              <w:top w:val="single" w:color="CCCCCC" w:sz="1"/>
              <w:left w:val="single" w:color="CCCCCC" w:sz="1"/>
              <w:bottom w:val="single" w:color="CCCCCC" w:sz="1"/>
              <w:right w:val="single" w:color="CCCCCC" w:sz="1"/>
            </w:tcBorders>
            <w:shd w:fill="FEF3CD"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 Not ready — needs Phase 2 compliance work</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bCs/>
                <w:color w:val="1A2332"/>
                <w:sz w:val="16"/>
                <w:szCs w:val="16"/>
              </w:rPr>
              <w:t xml:space="preserve">Time to bank-ready (Phase 1+2)</w:t>
            </w:r>
          </w:p>
        </w:tc>
        <w:tc>
          <w:tcPr>
            <w:tcW w:type="dxa" w:w="62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pPr>
              <w:jc w:val="left"/>
            </w:pPr>
            <w:r>
              <w:rPr>
                <w:rFonts w:ascii="Arial" w:cs="Arial" w:eastAsia="Arial" w:hAnsi="Arial"/>
                <w:b w:val="false"/>
                <w:bCs w:val="false"/>
                <w:color w:val="1A2332"/>
                <w:sz w:val="16"/>
                <w:szCs w:val="16"/>
              </w:rPr>
              <w:t xml:space="preserve">~8 weeks of focused remediation</w:t>
            </w:r>
          </w:p>
        </w:tc>
      </w:tr>
    </w:tbl>
    <w:p>
      <w:pPr>
        <w:spacing w:before="200" w:after="0"/>
      </w:pPr>
      <w:r>
        <w:t xml:space="preserve"/>
      </w:r>
    </w:p>
    <w:p>
      <w:pPr>
        <w:spacing w:before="80" w:after="80"/>
      </w:pPr>
      <w:r>
        <w:rPr>
          <w:rFonts w:ascii="Arial" w:cs="Arial" w:eastAsia="Arial" w:hAnsi="Arial"/>
          <w:b w:val="false"/>
          <w:bCs w:val="false"/>
          <w:color w:val="1A2332"/>
          <w:sz w:val="20"/>
          <w:szCs w:val="20"/>
        </w:rPr>
        <w:t xml:space="preserve">Bottom line: The engine works well computationally. The path to a bank-grade SaaS is 8 weeks of security and infrastructure work (Phases 1–2), not a rewrite. The core business logic should not be touched — only the infrastructure around it needs to be production-hardened.</w:t>
      </w:r>
    </w:p>
    <w:p>
      <w:pPr>
        <w:spacing w:before="120" w:after="0"/>
      </w:pPr>
      <w:r>
        <w:t xml:space="preserve"/>
      </w:r>
    </w:p>
    <w:p>
      <w:pPr>
        <w:spacing w:before="80" w:after="80"/>
      </w:pPr>
      <w:r>
        <w:rPr>
          <w:rFonts w:ascii="Arial" w:cs="Arial" w:eastAsia="Arial" w:hAnsi="Arial"/>
          <w:b w:val="false"/>
          <w:bCs w:val="false"/>
          <w:color w:val="888888"/>
          <w:sz w:val="16"/>
          <w:szCs w:val="16"/>
        </w:rPr>
        <w:t xml:space="preserve">Prepared for: Engineering &amp; Architecture Review  ·  February 2026</w:t>
      </w:r>
    </w:p>
    <w:p>
      <w:pPr>
        <w:spacing w:before="80" w:after="80"/>
      </w:pPr>
      <w:r>
        <w:rPr>
          <w:rFonts w:ascii="Arial" w:cs="Arial" w:eastAsia="Arial" w:hAnsi="Arial"/>
          <w:b w:val="false"/>
          <w:bCs w:val="false"/>
          <w:color w:val="888888"/>
          <w:sz w:val="16"/>
          <w:szCs w:val="16"/>
        </w:rPr>
        <w:t xml:space="preserve">Next step: Provide answers to Section 11 questions to finalise infrastructure sizing.</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6E8A" w:sz="4" w:space="4"/>
      </w:pBdr>
      <w:tabs>
        <w:tab w:val="right" w:pos="9360"/>
      </w:tabs>
    </w:pPr>
    <w:r>
      <w:rPr>
        <w:rFonts w:ascii="Arial" w:cs="Arial" w:eastAsia="Arial" w:hAnsi="Arial"/>
        <w:color w:val="AAAAAA"/>
        <w:sz w:val="14"/>
        <w:szCs w:val="14"/>
      </w:rPr>
      <w:t xml:space="preserve">For internal use only — not for distribution</w:t>
    </w:r>
    <w:r>
      <w:rPr>
        <w:rFonts w:ascii="Arial" w:cs="Arial" w:eastAsia="Arial" w:hAnsi="Arial"/>
        <w:color w:val="AAAAAA"/>
        <w:sz w:val="14"/>
        <w:szCs w:val="14"/>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8A" w:sz="4" w:space="4"/>
      </w:pBdr>
    </w:pPr>
    <w:r>
      <w:rPr>
        <w:rFonts w:ascii="Arial" w:cs="Arial" w:eastAsia="Arial" w:hAnsi="Arial"/>
        <w:color w:val="888888"/>
        <w:sz w:val="16"/>
        <w:szCs w:val="16"/>
      </w:rPr>
      <w:t xml:space="preserve">LOS Bureau Rules Engine — SaaS Architecture Review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2332"/>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0D6E8A"/>
      <w:sz w:val="28"/>
      <w:szCs w:val="28"/>
    </w:rPr>
  </w:style>
  <w:style w:type="paragraph" w:styleId="Heading3">
    <w:name w:val="Heading 3"/>
    <w:basedOn w:val="Normal"/>
    <w:next w:val="Normal"/>
    <w:qFormat/>
    <w:pPr>
      <w:spacing w:before="220" w:after="80"/>
      <w:outlineLvl w:val="2"/>
    </w:pPr>
    <w:rPr>
      <w:rFonts w:ascii="Arial" w:cs="Arial" w:eastAsia="Arial" w:hAnsi="Arial"/>
      <w:b/>
      <w:bCs/>
      <w:color w:val="1A23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2026-02-27T04:03:18.092Z</dcterms:created>
  <dcterms:modified xsi:type="dcterms:W3CDTF">2026-02-27T04:03:18.093Z</dcterms:modified>
</cp:coreProperties>
</file>

<file path=docProps/custom.xml><?xml version="1.0" encoding="utf-8"?>
<Properties xmlns="http://schemas.openxmlformats.org/officeDocument/2006/custom-properties" xmlns:vt="http://schemas.openxmlformats.org/officeDocument/2006/docPropsVTypes"/>
</file>