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00"/>
      </w:tblGrid>
      <w:tr>
        <w:tc>
          <w:tcPr>
            <w:tcW w:type="dxa" w:w="10200"/>
            <w:shd w:val="clear" w:color="auto" w:fill="1E3A8A"/>
          </w:tcPr>
          <w:p>
            <w:pPr>
              <w:spacing w:before="0" w:after="0"/>
            </w:pPr>
          </w:p>
        </w:tc>
      </w:tr>
    </w:tbl>
    <w:p/>
    <w:p>
      <w:pPr>
        <w:jc w:val="center"/>
      </w:pPr>
      <w:r>
        <w:rPr>
          <w:b/>
          <w:color w:val="1E3A8A"/>
          <w:sz w:val="72"/>
        </w:rPr>
        <w:t>PathCraft AI</w:t>
      </w:r>
    </w:p>
    <w:p>
      <w:pPr>
        <w:jc w:val="center"/>
      </w:pPr>
      <w:r>
        <w:rPr>
          <w:b/>
          <w:color w:val="0E7490"/>
          <w:sz w:val="32"/>
        </w:rPr>
        <w:t>Enterprise Multi-Agent Career Intelligence Platform</w:t>
      </w:r>
    </w:p>
    <w:p>
      <w:pPr>
        <w:jc w:val="center"/>
      </w:pPr>
      <w:r>
        <w:rPr>
          <w:color w:val="64748B"/>
          <w:sz w:val="22"/>
        </w:rPr>
        <w:t>Technical Documentation  ·  Version 1.0  ·  2026</w:t>
      </w:r>
    </w:p>
    <w:p/>
    <w:tbl>
      <w:tblPr>
        <w:tblW w:type="auto" w:w="0"/>
        <w:jc w:val="center"/>
        <w:tblLook w:firstColumn="1" w:firstRow="1" w:lastColumn="0" w:lastRow="0" w:noHBand="0" w:noVBand="1" w:val="04A0"/>
      </w:tblPr>
      <w:tblGrid>
        <w:gridCol w:w="2040"/>
        <w:gridCol w:w="2040"/>
        <w:gridCol w:w="2040"/>
        <w:gridCol w:w="2040"/>
        <w:gridCol w:w="2040"/>
      </w:tblGrid>
      <w:tr>
        <w:tc>
          <w:tcPr>
            <w:tcW w:type="dxa" w:w="2040"/>
            <w:shd w:val="clear" w:color="auto" w:fill="EFF6FF"/>
            <w:tcW w:w="1814" w:type="dxa"/>
          </w:tcPr>
          <w:p>
            <w:pPr>
              <w:jc w:val="center"/>
            </w:pPr>
            <w:r>
              <w:rPr>
                <w:b/>
                <w:color w:val="1E3A8A"/>
                <w:sz w:val="18"/>
              </w:rPr>
              <w:t xml:space="preserve">  Google ADK 2.0  </w:t>
            </w:r>
          </w:p>
        </w:tc>
        <w:tc>
          <w:tcPr>
            <w:tcW w:type="dxa" w:w="2040"/>
            <w:shd w:val="clear" w:color="auto" w:fill="EFF6FF"/>
            <w:tcW w:w="1814" w:type="dxa"/>
          </w:tcPr>
          <w:p>
            <w:pPr>
              <w:jc w:val="center"/>
            </w:pPr>
            <w:r>
              <w:rPr>
                <w:b/>
                <w:color w:val="1E3A8A"/>
                <w:sz w:val="18"/>
              </w:rPr>
              <w:t xml:space="preserve">  Gemini 2.5 Flash/Pro  </w:t>
            </w:r>
          </w:p>
        </w:tc>
        <w:tc>
          <w:tcPr>
            <w:tcW w:type="dxa" w:w="2040"/>
            <w:shd w:val="clear" w:color="auto" w:fill="EFF6FF"/>
            <w:tcW w:w="1814" w:type="dxa"/>
          </w:tcPr>
          <w:p>
            <w:pPr>
              <w:jc w:val="center"/>
            </w:pPr>
            <w:r>
              <w:rPr>
                <w:b/>
                <w:color w:val="1E3A8A"/>
                <w:sz w:val="18"/>
              </w:rPr>
              <w:t xml:space="preserve">  Cloud Run  </w:t>
            </w:r>
          </w:p>
        </w:tc>
        <w:tc>
          <w:tcPr>
            <w:tcW w:type="dxa" w:w="2040"/>
            <w:shd w:val="clear" w:color="auto" w:fill="EFF6FF"/>
            <w:tcW w:w="1814" w:type="dxa"/>
          </w:tcPr>
          <w:p>
            <w:pPr>
              <w:jc w:val="center"/>
            </w:pPr>
            <w:r>
              <w:rPr>
                <w:b/>
                <w:color w:val="1E3A8A"/>
                <w:sz w:val="18"/>
              </w:rPr>
              <w:t xml:space="preserve">  FastAPI  </w:t>
            </w:r>
          </w:p>
        </w:tc>
        <w:tc>
          <w:tcPr>
            <w:tcW w:type="dxa" w:w="2040"/>
            <w:shd w:val="clear" w:color="auto" w:fill="EFF6FF"/>
            <w:tcW w:w="1814" w:type="dxa"/>
          </w:tcPr>
          <w:p>
            <w:pPr>
              <w:jc w:val="center"/>
            </w:pPr>
            <w:r>
              <w:rPr>
                <w:b/>
                <w:color w:val="1E3A8A"/>
                <w:sz w:val="18"/>
              </w:rPr>
              <w:t xml:space="preserve">  Streamlit  </w:t>
            </w:r>
          </w:p>
        </w:tc>
      </w:tr>
    </w:tbl>
    <w:p/>
    <w:p>
      <w:pPr>
        <w:pBdr>
          <w:bottom w:val="single" w:sz="6" w:space="1" w:color="1E3A8A"/>
        </w:pBdr>
        <w:spacing w:before="40" w:after="120"/>
      </w:pPr>
    </w:p>
    <w:p>
      <w:pPr>
        <w:spacing w:before="360" w:after="120"/>
        <w:jc w:val="left"/>
      </w:pPr>
      <w:r>
        <w:rPr>
          <w:b/>
          <w:color w:val="1E3A8A"/>
          <w:sz w:val="40"/>
        </w:rPr>
        <w:t>Section 1 — Project Description</w:t>
      </w:r>
    </w:p>
    <w:p>
      <w:pPr>
        <w:spacing w:after="80"/>
      </w:pPr>
      <w:r>
        <w:rPr>
          <w:color w:val="374151"/>
          <w:sz w:val="22"/>
        </w:rPr>
        <w:t>PathCraft AI is a production-grade, autonomous multi-agent platform that redefines how professionals navigate their careers. Built on Google ADK 2.0 (Agent Development Kit) and Gemini 2.5, it orchestrates a team of 10 specialised AI agents that collaborate in real-time to analyse skill gaps, optimise resumes surgically, build personalised upskilling roadmaps, and simulate realistic mock interviews — all grounded in live 2026 hiring market data.</w:t>
      </w:r>
    </w:p>
    <w:p>
      <w:pPr>
        <w:spacing w:before="240" w:after="120"/>
        <w:jc w:val="left"/>
      </w:pPr>
      <w:r>
        <w:rPr>
          <w:b/>
          <w:color w:val="0E7490"/>
          <w:sz w:val="30"/>
        </w:rPr>
        <w:t>Core Technology Stack</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E3A8A"/>
            <w:tcW w:w="2268" w:type="dxa"/>
          </w:tcPr>
          <w:p>
            <w:pPr>
              <w:jc w:val="center"/>
            </w:pPr>
            <w:r>
              <w:rPr>
                <w:b/>
                <w:color w:val="FFFFFF"/>
                <w:sz w:val="20"/>
              </w:rPr>
              <w:t>Layer</w:t>
            </w:r>
          </w:p>
        </w:tc>
        <w:tc>
          <w:tcPr>
            <w:tcW w:type="dxa" w:w="3400"/>
            <w:shd w:val="clear" w:color="auto" w:fill="1E3A8A"/>
            <w:tcW w:w="3685" w:type="dxa"/>
          </w:tcPr>
          <w:p>
            <w:pPr>
              <w:jc w:val="center"/>
            </w:pPr>
            <w:r>
              <w:rPr>
                <w:b/>
                <w:color w:val="FFFFFF"/>
                <w:sz w:val="20"/>
              </w:rPr>
              <w:t>Technology</w:t>
            </w:r>
          </w:p>
        </w:tc>
        <w:tc>
          <w:tcPr>
            <w:tcW w:type="dxa" w:w="3400"/>
            <w:shd w:val="clear" w:color="auto" w:fill="1E3A8A"/>
            <w:tcW w:w="3118" w:type="dxa"/>
          </w:tcPr>
          <w:p>
            <w:pPr>
              <w:jc w:val="center"/>
            </w:pPr>
            <w:r>
              <w:rPr>
                <w:b/>
                <w:color w:val="FFFFFF"/>
                <w:sz w:val="20"/>
              </w:rPr>
              <w:t>Role</w:t>
            </w:r>
          </w:p>
        </w:tc>
      </w:tr>
      <w:tr>
        <w:tc>
          <w:tcPr>
            <w:tcW w:type="dxa" w:w="3400"/>
            <w:shd w:val="clear" w:color="auto" w:fill="EFF6FF"/>
            <w:tcW w:w="2268" w:type="dxa"/>
          </w:tcPr>
          <w:p>
            <w:pPr>
              <w:jc w:val="left"/>
            </w:pPr>
            <w:r>
              <w:rPr>
                <w:b/>
                <w:color w:val="1E3A8A"/>
                <w:sz w:val="20"/>
              </w:rPr>
              <w:t>AI Orchestration</w:t>
            </w:r>
          </w:p>
        </w:tc>
        <w:tc>
          <w:tcPr>
            <w:tcW w:type="dxa" w:w="3400"/>
            <w:shd w:val="clear" w:color="auto" w:fill="F8FAFC"/>
            <w:tcW w:w="3685" w:type="dxa"/>
          </w:tcPr>
          <w:p>
            <w:pPr>
              <w:jc w:val="left"/>
            </w:pPr>
            <w:r>
              <w:rPr>
                <w:color w:val="1E293B"/>
                <w:sz w:val="20"/>
              </w:rPr>
              <w:t>Google ADK 2.0 + Gemini 2.5</w:t>
            </w:r>
          </w:p>
        </w:tc>
        <w:tc>
          <w:tcPr>
            <w:tcW w:type="dxa" w:w="3400"/>
            <w:shd w:val="clear" w:color="auto" w:fill="F8FAFC"/>
            <w:tcW w:w="3118" w:type="dxa"/>
          </w:tcPr>
          <w:p>
            <w:pPr>
              <w:jc w:val="left"/>
            </w:pPr>
            <w:r>
              <w:rPr>
                <w:color w:val="1E293B"/>
                <w:sz w:val="20"/>
              </w:rPr>
              <w:t>Multi-agent workflow, tool dispatch, HITL</w:t>
            </w:r>
          </w:p>
        </w:tc>
      </w:tr>
      <w:tr>
        <w:tc>
          <w:tcPr>
            <w:tcW w:type="dxa" w:w="3400"/>
            <w:shd w:val="clear" w:color="auto" w:fill="EFF6FF"/>
            <w:tcW w:w="2268" w:type="dxa"/>
          </w:tcPr>
          <w:p>
            <w:pPr>
              <w:jc w:val="left"/>
            </w:pPr>
            <w:r>
              <w:rPr>
                <w:b/>
                <w:color w:val="1E3A8A"/>
                <w:sz w:val="20"/>
              </w:rPr>
              <w:t>Language Model</w:t>
            </w:r>
          </w:p>
        </w:tc>
        <w:tc>
          <w:tcPr>
            <w:tcW w:type="dxa" w:w="3400"/>
            <w:shd w:val="clear" w:color="auto" w:fill="FFFFFF"/>
            <w:tcW w:w="3685" w:type="dxa"/>
          </w:tcPr>
          <w:p>
            <w:pPr>
              <w:jc w:val="left"/>
            </w:pPr>
            <w:r>
              <w:rPr>
                <w:color w:val="1E293B"/>
                <w:sz w:val="20"/>
              </w:rPr>
              <w:t>Gemini 2.5 Flash / Pro</w:t>
            </w:r>
          </w:p>
        </w:tc>
        <w:tc>
          <w:tcPr>
            <w:tcW w:type="dxa" w:w="3400"/>
            <w:shd w:val="clear" w:color="auto" w:fill="FFFFFF"/>
            <w:tcW w:w="3118" w:type="dxa"/>
          </w:tcPr>
          <w:p>
            <w:pPr>
              <w:jc w:val="left"/>
            </w:pPr>
            <w:r>
              <w:rPr>
                <w:color w:val="1E293B"/>
                <w:sz w:val="20"/>
              </w:rPr>
              <w:t>Reasoning, generation, evaluation</w:t>
            </w:r>
          </w:p>
        </w:tc>
      </w:tr>
      <w:tr>
        <w:tc>
          <w:tcPr>
            <w:tcW w:type="dxa" w:w="3400"/>
            <w:shd w:val="clear" w:color="auto" w:fill="EFF6FF"/>
            <w:tcW w:w="2268" w:type="dxa"/>
          </w:tcPr>
          <w:p>
            <w:pPr>
              <w:jc w:val="left"/>
            </w:pPr>
            <w:r>
              <w:rPr>
                <w:b/>
                <w:color w:val="1E3A8A"/>
                <w:sz w:val="20"/>
              </w:rPr>
              <w:t>Semantic Search</w:t>
            </w:r>
          </w:p>
        </w:tc>
        <w:tc>
          <w:tcPr>
            <w:tcW w:type="dxa" w:w="3400"/>
            <w:shd w:val="clear" w:color="auto" w:fill="F8FAFC"/>
            <w:tcW w:w="3685" w:type="dxa"/>
          </w:tcPr>
          <w:p>
            <w:pPr>
              <w:jc w:val="left"/>
            </w:pPr>
            <w:r>
              <w:rPr>
                <w:color w:val="1E293B"/>
                <w:sz w:val="20"/>
              </w:rPr>
              <w:t>Gemini Embeddings + Search Grounding</w:t>
            </w:r>
          </w:p>
        </w:tc>
        <w:tc>
          <w:tcPr>
            <w:tcW w:type="dxa" w:w="3400"/>
            <w:shd w:val="clear" w:color="auto" w:fill="F8FAFC"/>
            <w:tcW w:w="3118" w:type="dxa"/>
          </w:tcPr>
          <w:p>
            <w:pPr>
              <w:jc w:val="left"/>
            </w:pPr>
            <w:r>
              <w:rPr>
                <w:color w:val="1E293B"/>
                <w:sz w:val="20"/>
              </w:rPr>
              <w:t>Vector gap analysis &amp; live market data</w:t>
            </w:r>
          </w:p>
        </w:tc>
      </w:tr>
      <w:tr>
        <w:tc>
          <w:tcPr>
            <w:tcW w:type="dxa" w:w="3400"/>
            <w:shd w:val="clear" w:color="auto" w:fill="EFF6FF"/>
            <w:tcW w:w="2268" w:type="dxa"/>
          </w:tcPr>
          <w:p>
            <w:pPr>
              <w:jc w:val="left"/>
            </w:pPr>
            <w:r>
              <w:rPr>
                <w:b/>
                <w:color w:val="1E3A8A"/>
                <w:sz w:val="20"/>
              </w:rPr>
              <w:t>Web UI</w:t>
            </w:r>
          </w:p>
        </w:tc>
        <w:tc>
          <w:tcPr>
            <w:tcW w:type="dxa" w:w="3400"/>
            <w:shd w:val="clear" w:color="auto" w:fill="FFFFFF"/>
            <w:tcW w:w="3685" w:type="dxa"/>
          </w:tcPr>
          <w:p>
            <w:pPr>
              <w:jc w:val="left"/>
            </w:pPr>
            <w:r>
              <w:rPr>
                <w:color w:val="1E293B"/>
                <w:sz w:val="20"/>
              </w:rPr>
              <w:t>Streamlit</w:t>
            </w:r>
          </w:p>
        </w:tc>
        <w:tc>
          <w:tcPr>
            <w:tcW w:type="dxa" w:w="3400"/>
            <w:shd w:val="clear" w:color="auto" w:fill="FFFFFF"/>
            <w:tcW w:w="3118" w:type="dxa"/>
          </w:tcPr>
          <w:p>
            <w:pPr>
              <w:jc w:val="left"/>
            </w:pPr>
            <w:r>
              <w:rPr>
                <w:color w:val="1E293B"/>
                <w:sz w:val="20"/>
              </w:rPr>
              <w:t>4-hub interactive dashboard</w:t>
            </w:r>
          </w:p>
        </w:tc>
      </w:tr>
      <w:tr>
        <w:tc>
          <w:tcPr>
            <w:tcW w:type="dxa" w:w="3400"/>
            <w:shd w:val="clear" w:color="auto" w:fill="EFF6FF"/>
            <w:tcW w:w="2268" w:type="dxa"/>
          </w:tcPr>
          <w:p>
            <w:pPr>
              <w:jc w:val="left"/>
            </w:pPr>
            <w:r>
              <w:rPr>
                <w:b/>
                <w:color w:val="1E3A8A"/>
                <w:sz w:val="20"/>
              </w:rPr>
              <w:t>REST API</w:t>
            </w:r>
          </w:p>
        </w:tc>
        <w:tc>
          <w:tcPr>
            <w:tcW w:type="dxa" w:w="3400"/>
            <w:shd w:val="clear" w:color="auto" w:fill="F8FAFC"/>
            <w:tcW w:w="3685" w:type="dxa"/>
          </w:tcPr>
          <w:p>
            <w:pPr>
              <w:jc w:val="left"/>
            </w:pPr>
            <w:r>
              <w:rPr>
                <w:color w:val="1E293B"/>
                <w:sz w:val="20"/>
              </w:rPr>
              <w:t>FastAPI</w:t>
            </w:r>
          </w:p>
        </w:tc>
        <w:tc>
          <w:tcPr>
            <w:tcW w:type="dxa" w:w="3400"/>
            <w:shd w:val="clear" w:color="auto" w:fill="F8FAFC"/>
            <w:tcW w:w="3118" w:type="dxa"/>
          </w:tcPr>
          <w:p>
            <w:pPr>
              <w:jc w:val="left"/>
            </w:pPr>
            <w:r>
              <w:rPr>
                <w:color w:val="1E293B"/>
                <w:sz w:val="20"/>
              </w:rPr>
              <w:t>10 production-ready API endpoints</w:t>
            </w:r>
          </w:p>
        </w:tc>
      </w:tr>
      <w:tr>
        <w:tc>
          <w:tcPr>
            <w:tcW w:type="dxa" w:w="3400"/>
            <w:shd w:val="clear" w:color="auto" w:fill="EFF6FF"/>
            <w:tcW w:w="2268" w:type="dxa"/>
          </w:tcPr>
          <w:p>
            <w:pPr>
              <w:jc w:val="left"/>
            </w:pPr>
            <w:r>
              <w:rPr>
                <w:b/>
                <w:color w:val="1E3A8A"/>
                <w:sz w:val="20"/>
              </w:rPr>
              <w:t>PDF Engine</w:t>
            </w:r>
          </w:p>
        </w:tc>
        <w:tc>
          <w:tcPr>
            <w:tcW w:type="dxa" w:w="3400"/>
            <w:shd w:val="clear" w:color="auto" w:fill="FFFFFF"/>
            <w:tcW w:w="3685" w:type="dxa"/>
          </w:tcPr>
          <w:p>
            <w:pPr>
              <w:jc w:val="left"/>
            </w:pPr>
            <w:r>
              <w:rPr>
                <w:color w:val="1E293B"/>
                <w:sz w:val="20"/>
              </w:rPr>
              <w:t>ReportLab</w:t>
            </w:r>
          </w:p>
        </w:tc>
        <w:tc>
          <w:tcPr>
            <w:tcW w:type="dxa" w:w="3400"/>
            <w:shd w:val="clear" w:color="auto" w:fill="FFFFFF"/>
            <w:tcW w:w="3118" w:type="dxa"/>
          </w:tcPr>
          <w:p>
            <w:pPr>
              <w:jc w:val="left"/>
            </w:pPr>
            <w:r>
              <w:rPr>
                <w:color w:val="1E293B"/>
                <w:sz w:val="20"/>
              </w:rPr>
              <w:t>Executive-grade ATS-compliant PDF output</w:t>
            </w:r>
          </w:p>
        </w:tc>
      </w:tr>
      <w:tr>
        <w:tc>
          <w:tcPr>
            <w:tcW w:type="dxa" w:w="3400"/>
            <w:shd w:val="clear" w:color="auto" w:fill="EFF6FF"/>
            <w:tcW w:w="2268" w:type="dxa"/>
          </w:tcPr>
          <w:p>
            <w:pPr>
              <w:jc w:val="left"/>
            </w:pPr>
            <w:r>
              <w:rPr>
                <w:b/>
                <w:color w:val="1E3A8A"/>
                <w:sz w:val="20"/>
              </w:rPr>
              <w:t>Deployment</w:t>
            </w:r>
          </w:p>
        </w:tc>
        <w:tc>
          <w:tcPr>
            <w:tcW w:type="dxa" w:w="3400"/>
            <w:shd w:val="clear" w:color="auto" w:fill="F8FAFC"/>
            <w:tcW w:w="3685" w:type="dxa"/>
          </w:tcPr>
          <w:p>
            <w:pPr>
              <w:jc w:val="left"/>
            </w:pPr>
            <w:r>
              <w:rPr>
                <w:color w:val="1E293B"/>
                <w:sz w:val="20"/>
              </w:rPr>
              <w:t>Google Cloud Run</w:t>
            </w:r>
          </w:p>
        </w:tc>
        <w:tc>
          <w:tcPr>
            <w:tcW w:type="dxa" w:w="3400"/>
            <w:shd w:val="clear" w:color="auto" w:fill="F8FAFC"/>
            <w:tcW w:w="3118" w:type="dxa"/>
          </w:tcPr>
          <w:p>
            <w:pPr>
              <w:jc w:val="left"/>
            </w:pPr>
            <w:r>
              <w:rPr>
                <w:color w:val="1E293B"/>
                <w:sz w:val="20"/>
              </w:rPr>
              <w:t>Serverless, auto-scaling, HTTPS</w:t>
            </w:r>
          </w:p>
        </w:tc>
      </w:tr>
      <w:tr>
        <w:tc>
          <w:tcPr>
            <w:tcW w:type="dxa" w:w="3400"/>
            <w:shd w:val="clear" w:color="auto" w:fill="EFF6FF"/>
            <w:tcW w:w="2268" w:type="dxa"/>
          </w:tcPr>
          <w:p>
            <w:pPr>
              <w:jc w:val="left"/>
            </w:pPr>
            <w:r>
              <w:rPr>
                <w:b/>
                <w:color w:val="1E3A8A"/>
                <w:sz w:val="20"/>
              </w:rPr>
              <w:t>Learning Content</w:t>
            </w:r>
          </w:p>
        </w:tc>
        <w:tc>
          <w:tcPr>
            <w:tcW w:type="dxa" w:w="3400"/>
            <w:shd w:val="clear" w:color="auto" w:fill="FFFFFF"/>
            <w:tcW w:w="3685" w:type="dxa"/>
          </w:tcPr>
          <w:p>
            <w:pPr>
              <w:jc w:val="left"/>
            </w:pPr>
            <w:r>
              <w:rPr>
                <w:color w:val="1E293B"/>
                <w:sz w:val="20"/>
              </w:rPr>
              <w:t>YouTube + Google Books + arXiv</w:t>
            </w:r>
          </w:p>
        </w:tc>
        <w:tc>
          <w:tcPr>
            <w:tcW w:type="dxa" w:w="3400"/>
            <w:shd w:val="clear" w:color="auto" w:fill="FFFFFF"/>
            <w:tcW w:w="3118" w:type="dxa"/>
          </w:tcPr>
          <w:p>
            <w:pPr>
              <w:jc w:val="left"/>
            </w:pPr>
            <w:r>
              <w:rPr>
                <w:color w:val="1E293B"/>
                <w:sz w:val="20"/>
              </w:rPr>
              <w:t>Free, curated learning resources</w:t>
            </w:r>
          </w:p>
        </w:tc>
      </w:tr>
    </w:tbl>
    <w:p/>
    <w:p>
      <w:pPr>
        <w:spacing w:before="240" w:after="120"/>
        <w:jc w:val="left"/>
      </w:pPr>
      <w:r>
        <w:rPr>
          <w:b/>
          <w:color w:val="0E7490"/>
          <w:sz w:val="30"/>
        </w:rPr>
        <w:t>The 4 Intelligence Hubs</w:t>
      </w:r>
    </w:p>
    <w:tbl>
      <w:tblPr>
        <w:tblW w:type="auto" w:w="0"/>
        <w:jc w:val="left"/>
        <w:tblLook w:firstColumn="1" w:firstRow="1" w:lastColumn="0" w:lastRow="0" w:noHBand="0" w:noVBand="1" w:val="04A0"/>
      </w:tblPr>
      <w:tblGrid>
        <w:gridCol w:w="5100"/>
        <w:gridCol w:w="5100"/>
      </w:tblGrid>
      <w:tr>
        <w:tc>
          <w:tcPr>
            <w:tcW w:type="dxa" w:w="5100"/>
            <w:shd w:val="clear" w:color="auto" w:fill="1E3A8A"/>
            <w:tcW w:w="850" w:type="dxa"/>
          </w:tcPr>
          <w:p>
            <w:pPr>
              <w:jc w:val="center"/>
            </w:pPr>
            <w:r>
              <w:rPr>
                <w:b/>
                <w:color w:val="FFFFFF"/>
                <w:sz w:val="20"/>
              </w:rPr>
              <w:t>Hub 1</w:t>
            </w:r>
          </w:p>
        </w:tc>
        <w:tc>
          <w:tcPr>
            <w:tcW w:type="dxa" w:w="5100"/>
            <w:tcW w:w="8221" w:type="dxa"/>
            <w:shd w:val="clear" w:color="auto" w:fill="F8FAFC"/>
          </w:tcPr>
          <w:p>
            <w:pPr>
              <w:spacing w:before="80" w:after="80"/>
            </w:pPr>
            <w:r>
              <w:rPr>
                <w:b/>
                <w:color w:val="1E293B"/>
                <w:sz w:val="20"/>
              </w:rPr>
              <w:t xml:space="preserve">Dynamic Skill Gap Diagnostic: </w:t>
            </w:r>
            <w:r>
              <w:rPr>
                <w:color w:val="374151"/>
                <w:sz w:val="20"/>
              </w:rPr>
              <w:t>Queries live 2026 job requirements and runs a 2-tier 70/30 weighted gap analysis against your resume, highlighting Core Must-Haves (70%) vs Advanced Differentiators (30%), with semantic evidence showing which bullet in your resume proves each skill.</w:t>
            </w:r>
          </w:p>
        </w:tc>
      </w:tr>
    </w:tbl>
    <w:p>
      <w:pPr>
        <w:spacing w:after="80"/>
      </w:pPr>
    </w:p>
    <w:tbl>
      <w:tblPr>
        <w:tblW w:type="auto" w:w="0"/>
        <w:jc w:val="left"/>
        <w:tblLook w:firstColumn="1" w:firstRow="1" w:lastColumn="0" w:lastRow="0" w:noHBand="0" w:noVBand="1" w:val="04A0"/>
      </w:tblPr>
      <w:tblGrid>
        <w:gridCol w:w="5100"/>
        <w:gridCol w:w="5100"/>
      </w:tblGrid>
      <w:tr>
        <w:tc>
          <w:tcPr>
            <w:tcW w:type="dxa" w:w="5100"/>
            <w:shd w:val="clear" w:color="auto" w:fill="0E7490"/>
            <w:tcW w:w="850" w:type="dxa"/>
          </w:tcPr>
          <w:p>
            <w:pPr>
              <w:jc w:val="center"/>
            </w:pPr>
            <w:r>
              <w:rPr>
                <w:b/>
                <w:color w:val="FFFFFF"/>
                <w:sz w:val="20"/>
              </w:rPr>
              <w:t>Hub 2</w:t>
            </w:r>
          </w:p>
        </w:tc>
        <w:tc>
          <w:tcPr>
            <w:tcW w:type="dxa" w:w="5100"/>
            <w:tcW w:w="8221" w:type="dxa"/>
            <w:shd w:val="clear" w:color="auto" w:fill="F8FAFC"/>
          </w:tcPr>
          <w:p>
            <w:pPr>
              <w:spacing w:before="80" w:after="80"/>
            </w:pPr>
            <w:r>
              <w:rPr>
                <w:b/>
                <w:color w:val="1E293B"/>
                <w:sz w:val="20"/>
              </w:rPr>
              <w:t xml:space="preserve">Authentic In-Place Resume Optimizer: </w:t>
            </w:r>
            <w:r>
              <w:rPr>
                <w:color w:val="374151"/>
                <w:sz w:val="20"/>
              </w:rPr>
              <w:t>Surgically rewrites only the weak bullets using Google's XYZ formula (Accomplished X, measured by Y, by doing Z). Preserves real companies, dates, and job titles. Delivers a side-by-side diff view and an executive PDF with a 92/100 ATS score.</w:t>
            </w:r>
          </w:p>
        </w:tc>
      </w:tr>
    </w:tbl>
    <w:p>
      <w:pPr>
        <w:spacing w:after="80"/>
      </w:pPr>
    </w:p>
    <w:tbl>
      <w:tblPr>
        <w:tblW w:type="auto" w:w="0"/>
        <w:jc w:val="left"/>
        <w:tblLook w:firstColumn="1" w:firstRow="1" w:lastColumn="0" w:lastRow="0" w:noHBand="0" w:noVBand="1" w:val="04A0"/>
      </w:tblPr>
      <w:tblGrid>
        <w:gridCol w:w="5100"/>
        <w:gridCol w:w="5100"/>
      </w:tblGrid>
      <w:tr>
        <w:tc>
          <w:tcPr>
            <w:tcW w:type="dxa" w:w="5100"/>
            <w:shd w:val="clear" w:color="auto" w:fill="065F46"/>
            <w:tcW w:w="850" w:type="dxa"/>
          </w:tcPr>
          <w:p>
            <w:pPr>
              <w:jc w:val="center"/>
            </w:pPr>
            <w:r>
              <w:rPr>
                <w:b/>
                <w:color w:val="FFFFFF"/>
                <w:sz w:val="20"/>
              </w:rPr>
              <w:t>Hub 3</w:t>
            </w:r>
          </w:p>
        </w:tc>
        <w:tc>
          <w:tcPr>
            <w:tcW w:type="dxa" w:w="5100"/>
            <w:tcW w:w="8221" w:type="dxa"/>
            <w:shd w:val="clear" w:color="auto" w:fill="F8FAFC"/>
          </w:tcPr>
          <w:p>
            <w:pPr>
              <w:spacing w:before="80" w:after="80"/>
            </w:pPr>
            <w:r>
              <w:rPr>
                <w:b/>
                <w:color w:val="1E293B"/>
                <w:sz w:val="20"/>
              </w:rPr>
              <w:t xml:space="preserve">Dynamic 30-60-90 Day Upskilling Roadmap: </w:t>
            </w:r>
            <w:r>
              <w:rPr>
                <w:color w:val="374151"/>
                <w:sz w:val="20"/>
              </w:rPr>
              <w:t>Builds a week-by-week personalised action plan adapted to your study budget (5–30 hrs/week). Integrates free YouTube courses, Google Books textbooks, arXiv research papers, and starred GitHub reference repositories.</w:t>
            </w:r>
          </w:p>
        </w:tc>
      </w:tr>
    </w:tbl>
    <w:p>
      <w:pPr>
        <w:spacing w:after="80"/>
      </w:pPr>
    </w:p>
    <w:tbl>
      <w:tblPr>
        <w:tblW w:type="auto" w:w="0"/>
        <w:jc w:val="left"/>
        <w:tblLook w:firstColumn="1" w:firstRow="1" w:lastColumn="0" w:lastRow="0" w:noHBand="0" w:noVBand="1" w:val="04A0"/>
      </w:tblPr>
      <w:tblGrid>
        <w:gridCol w:w="5100"/>
        <w:gridCol w:w="5100"/>
      </w:tblGrid>
      <w:tr>
        <w:tc>
          <w:tcPr>
            <w:tcW w:type="dxa" w:w="5100"/>
            <w:shd w:val="clear" w:color="auto" w:fill="6D28D9"/>
            <w:tcW w:w="850" w:type="dxa"/>
          </w:tcPr>
          <w:p>
            <w:pPr>
              <w:jc w:val="center"/>
            </w:pPr>
            <w:r>
              <w:rPr>
                <w:b/>
                <w:color w:val="FFFFFF"/>
                <w:sz w:val="20"/>
              </w:rPr>
              <w:t>Hub 4</w:t>
            </w:r>
          </w:p>
        </w:tc>
        <w:tc>
          <w:tcPr>
            <w:tcW w:type="dxa" w:w="5100"/>
            <w:tcW w:w="8221" w:type="dxa"/>
            <w:shd w:val="clear" w:color="auto" w:fill="F8FAFC"/>
          </w:tcPr>
          <w:p>
            <w:pPr>
              <w:spacing w:before="80" w:after="80"/>
            </w:pPr>
            <w:r>
              <w:rPr>
                <w:b/>
                <w:color w:val="1E293B"/>
                <w:sz w:val="20"/>
              </w:rPr>
              <w:t xml:space="preserve">Interactive AI Mock Interview: </w:t>
            </w:r>
            <w:r>
              <w:rPr>
                <w:color w:val="374151"/>
                <w:sz w:val="20"/>
              </w:rPr>
              <w:t>Conducts a multi-turn Q&amp;A session testing your identified skill gaps. Provides turn-by-turn rubric scoring (0–100), model answers, and a final Hiring Readiness report card.</w:t>
            </w:r>
          </w:p>
        </w:tc>
      </w:tr>
    </w:tbl>
    <w:p>
      <w:pPr>
        <w:spacing w:after="80"/>
      </w:pPr>
    </w:p>
    <w:p>
      <w:pPr>
        <w:pBdr>
          <w:bottom w:val="single" w:sz="6" w:space="1" w:color="E2E8F0"/>
        </w:pBdr>
        <w:spacing w:before="40" w:after="120"/>
      </w:pPr>
    </w:p>
    <w:p>
      <w:pPr>
        <w:spacing w:before="360" w:after="120"/>
        <w:jc w:val="left"/>
      </w:pPr>
      <w:r>
        <w:rPr>
          <w:b/>
          <w:color w:val="1E3A8A"/>
          <w:sz w:val="40"/>
        </w:rPr>
        <w:t>Section 2 — Project Use Case</w:t>
      </w:r>
    </w:p>
    <w:p>
      <w:pPr>
        <w:spacing w:after="80"/>
      </w:pPr>
      <w:r>
        <w:rPr>
          <w:color w:val="374151"/>
          <w:sz w:val="22"/>
        </w:rPr>
        <w:t>PathCraft AI serves any professional who wants to make data-driven career moves. It closes the gap between a candidate's current profile and what the 2026 job market actually demands — backed by live search grounding rather than static templates.</w:t>
      </w:r>
    </w:p>
    <w:p>
      <w:pPr>
        <w:spacing w:before="240" w:after="120"/>
        <w:jc w:val="left"/>
      </w:pPr>
      <w:r>
        <w:rPr>
          <w:b/>
          <w:color w:val="0E7490"/>
          <w:sz w:val="30"/>
        </w:rPr>
        <w:t>Target Personas</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0E7490"/>
            <w:tcW w:w="1984" w:type="dxa"/>
          </w:tcPr>
          <w:p>
            <w:pPr>
              <w:jc w:val="center"/>
            </w:pPr>
            <w:r>
              <w:rPr>
                <w:b/>
                <w:color w:val="FFFFFF"/>
                <w:sz w:val="20"/>
              </w:rPr>
              <w:t>Persona</w:t>
            </w:r>
          </w:p>
        </w:tc>
        <w:tc>
          <w:tcPr>
            <w:tcW w:type="dxa" w:w="3400"/>
            <w:shd w:val="clear" w:color="auto" w:fill="0E7490"/>
            <w:tcW w:w="3402" w:type="dxa"/>
          </w:tcPr>
          <w:p>
            <w:pPr>
              <w:jc w:val="center"/>
            </w:pPr>
            <w:r>
              <w:rPr>
                <w:b/>
                <w:color w:val="FFFFFF"/>
                <w:sz w:val="20"/>
              </w:rPr>
              <w:t>Challenge</w:t>
            </w:r>
          </w:p>
        </w:tc>
        <w:tc>
          <w:tcPr>
            <w:tcW w:type="dxa" w:w="3400"/>
            <w:shd w:val="clear" w:color="auto" w:fill="0E7490"/>
            <w:tcW w:w="3969" w:type="dxa"/>
          </w:tcPr>
          <w:p>
            <w:pPr>
              <w:jc w:val="center"/>
            </w:pPr>
            <w:r>
              <w:rPr>
                <w:b/>
                <w:color w:val="FFFFFF"/>
                <w:sz w:val="20"/>
              </w:rPr>
              <w:t>How PathCraft AI Helps</w:t>
            </w:r>
          </w:p>
        </w:tc>
      </w:tr>
      <w:tr>
        <w:tc>
          <w:tcPr>
            <w:tcW w:type="dxa" w:w="3400"/>
            <w:shd w:val="clear" w:color="auto" w:fill="ECFDF5"/>
            <w:tcW w:w="1984" w:type="dxa"/>
          </w:tcPr>
          <w:p>
            <w:pPr>
              <w:jc w:val="left"/>
            </w:pPr>
            <w:r>
              <w:rPr>
                <w:b/>
                <w:color w:val="065F46"/>
                <w:sz w:val="19"/>
              </w:rPr>
              <w:t>Mid-Career Engineer</w:t>
              <w:br/>
              <w:t>(5 yrs exp.)</w:t>
            </w:r>
          </w:p>
        </w:tc>
        <w:tc>
          <w:tcPr>
            <w:tcW w:type="dxa" w:w="3400"/>
            <w:shd w:val="clear" w:color="auto" w:fill="FFFFFF"/>
            <w:tcW w:w="3402" w:type="dxa"/>
          </w:tcPr>
          <w:p>
            <w:pPr>
              <w:jc w:val="left"/>
            </w:pPr>
            <w:r>
              <w:rPr>
                <w:color w:val="1E293B"/>
                <w:sz w:val="19"/>
              </w:rPr>
              <w:t>Resume not shortlisted despite strong background</w:t>
            </w:r>
          </w:p>
        </w:tc>
        <w:tc>
          <w:tcPr>
            <w:tcW w:type="dxa" w:w="3400"/>
            <w:shd w:val="clear" w:color="auto" w:fill="FFFFFF"/>
            <w:tcW w:w="3969" w:type="dxa"/>
          </w:tcPr>
          <w:p>
            <w:pPr>
              <w:jc w:val="left"/>
            </w:pPr>
            <w:r>
              <w:rPr>
                <w:color w:val="1E293B"/>
                <w:sz w:val="19"/>
              </w:rPr>
              <w:t>Hub 2 surgically upgrades every bullet with XYZ formula; Hub 1 reveals the exact missing keywords</w:t>
            </w:r>
          </w:p>
        </w:tc>
      </w:tr>
      <w:tr>
        <w:tc>
          <w:tcPr>
            <w:tcW w:type="dxa" w:w="3400"/>
            <w:shd w:val="clear" w:color="auto" w:fill="ECFDF5"/>
            <w:tcW w:w="1984" w:type="dxa"/>
          </w:tcPr>
          <w:p>
            <w:pPr>
              <w:jc w:val="left"/>
            </w:pPr>
            <w:r>
              <w:rPr>
                <w:b/>
                <w:color w:val="065F46"/>
                <w:sz w:val="19"/>
              </w:rPr>
              <w:t>Career Switcher</w:t>
              <w:br/>
              <w:t>(e.g., QA → Data Eng.)</w:t>
            </w:r>
          </w:p>
        </w:tc>
        <w:tc>
          <w:tcPr>
            <w:tcW w:type="dxa" w:w="3400"/>
            <w:shd w:val="clear" w:color="auto" w:fill="F0FDF4"/>
            <w:tcW w:w="3402" w:type="dxa"/>
          </w:tcPr>
          <w:p>
            <w:pPr>
              <w:jc w:val="left"/>
            </w:pPr>
            <w:r>
              <w:rPr>
                <w:color w:val="1E293B"/>
                <w:sz w:val="19"/>
              </w:rPr>
              <w:t>Unsure which skills to learn first</w:t>
            </w:r>
          </w:p>
        </w:tc>
        <w:tc>
          <w:tcPr>
            <w:tcW w:type="dxa" w:w="3400"/>
            <w:shd w:val="clear" w:color="auto" w:fill="F0FDF4"/>
            <w:tcW w:w="3969" w:type="dxa"/>
          </w:tcPr>
          <w:p>
            <w:pPr>
              <w:jc w:val="left"/>
            </w:pPr>
            <w:r>
              <w:rPr>
                <w:color w:val="1E293B"/>
                <w:sz w:val="19"/>
              </w:rPr>
              <w:t>Hub 1 provides a 70/30 weighted priority list; Hub 3 builds a free 90-day plan with YouTube + books</w:t>
            </w:r>
          </w:p>
        </w:tc>
      </w:tr>
      <w:tr>
        <w:tc>
          <w:tcPr>
            <w:tcW w:type="dxa" w:w="3400"/>
            <w:shd w:val="clear" w:color="auto" w:fill="ECFDF5"/>
            <w:tcW w:w="1984" w:type="dxa"/>
          </w:tcPr>
          <w:p>
            <w:pPr>
              <w:jc w:val="left"/>
            </w:pPr>
            <w:r>
              <w:rPr>
                <w:b/>
                <w:color w:val="065F46"/>
                <w:sz w:val="19"/>
              </w:rPr>
              <w:t>Fresh Graduate</w:t>
            </w:r>
          </w:p>
        </w:tc>
        <w:tc>
          <w:tcPr>
            <w:tcW w:type="dxa" w:w="3400"/>
            <w:shd w:val="clear" w:color="auto" w:fill="FFFFFF"/>
            <w:tcW w:w="3402" w:type="dxa"/>
          </w:tcPr>
          <w:p>
            <w:pPr>
              <w:jc w:val="left"/>
            </w:pPr>
            <w:r>
              <w:rPr>
                <w:color w:val="1E293B"/>
                <w:sz w:val="19"/>
              </w:rPr>
              <w:t>No experience to benchmark against</w:t>
            </w:r>
          </w:p>
        </w:tc>
        <w:tc>
          <w:tcPr>
            <w:tcW w:type="dxa" w:w="3400"/>
            <w:shd w:val="clear" w:color="auto" w:fill="FFFFFF"/>
            <w:tcW w:w="3969" w:type="dxa"/>
          </w:tcPr>
          <w:p>
            <w:pPr>
              <w:jc w:val="left"/>
            </w:pPr>
            <w:r>
              <w:rPr>
                <w:color w:val="1E293B"/>
                <w:sz w:val="19"/>
              </w:rPr>
              <w:t>Hub 4 runs mock interview practice; Hub 3 suggests real GitHub projects to build &amp; showcase</w:t>
            </w:r>
          </w:p>
        </w:tc>
      </w:tr>
      <w:tr>
        <w:tc>
          <w:tcPr>
            <w:tcW w:type="dxa" w:w="3400"/>
            <w:shd w:val="clear" w:color="auto" w:fill="ECFDF5"/>
            <w:tcW w:w="1984" w:type="dxa"/>
          </w:tcPr>
          <w:p>
            <w:pPr>
              <w:jc w:val="left"/>
            </w:pPr>
            <w:r>
              <w:rPr>
                <w:b/>
                <w:color w:val="065F46"/>
                <w:sz w:val="19"/>
              </w:rPr>
              <w:t>Job Seeker (Urgent)</w:t>
            </w:r>
          </w:p>
        </w:tc>
        <w:tc>
          <w:tcPr>
            <w:tcW w:type="dxa" w:w="3400"/>
            <w:shd w:val="clear" w:color="auto" w:fill="F0FDF4"/>
            <w:tcW w:w="3402" w:type="dxa"/>
          </w:tcPr>
          <w:p>
            <w:pPr>
              <w:jc w:val="left"/>
            </w:pPr>
            <w:r>
              <w:rPr>
                <w:color w:val="1E293B"/>
                <w:sz w:val="19"/>
              </w:rPr>
              <w:t>Interview in 1 week</w:t>
            </w:r>
          </w:p>
        </w:tc>
        <w:tc>
          <w:tcPr>
            <w:tcW w:type="dxa" w:w="3400"/>
            <w:shd w:val="clear" w:color="auto" w:fill="F0FDF4"/>
            <w:tcW w:w="3969" w:type="dxa"/>
          </w:tcPr>
          <w:p>
            <w:pPr>
              <w:jc w:val="left"/>
            </w:pPr>
            <w:r>
              <w:rPr>
                <w:color w:val="1E293B"/>
                <w:sz w:val="19"/>
              </w:rPr>
              <w:t>Full pipeline in under 2 minutes: gap report + optimised resume PDF + 5 key interview Q&amp;As</w:t>
            </w:r>
          </w:p>
        </w:tc>
      </w:tr>
      <w:tr>
        <w:tc>
          <w:tcPr>
            <w:tcW w:type="dxa" w:w="3400"/>
            <w:shd w:val="clear" w:color="auto" w:fill="ECFDF5"/>
            <w:tcW w:w="1984" w:type="dxa"/>
          </w:tcPr>
          <w:p>
            <w:pPr>
              <w:jc w:val="left"/>
            </w:pPr>
            <w:r>
              <w:rPr>
                <w:b/>
                <w:color w:val="065F46"/>
                <w:sz w:val="19"/>
              </w:rPr>
              <w:t>Freelancer / Consultant</w:t>
            </w:r>
          </w:p>
        </w:tc>
        <w:tc>
          <w:tcPr>
            <w:tcW w:type="dxa" w:w="3400"/>
            <w:shd w:val="clear" w:color="auto" w:fill="FFFFFF"/>
            <w:tcW w:w="3402" w:type="dxa"/>
          </w:tcPr>
          <w:p>
            <w:pPr>
              <w:jc w:val="left"/>
            </w:pPr>
            <w:r>
              <w:rPr>
                <w:color w:val="1E293B"/>
                <w:sz w:val="19"/>
              </w:rPr>
              <w:t>Multiple niche roles, varying JDs</w:t>
            </w:r>
          </w:p>
        </w:tc>
        <w:tc>
          <w:tcPr>
            <w:tcW w:type="dxa" w:w="3400"/>
            <w:shd w:val="clear" w:color="auto" w:fill="FFFFFF"/>
            <w:tcW w:w="3969" w:type="dxa"/>
          </w:tcPr>
          <w:p>
            <w:pPr>
              <w:jc w:val="left"/>
            </w:pPr>
            <w:r>
              <w:rPr>
                <w:color w:val="1E293B"/>
                <w:sz w:val="19"/>
              </w:rPr>
              <w:t>Re-run the pipeline per JD; each run produces a uniquely tailored resume and roadmap</w:t>
            </w:r>
          </w:p>
        </w:tc>
      </w:tr>
    </w:tbl>
    <w:p/>
    <w:p>
      <w:pPr>
        <w:spacing w:before="240" w:after="120"/>
        <w:jc w:val="left"/>
      </w:pPr>
      <w:r>
        <w:rPr>
          <w:b/>
          <w:color w:val="0E7490"/>
          <w:sz w:val="30"/>
        </w:rPr>
        <w:t>End-to-End User Journey (5 Steps)</w:t>
      </w:r>
    </w:p>
    <w:tbl>
      <w:tblPr>
        <w:tblW w:type="auto" w:w="0"/>
        <w:jc w:val="left"/>
        <w:tblLook w:firstColumn="1" w:firstRow="1" w:lastColumn="0" w:lastRow="0" w:noHBand="0" w:noVBand="1" w:val="04A0"/>
      </w:tblPr>
      <w:tblGrid>
        <w:gridCol w:w="5100"/>
        <w:gridCol w:w="5100"/>
      </w:tblGrid>
      <w:tr>
        <w:tc>
          <w:tcPr>
            <w:tcW w:type="dxa" w:w="5100"/>
            <w:shd w:val="clear" w:color="auto" w:fill="1E3A8A"/>
            <w:tcW w:w="850" w:type="dxa"/>
          </w:tcPr>
          <w:p>
            <w:pPr>
              <w:jc w:val="center"/>
            </w:pPr>
            <w:r>
              <w:rPr>
                <w:b/>
                <w:color w:val="FFFFFF"/>
                <w:sz w:val="18"/>
              </w:rPr>
              <w:t>Step 1</w:t>
            </w:r>
          </w:p>
        </w:tc>
        <w:tc>
          <w:tcPr>
            <w:tcW w:type="dxa" w:w="5100"/>
            <w:tcW w:w="8221" w:type="dxa"/>
            <w:shd w:val="clear" w:color="auto" w:fill="F8FAFC"/>
          </w:tcPr>
          <w:p>
            <w:pPr>
              <w:spacing w:before="80" w:after="80"/>
            </w:pPr>
            <w:r>
              <w:rPr>
                <w:b/>
                <w:color w:val="1E293B"/>
                <w:sz w:val="20"/>
              </w:rPr>
              <w:t xml:space="preserve">Upload Resume + Enter Target Role: </w:t>
            </w:r>
            <w:r>
              <w:rPr>
                <w:color w:val="374151"/>
                <w:sz w:val="20"/>
              </w:rPr>
              <w:t>Paste or upload your PDF resume and type your target role (e.g., 'Senior Data Engineer').</w:t>
            </w:r>
          </w:p>
        </w:tc>
      </w:tr>
    </w:tbl>
    <w:p>
      <w:pPr>
        <w:spacing w:after="80"/>
      </w:pPr>
    </w:p>
    <w:tbl>
      <w:tblPr>
        <w:tblW w:type="auto" w:w="0"/>
        <w:jc w:val="left"/>
        <w:tblLook w:firstColumn="1" w:firstRow="1" w:lastColumn="0" w:lastRow="0" w:noHBand="0" w:noVBand="1" w:val="04A0"/>
      </w:tblPr>
      <w:tblGrid>
        <w:gridCol w:w="5100"/>
        <w:gridCol w:w="5100"/>
      </w:tblGrid>
      <w:tr>
        <w:tc>
          <w:tcPr>
            <w:tcW w:type="dxa" w:w="5100"/>
            <w:shd w:val="clear" w:color="auto" w:fill="0E7490"/>
            <w:tcW w:w="850" w:type="dxa"/>
          </w:tcPr>
          <w:p>
            <w:pPr>
              <w:jc w:val="center"/>
            </w:pPr>
            <w:r>
              <w:rPr>
                <w:b/>
                <w:color w:val="FFFFFF"/>
                <w:sz w:val="18"/>
              </w:rPr>
              <w:t>Step 2</w:t>
            </w:r>
          </w:p>
        </w:tc>
        <w:tc>
          <w:tcPr>
            <w:tcW w:type="dxa" w:w="5100"/>
            <w:tcW w:w="8221" w:type="dxa"/>
            <w:shd w:val="clear" w:color="auto" w:fill="F8FAFC"/>
          </w:tcPr>
          <w:p>
            <w:pPr>
              <w:spacing w:before="80" w:after="80"/>
            </w:pPr>
            <w:r>
              <w:rPr>
                <w:b/>
                <w:color w:val="1E293B"/>
                <w:sz w:val="20"/>
              </w:rPr>
              <w:t xml:space="preserve">AI Parses &amp; Profiles: </w:t>
            </w:r>
            <w:r>
              <w:rPr>
                <w:color w:val="374151"/>
                <w:sz w:val="20"/>
              </w:rPr>
              <w:t>ResumeParserAgent extracts work history, skills, certs &amp; projects. GitHubInspectorAgent scans your public repositories.</w:t>
            </w:r>
          </w:p>
        </w:tc>
      </w:tr>
    </w:tbl>
    <w:p>
      <w:pPr>
        <w:spacing w:after="80"/>
      </w:pPr>
    </w:p>
    <w:tbl>
      <w:tblPr>
        <w:tblW w:type="auto" w:w="0"/>
        <w:jc w:val="left"/>
        <w:tblLook w:firstColumn="1" w:firstRow="1" w:lastColumn="0" w:lastRow="0" w:noHBand="0" w:noVBand="1" w:val="04A0"/>
      </w:tblPr>
      <w:tblGrid>
        <w:gridCol w:w="5100"/>
        <w:gridCol w:w="5100"/>
      </w:tblGrid>
      <w:tr>
        <w:tc>
          <w:tcPr>
            <w:tcW w:type="dxa" w:w="5100"/>
            <w:shd w:val="clear" w:color="auto" w:fill="065F46"/>
            <w:tcW w:w="850" w:type="dxa"/>
          </w:tcPr>
          <w:p>
            <w:pPr>
              <w:jc w:val="center"/>
            </w:pPr>
            <w:r>
              <w:rPr>
                <w:b/>
                <w:color w:val="FFFFFF"/>
                <w:sz w:val="18"/>
              </w:rPr>
              <w:t>Step 3</w:t>
            </w:r>
          </w:p>
        </w:tc>
        <w:tc>
          <w:tcPr>
            <w:tcW w:type="dxa" w:w="5100"/>
            <w:tcW w:w="8221" w:type="dxa"/>
            <w:shd w:val="clear" w:color="auto" w:fill="F8FAFC"/>
          </w:tcPr>
          <w:p>
            <w:pPr>
              <w:spacing w:before="80" w:after="80"/>
            </w:pPr>
            <w:r>
              <w:rPr>
                <w:b/>
                <w:color w:val="1E293B"/>
                <w:sz w:val="20"/>
              </w:rPr>
              <w:t xml:space="preserve">Live Market Gap Analysis: </w:t>
            </w:r>
            <w:r>
              <w:rPr>
                <w:color w:val="374151"/>
                <w:sz w:val="20"/>
              </w:rPr>
              <w:t>GapAnalyzerAgent queries live 2026 hiring data via Search Grounding and computes a 2-tier 70/30 weighted skill gap score with semantic evidence mapping.</w:t>
            </w:r>
          </w:p>
        </w:tc>
      </w:tr>
    </w:tbl>
    <w:p>
      <w:pPr>
        <w:spacing w:after="80"/>
      </w:pPr>
    </w:p>
    <w:tbl>
      <w:tblPr>
        <w:tblW w:type="auto" w:w="0"/>
        <w:jc w:val="left"/>
        <w:tblLook w:firstColumn="1" w:firstRow="1" w:lastColumn="0" w:lastRow="0" w:noHBand="0" w:noVBand="1" w:val="04A0"/>
      </w:tblPr>
      <w:tblGrid>
        <w:gridCol w:w="5100"/>
        <w:gridCol w:w="5100"/>
      </w:tblGrid>
      <w:tr>
        <w:tc>
          <w:tcPr>
            <w:tcW w:type="dxa" w:w="5100"/>
            <w:shd w:val="clear" w:color="auto" w:fill="6D28D9"/>
            <w:tcW w:w="850" w:type="dxa"/>
          </w:tcPr>
          <w:p>
            <w:pPr>
              <w:jc w:val="center"/>
            </w:pPr>
            <w:r>
              <w:rPr>
                <w:b/>
                <w:color w:val="FFFFFF"/>
                <w:sz w:val="18"/>
              </w:rPr>
              <w:t>Step 4</w:t>
            </w:r>
          </w:p>
        </w:tc>
        <w:tc>
          <w:tcPr>
            <w:tcW w:type="dxa" w:w="5100"/>
            <w:tcW w:w="8221" w:type="dxa"/>
            <w:shd w:val="clear" w:color="auto" w:fill="F8FAFC"/>
          </w:tcPr>
          <w:p>
            <w:pPr>
              <w:spacing w:before="80" w:after="80"/>
            </w:pPr>
            <w:r>
              <w:rPr>
                <w:b/>
                <w:color w:val="1E293B"/>
                <w:sz w:val="20"/>
              </w:rPr>
              <w:t xml:space="preserve">Get Optimised Resume + Roadmap: </w:t>
            </w:r>
            <w:r>
              <w:rPr>
                <w:color w:val="374151"/>
                <w:sz w:val="20"/>
              </w:rPr>
              <w:t>ResumeGeneratorAgent rewrites weak bullets in-place with the XYZ formula. RoadmapAgent and RAGCuratorAgent generate your 30-60-90 day plan with free resources.</w:t>
            </w:r>
          </w:p>
        </w:tc>
      </w:tr>
    </w:tbl>
    <w:p>
      <w:pPr>
        <w:spacing w:after="80"/>
      </w:pPr>
    </w:p>
    <w:tbl>
      <w:tblPr>
        <w:tblW w:type="auto" w:w="0"/>
        <w:jc w:val="left"/>
        <w:tblLook w:firstColumn="1" w:firstRow="1" w:lastColumn="0" w:lastRow="0" w:noHBand="0" w:noVBand="1" w:val="04A0"/>
      </w:tblPr>
      <w:tblGrid>
        <w:gridCol w:w="5100"/>
        <w:gridCol w:w="5100"/>
      </w:tblGrid>
      <w:tr>
        <w:tc>
          <w:tcPr>
            <w:tcW w:type="dxa" w:w="5100"/>
            <w:shd w:val="clear" w:color="auto" w:fill="92400E"/>
            <w:tcW w:w="850" w:type="dxa"/>
          </w:tcPr>
          <w:p>
            <w:pPr>
              <w:jc w:val="center"/>
            </w:pPr>
            <w:r>
              <w:rPr>
                <w:b/>
                <w:color w:val="FFFFFF"/>
                <w:sz w:val="18"/>
              </w:rPr>
              <w:t>Step 5</w:t>
            </w:r>
          </w:p>
        </w:tc>
        <w:tc>
          <w:tcPr>
            <w:tcW w:type="dxa" w:w="5100"/>
            <w:tcW w:w="8221" w:type="dxa"/>
            <w:shd w:val="clear" w:color="auto" w:fill="F8FAFC"/>
          </w:tcPr>
          <w:p>
            <w:pPr>
              <w:spacing w:before="80" w:after="80"/>
            </w:pPr>
            <w:r>
              <w:rPr>
                <w:b/>
                <w:color w:val="1E293B"/>
                <w:sz w:val="20"/>
              </w:rPr>
              <w:t xml:space="preserve">Practice with Mock Interview: </w:t>
            </w:r>
            <w:r>
              <w:rPr>
                <w:color w:val="374151"/>
                <w:sz w:val="20"/>
              </w:rPr>
              <w:t>InterviewSimulatorAgent asks targeted technical questions, scores each answer 0–100, provides model answers, and delivers a final Hiring Readiness scorecard.</w:t>
            </w:r>
          </w:p>
        </w:tc>
      </w:tr>
    </w:tbl>
    <w:p>
      <w:pPr>
        <w:spacing w:after="80"/>
      </w:pPr>
    </w:p>
    <w:p>
      <w:pPr>
        <w:pBdr>
          <w:bottom w:val="single" w:sz="6" w:space="1" w:color="E2E8F0"/>
        </w:pBdr>
        <w:spacing w:before="40" w:after="120"/>
      </w:pPr>
    </w:p>
    <w:p>
      <w:pPr>
        <w:spacing w:before="360" w:after="120"/>
        <w:jc w:val="left"/>
      </w:pPr>
      <w:r>
        <w:rPr>
          <w:b/>
          <w:color w:val="1E3A8A"/>
          <w:sz w:val="40"/>
        </w:rPr>
        <w:t>Section 3 — Architecture Diagram</w:t>
      </w:r>
    </w:p>
    <w:p>
      <w:pPr>
        <w:spacing w:after="80"/>
      </w:pPr>
      <w:r>
        <w:rPr>
          <w:color w:val="374151"/>
          <w:sz w:val="22"/>
        </w:rPr>
        <w:t>The diagram below illustrates the five-tier architecture of PathCraft AI, showing how a user request flows from the presentation layer through the ADK orchestrator, into the autonomous agent layer, through the unified shared state, and finally down to the foundational AI models and cloud infrastructure.</w:t>
      </w:r>
    </w:p>
    <w:p/>
    <w:p>
      <w:pPr>
        <w:jc w:val="center"/>
      </w:pPr>
      <w:r>
        <w:drawing>
          <wp:inline xmlns:a="http://schemas.openxmlformats.org/drawingml/2006/main" xmlns:pic="http://schemas.openxmlformats.org/drawingml/2006/picture">
            <wp:extent cx="5943600" cy="770902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7709026"/>
                    </a:xfrm>
                    <a:prstGeom prst="rect"/>
                  </pic:spPr>
                </pic:pic>
              </a:graphicData>
            </a:graphic>
          </wp:inline>
        </w:drawing>
      </w:r>
    </w:p>
    <w:p/>
    <w:p>
      <w:pPr>
        <w:spacing w:before="240" w:after="120"/>
        <w:jc w:val="left"/>
      </w:pPr>
      <w:r>
        <w:rPr>
          <w:b/>
          <w:color w:val="0E7490"/>
          <w:sz w:val="30"/>
        </w:rPr>
        <w:t>Tier Breakdown</w:t>
      </w:r>
    </w:p>
    <w:tbl>
      <w:tblPr>
        <w:tblW w:type="auto" w:w="0"/>
        <w:jc w:val="left"/>
        <w:tblLook w:firstColumn="1" w:firstRow="1" w:lastColumn="0" w:lastRow="0" w:noHBand="0" w:noVBand="1" w:val="04A0"/>
      </w:tblPr>
      <w:tblGrid>
        <w:gridCol w:w="5100"/>
        <w:gridCol w:w="5100"/>
      </w:tblGrid>
      <w:tr>
        <w:tc>
          <w:tcPr>
            <w:tcW w:type="dxa" w:w="5100"/>
            <w:shd w:val="clear" w:color="auto" w:fill="1E3A8A"/>
            <w:tcW w:w="850" w:type="dxa"/>
          </w:tcPr>
          <w:p>
            <w:pPr>
              <w:jc w:val="center"/>
            </w:pPr>
            <w:r>
              <w:rPr>
                <w:b/>
                <w:color w:val="FFFFFF"/>
                <w:sz w:val="18"/>
              </w:rPr>
              <w:t>Tier 1</w:t>
            </w:r>
          </w:p>
        </w:tc>
        <w:tc>
          <w:tcPr>
            <w:tcW w:type="dxa" w:w="5100"/>
            <w:tcW w:w="8221" w:type="dxa"/>
            <w:shd w:val="clear" w:color="auto" w:fill="F8FAFC"/>
          </w:tcPr>
          <w:p>
            <w:pPr>
              <w:spacing w:before="80" w:after="80"/>
            </w:pPr>
            <w:r>
              <w:rPr>
                <w:b/>
                <w:color w:val="1E293B"/>
                <w:sz w:val="20"/>
              </w:rPr>
              <w:t xml:space="preserve">Presentation Layer: </w:t>
            </w:r>
            <w:r>
              <w:rPr>
                <w:color w:val="374151"/>
                <w:sz w:val="20"/>
              </w:rPr>
              <w:t>Streamlit Web Dashboard (4 Hubs), FastAPI REST Gateway (10 endpoints), deployed on Google Cloud Run with HTTPS, auto-scaling 0→10 instances, 2 vCPU / 2 GB RAM per container.</w:t>
            </w:r>
          </w:p>
        </w:tc>
      </w:tr>
    </w:tbl>
    <w:p>
      <w:pPr>
        <w:spacing w:after="80"/>
      </w:pPr>
    </w:p>
    <w:tbl>
      <w:tblPr>
        <w:tblW w:type="auto" w:w="0"/>
        <w:jc w:val="left"/>
        <w:tblLook w:firstColumn="1" w:firstRow="1" w:lastColumn="0" w:lastRow="0" w:noHBand="0" w:noVBand="1" w:val="04A0"/>
      </w:tblPr>
      <w:tblGrid>
        <w:gridCol w:w="5100"/>
        <w:gridCol w:w="5100"/>
      </w:tblGrid>
      <w:tr>
        <w:tc>
          <w:tcPr>
            <w:tcW w:type="dxa" w:w="5100"/>
            <w:shd w:val="clear" w:color="auto" w:fill="0E7490"/>
            <w:tcW w:w="850" w:type="dxa"/>
          </w:tcPr>
          <w:p>
            <w:pPr>
              <w:jc w:val="center"/>
            </w:pPr>
            <w:r>
              <w:rPr>
                <w:b/>
                <w:color w:val="FFFFFF"/>
                <w:sz w:val="18"/>
              </w:rPr>
              <w:t>Tier 2</w:t>
            </w:r>
          </w:p>
        </w:tc>
        <w:tc>
          <w:tcPr>
            <w:tcW w:type="dxa" w:w="5100"/>
            <w:tcW w:w="8221" w:type="dxa"/>
            <w:shd w:val="clear" w:color="auto" w:fill="F8FAFC"/>
          </w:tcPr>
          <w:p>
            <w:pPr>
              <w:spacing w:before="80" w:after="80"/>
            </w:pPr>
            <w:r>
              <w:rPr>
                <w:b/>
                <w:color w:val="1E293B"/>
                <w:sz w:val="20"/>
              </w:rPr>
              <w:t xml:space="preserve">ADK Orchestrator: </w:t>
            </w:r>
            <w:r>
              <w:rPr>
                <w:color w:val="374151"/>
                <w:sz w:val="20"/>
              </w:rPr>
              <w:t>CareerCopilotADKTeam — the central ADK 2.0 orchestrator that routes user requests to the correct agents in parallel or sequential order, manages tool dispatch, enforces Human-in-the-Loop checkpoints, and propagates shared state.</w:t>
            </w:r>
          </w:p>
        </w:tc>
      </w:tr>
    </w:tbl>
    <w:p>
      <w:pPr>
        <w:spacing w:after="80"/>
      </w:pPr>
    </w:p>
    <w:tbl>
      <w:tblPr>
        <w:tblW w:type="auto" w:w="0"/>
        <w:jc w:val="left"/>
        <w:tblLook w:firstColumn="1" w:firstRow="1" w:lastColumn="0" w:lastRow="0" w:noHBand="0" w:noVBand="1" w:val="04A0"/>
      </w:tblPr>
      <w:tblGrid>
        <w:gridCol w:w="5100"/>
        <w:gridCol w:w="5100"/>
      </w:tblGrid>
      <w:tr>
        <w:tc>
          <w:tcPr>
            <w:tcW w:type="dxa" w:w="5100"/>
            <w:shd w:val="clear" w:color="auto" w:fill="065F46"/>
            <w:tcW w:w="850" w:type="dxa"/>
          </w:tcPr>
          <w:p>
            <w:pPr>
              <w:jc w:val="center"/>
            </w:pPr>
            <w:r>
              <w:rPr>
                <w:b/>
                <w:color w:val="FFFFFF"/>
                <w:sz w:val="18"/>
              </w:rPr>
              <w:t>Tier 3</w:t>
            </w:r>
          </w:p>
        </w:tc>
        <w:tc>
          <w:tcPr>
            <w:tcW w:type="dxa" w:w="5100"/>
            <w:tcW w:w="8221" w:type="dxa"/>
            <w:shd w:val="clear" w:color="auto" w:fill="F8FAFC"/>
          </w:tcPr>
          <w:p>
            <w:pPr>
              <w:spacing w:before="80" w:after="80"/>
            </w:pPr>
            <w:r>
              <w:rPr>
                <w:b/>
                <w:color w:val="1E293B"/>
                <w:sz w:val="20"/>
              </w:rPr>
              <w:t xml:space="preserve">10 Autonomous Agents: </w:t>
            </w:r>
            <w:r>
              <w:rPr>
                <w:color w:val="374151"/>
                <w:sz w:val="20"/>
              </w:rPr>
              <w:t>Each agent is an independent ADK worker with its own prompt, toolset, and output schema. Agents run concurrently where possible. Key agents: ResumeParserAgent, GapAnalyzerAgent, ATSAnalyzerAgent, ResumeGeneratorAgent, RoadmapAgent, RAGCuratorAgent, InterviewSimulatorAgent.</w:t>
            </w:r>
          </w:p>
        </w:tc>
      </w:tr>
    </w:tbl>
    <w:p>
      <w:pPr>
        <w:spacing w:after="80"/>
      </w:pPr>
    </w:p>
    <w:tbl>
      <w:tblPr>
        <w:tblW w:type="auto" w:w="0"/>
        <w:jc w:val="left"/>
        <w:tblLook w:firstColumn="1" w:firstRow="1" w:lastColumn="0" w:lastRow="0" w:noHBand="0" w:noVBand="1" w:val="04A0"/>
      </w:tblPr>
      <w:tblGrid>
        <w:gridCol w:w="5100"/>
        <w:gridCol w:w="5100"/>
      </w:tblGrid>
      <w:tr>
        <w:tc>
          <w:tcPr>
            <w:tcW w:type="dxa" w:w="5100"/>
            <w:shd w:val="clear" w:color="auto" w:fill="6D28D9"/>
            <w:tcW w:w="850" w:type="dxa"/>
          </w:tcPr>
          <w:p>
            <w:pPr>
              <w:jc w:val="center"/>
            </w:pPr>
            <w:r>
              <w:rPr>
                <w:b/>
                <w:color w:val="FFFFFF"/>
                <w:sz w:val="18"/>
              </w:rPr>
              <w:t>Tier 4</w:t>
            </w:r>
          </w:p>
        </w:tc>
        <w:tc>
          <w:tcPr>
            <w:tcW w:type="dxa" w:w="5100"/>
            <w:tcW w:w="8221" w:type="dxa"/>
            <w:shd w:val="clear" w:color="auto" w:fill="F8FAFC"/>
          </w:tcPr>
          <w:p>
            <w:pPr>
              <w:spacing w:before="80" w:after="80"/>
            </w:pPr>
            <w:r>
              <w:rPr>
                <w:b/>
                <w:color w:val="1E293B"/>
                <w:sz w:val="20"/>
              </w:rPr>
              <w:t xml:space="preserve">Unified State Schema: </w:t>
            </w:r>
            <w:r>
              <w:rPr>
                <w:color w:val="374151"/>
                <w:sz w:val="20"/>
              </w:rPr>
              <w:t>A shared Pydantic ADKState model (12 fields) is the single source of truth across all agents. Every agent reads from and writes to the same state object, enabling seamless data flow without inter-agent message passing.</w:t>
            </w:r>
          </w:p>
        </w:tc>
      </w:tr>
    </w:tbl>
    <w:p>
      <w:pPr>
        <w:spacing w:after="80"/>
      </w:pPr>
    </w:p>
    <w:tbl>
      <w:tblPr>
        <w:tblW w:type="auto" w:w="0"/>
        <w:jc w:val="left"/>
        <w:tblLook w:firstColumn="1" w:firstRow="1" w:lastColumn="0" w:lastRow="0" w:noHBand="0" w:noVBand="1" w:val="04A0"/>
      </w:tblPr>
      <w:tblGrid>
        <w:gridCol w:w="5100"/>
        <w:gridCol w:w="5100"/>
      </w:tblGrid>
      <w:tr>
        <w:tc>
          <w:tcPr>
            <w:tcW w:type="dxa" w:w="5100"/>
            <w:shd w:val="clear" w:color="auto" w:fill="92400E"/>
            <w:tcW w:w="850" w:type="dxa"/>
          </w:tcPr>
          <w:p>
            <w:pPr>
              <w:jc w:val="center"/>
            </w:pPr>
            <w:r>
              <w:rPr>
                <w:b/>
                <w:color w:val="FFFFFF"/>
                <w:sz w:val="18"/>
              </w:rPr>
              <w:t>Tier 5</w:t>
            </w:r>
          </w:p>
        </w:tc>
        <w:tc>
          <w:tcPr>
            <w:tcW w:type="dxa" w:w="5100"/>
            <w:tcW w:w="8221" w:type="dxa"/>
            <w:shd w:val="clear" w:color="auto" w:fill="F8FAFC"/>
          </w:tcPr>
          <w:p>
            <w:pPr>
              <w:spacing w:before="80" w:after="80"/>
            </w:pPr>
            <w:r>
              <w:rPr>
                <w:b/>
                <w:color w:val="1E293B"/>
                <w:sz w:val="20"/>
              </w:rPr>
              <w:t xml:space="preserve">Foundational Models &amp; Infra: </w:t>
            </w:r>
            <w:r>
              <w:rPr>
                <w:color w:val="374151"/>
                <w:sz w:val="20"/>
              </w:rPr>
              <w:t>Gemini 2.5 Flash/Pro for generation and evaluation; Gemini Embeddings for semantic matching; Google Search Grounding for live 2026 market data; YouTube/Books/arXiv APIs for learning content; Google Cloud Run + Cloud Build for serverless deployment.</w:t>
            </w:r>
          </w:p>
        </w:tc>
      </w:tr>
    </w:tbl>
    <w:p>
      <w:pPr>
        <w:spacing w:after="80"/>
      </w:pPr>
    </w:p>
    <w:p>
      <w:pPr>
        <w:pBdr>
          <w:bottom w:val="single" w:sz="6" w:space="1" w:color="E2E8F0"/>
        </w:pBdr>
        <w:spacing w:before="40" w:after="120"/>
      </w:pPr>
    </w:p>
    <w:tbl>
      <w:tblPr>
        <w:tblW w:type="auto" w:w="0"/>
        <w:jc w:val="center"/>
        <w:tblLook w:firstColumn="1" w:firstRow="1" w:lastColumn="0" w:lastRow="0" w:noHBand="0" w:noVBand="1" w:val="04A0"/>
      </w:tblPr>
      <w:tblGrid>
        <w:gridCol w:w="10200"/>
      </w:tblGrid>
      <w:tr>
        <w:tc>
          <w:tcPr>
            <w:tcW w:type="dxa" w:w="10200"/>
            <w:shd w:val="clear" w:color="auto" w:fill="1E3A8A"/>
            <w:tcW w:w="9639" w:type="dxa"/>
          </w:tcPr>
          <w:p>
            <w:pPr>
              <w:jc w:val="center"/>
            </w:pPr>
            <w:r>
              <w:rPr>
                <w:color w:val="93C5FD"/>
                <w:sz w:val="18"/>
              </w:rPr>
              <w:t>PathCraft AI  ·  Powered by Google ADK 2.0  ·  Gemini 2.5 Flash/Pro  ·  Cloud Run  ·  © 2026</w:t>
            </w:r>
          </w:p>
        </w:tc>
      </w:tr>
    </w:tbl>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