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E3A8A"/>
          <w:sz w:val="44"/>
        </w:rPr>
        <w:t>PathCraft AI — Enterprise Project Documentation</w:t>
      </w:r>
    </w:p>
    <w:p>
      <w:pPr>
        <w:spacing w:before="0" w:after="280"/>
        <w:jc w:val="center"/>
      </w:pPr>
      <w:r>
        <w:rPr>
          <w:rFonts w:ascii="Arial" w:hAnsi="Arial"/>
          <w:color w:val="475569"/>
          <w:sz w:val="21"/>
        </w:rPr>
        <w:t>Autonomous Multi-Agent Career &amp; Skill Intelligence Platform</w:t>
        <w:br/>
        <w:t>Powered by Google ADK 2.0, Gemini 2.5, Dynamic Search Grounding &amp; MCP Tools</w:t>
      </w:r>
    </w:p>
    <w:tbl>
      <w:tblPr>
        <w:tblW w:type="auto" w:w="0"/>
        <w:jc w:val="center"/>
        <w:tblLook w:firstColumn="1" w:firstRow="1" w:lastColumn="0" w:lastRow="0" w:noHBand="0" w:noVBand="1" w:val="04A0"/>
      </w:tblPr>
      <w:tblGrid>
        <w:gridCol w:w="9936"/>
      </w:tblGrid>
      <w:tr>
        <w:tc>
          <w:tcPr>
            <w:tcW w:type="dxa" w:w="9792"/>
            <w:shd w:fill="1E3A8A"/>
            <w:tcMar>
              <w:top w:w="15" w:type="dxa"/>
              <w:bottom w:w="15" w:type="dxa"/>
              <w:left w:w="0" w:type="dxa"/>
              <w:right w:w="0" w:type="dxa"/>
            </w:tcMar>
          </w:tcPr>
          <w:p>
            <w:pPr>
              <w:spacing w:before="0" w:after="0"/>
            </w:pPr>
            <w:r>
              <w:rPr>
                <w:sz w:val="2"/>
              </w:rPr>
            </w:r>
          </w:p>
        </w:tc>
      </w:tr>
    </w:tbl>
    <w:p>
      <w:pPr>
        <w:spacing w:after="120"/>
      </w:pPr>
    </w:p>
    <w:p>
      <w:pPr>
        <w:spacing w:before="320" w:after="120"/>
      </w:pPr>
      <w:r>
        <w:rPr>
          <w:rFonts w:ascii="Arial" w:hAnsi="Arial"/>
          <w:b/>
          <w:color w:val="1E3A8A"/>
          <w:sz w:val="28"/>
        </w:rPr>
        <w:t>1. Project Description</w:t>
      </w:r>
    </w:p>
    <w:p>
      <w:pPr>
        <w:spacing w:after="160" w:line="276" w:lineRule="auto"/>
      </w:pPr>
      <w:r>
        <w:rPr>
          <w:rFonts w:ascii="Arial" w:hAnsi="Arial"/>
          <w:color w:val="1E293B"/>
          <w:sz w:val="20"/>
        </w:rPr>
        <w:t>PathCraft AI is an enterprise-grade autonomous multi-agent career intelligence platform designed to bridge the widening gap between candidate engineering profiles and modern, fast-evolving technology hiring standards (e.g., Generative AI, LangGraph Multi-Agent Architecture, MLOps, and Distributed Cloud Systems).</w:t>
        <w:br/>
        <w:br/>
        <w:t>Powered by Google ADK 2.0 (Agent Development Kit), Gemini 2.5 Flash &amp; Pro, Dynamic Vector Semantic RAG, and Model Context Protocol (MCP) tools, PathCraft AI replaces brittle static keyword matchers with deep, evidence-based semantic intelligence across four unified operational hubs:</w:t>
      </w:r>
    </w:p>
    <w:tbl>
      <w:tblPr>
        <w:tblW w:type="auto" w:w="0"/>
        <w:jc w:val="center"/>
        <w:tblLook w:firstColumn="1" w:firstRow="1" w:lastColumn="0" w:lastRow="0" w:noHBand="0" w:noVBand="1" w:val="04A0"/>
      </w:tblPr>
      <w:tblGrid>
        <w:gridCol w:w="4968"/>
        <w:gridCol w:w="4968"/>
      </w:tblGrid>
      <w:tr>
        <w:tc>
          <w:tcPr>
            <w:tcW w:type="dxa" w:w="3168"/>
            <w:shd w:fill="F1F5F9"/>
            <w:tcMar>
              <w:top w:w="100" w:type="dxa"/>
              <w:bottom w:w="100" w:type="dxa"/>
              <w:left w:w="120" w:type="dxa"/>
              <w:right w:w="120" w:type="dxa"/>
            </w:tcMar>
          </w:tcPr>
          <w:p>
            <w:pPr>
              <w:spacing w:after="0"/>
            </w:pPr>
            <w:r>
              <w:rPr>
                <w:rFonts w:ascii="Arial" w:hAnsi="Arial"/>
                <w:b/>
                <w:color w:val="1E3A8A"/>
                <w:sz w:val="19"/>
              </w:rPr>
              <w:t>Hub 1: Dynamic Market Grounding &amp; 2-Tier Skill Diagnostic</w:t>
            </w:r>
          </w:p>
        </w:tc>
        <w:tc>
          <w:tcPr>
            <w:tcW w:type="dxa" w:w="6624"/>
            <w:shd w:fill="F8FAFC"/>
            <w:tcMar>
              <w:top w:w="100" w:type="dxa"/>
              <w:bottom w:w="100" w:type="dxa"/>
              <w:left w:w="120" w:type="dxa"/>
              <w:right w:w="120" w:type="dxa"/>
            </w:tcMar>
          </w:tcPr>
          <w:p>
            <w:pPr>
              <w:spacing w:after="0" w:line="276" w:lineRule="auto"/>
            </w:pPr>
            <w:r>
              <w:rPr>
                <w:rFonts w:ascii="Arial" w:hAnsi="Arial"/>
                <w:color w:val="1E293B"/>
                <w:sz w:val="19"/>
              </w:rPr>
              <w:t>Queries live 2026 hiring requirements via Google Search Grounding for any target role. Evaluates candidate evidence across work history bullets, project tech stacks, certifications, and GitHub repositories using Gemini cosine vector embeddings with a 70/30 weighted rubric (Core Must-Haves vs. Advanced Differentiators).</w:t>
            </w:r>
          </w:p>
        </w:tc>
      </w:tr>
      <w:tr>
        <w:tc>
          <w:tcPr>
            <w:tcW w:type="dxa" w:w="3168"/>
            <w:shd w:fill="FFFFFF"/>
            <w:tcMar>
              <w:top w:w="100" w:type="dxa"/>
              <w:bottom w:w="100" w:type="dxa"/>
              <w:left w:w="120" w:type="dxa"/>
              <w:right w:w="120" w:type="dxa"/>
            </w:tcMar>
          </w:tcPr>
          <w:p>
            <w:pPr>
              <w:spacing w:after="0"/>
            </w:pPr>
            <w:r>
              <w:rPr>
                <w:rFonts w:ascii="Arial" w:hAnsi="Arial"/>
                <w:b/>
                <w:color w:val="1E3A8A"/>
                <w:sz w:val="19"/>
              </w:rPr>
              <w:t>Hub 2: Authentic In-Place Resume Optimizer</w:t>
            </w:r>
          </w:p>
        </w:tc>
        <w:tc>
          <w:tcPr>
            <w:tcW w:type="dxa" w:w="6624"/>
            <w:shd w:fill="FFFFFF"/>
            <w:tcMar>
              <w:top w:w="100" w:type="dxa"/>
              <w:bottom w:w="100" w:type="dxa"/>
              <w:left w:w="120" w:type="dxa"/>
              <w:right w:w="120" w:type="dxa"/>
            </w:tcMar>
          </w:tcPr>
          <w:p>
            <w:pPr>
              <w:spacing w:after="0" w:line="276" w:lineRule="auto"/>
            </w:pPr>
            <w:r>
              <w:rPr>
                <w:rFonts w:ascii="Arial" w:hAnsi="Arial"/>
                <w:color w:val="1E293B"/>
                <w:sz w:val="19"/>
              </w:rPr>
              <w:t>Preserves 100% of authentic career history (real companies, dates, degrees, projects) while surgically upgrading bullet phrasing using Google's XYZ formula ('Accomplished [X] as measured by [Y], by doing [Z]'). Features a side-by-side color-coded diff view, real-time in-browser editing, and executive ATS-compliant PDF export.</w:t>
            </w:r>
          </w:p>
        </w:tc>
      </w:tr>
      <w:tr>
        <w:tc>
          <w:tcPr>
            <w:tcW w:type="dxa" w:w="3168"/>
            <w:shd w:fill="F1F5F9"/>
            <w:tcMar>
              <w:top w:w="100" w:type="dxa"/>
              <w:bottom w:w="100" w:type="dxa"/>
              <w:left w:w="120" w:type="dxa"/>
              <w:right w:w="120" w:type="dxa"/>
            </w:tcMar>
          </w:tcPr>
          <w:p>
            <w:pPr>
              <w:spacing w:after="0"/>
            </w:pPr>
            <w:r>
              <w:rPr>
                <w:rFonts w:ascii="Arial" w:hAnsi="Arial"/>
                <w:b/>
                <w:color w:val="1E3A8A"/>
                <w:sz w:val="19"/>
              </w:rPr>
              <w:t>Hub 3: 30-60-90 Day Dynamic Upskilling Roadmap &amp; Learning Pack</w:t>
            </w:r>
          </w:p>
        </w:tc>
        <w:tc>
          <w:tcPr>
            <w:tcW w:type="dxa" w:w="6624"/>
            <w:shd w:fill="F8FAFC"/>
            <w:tcMar>
              <w:top w:w="100" w:type="dxa"/>
              <w:bottom w:w="100" w:type="dxa"/>
              <w:left w:w="120" w:type="dxa"/>
              <w:right w:w="120" w:type="dxa"/>
            </w:tcMar>
          </w:tcPr>
          <w:p>
            <w:pPr>
              <w:spacing w:after="0" w:line="276" w:lineRule="auto"/>
            </w:pPr>
            <w:r>
              <w:rPr>
                <w:rFonts w:ascii="Arial" w:hAnsi="Arial"/>
                <w:color w:val="1E293B"/>
                <w:sz w:val="19"/>
              </w:rPr>
              <w:t>Generates personalized weekly milestone deliverables tailored to candidate time budgets (5 to 30 hrs/week). Assembles curated multi-format learning packs including free YouTube masterclasses, technical textbooks (Google Books API), research preprints (arXiv API), and production open-source GitHub repositories (&gt;50 stars).</w:t>
            </w:r>
          </w:p>
        </w:tc>
      </w:tr>
      <w:tr>
        <w:tc>
          <w:tcPr>
            <w:tcW w:type="dxa" w:w="3168"/>
            <w:shd w:fill="FFFFFF"/>
            <w:tcMar>
              <w:top w:w="100" w:type="dxa"/>
              <w:bottom w:w="100" w:type="dxa"/>
              <w:left w:w="120" w:type="dxa"/>
              <w:right w:w="120" w:type="dxa"/>
            </w:tcMar>
          </w:tcPr>
          <w:p>
            <w:pPr>
              <w:spacing w:after="0"/>
            </w:pPr>
            <w:r>
              <w:rPr>
                <w:rFonts w:ascii="Arial" w:hAnsi="Arial"/>
                <w:b/>
                <w:color w:val="1E3A8A"/>
                <w:sz w:val="19"/>
              </w:rPr>
              <w:t>Hub 4: Conversational AI Mock Interview Simulator</w:t>
            </w:r>
          </w:p>
        </w:tc>
        <w:tc>
          <w:tcPr>
            <w:tcW w:type="dxa" w:w="6624"/>
            <w:shd w:fill="FFFFFF"/>
            <w:tcMar>
              <w:top w:w="100" w:type="dxa"/>
              <w:bottom w:w="100" w:type="dxa"/>
              <w:left w:w="120" w:type="dxa"/>
              <w:right w:w="120" w:type="dxa"/>
            </w:tcMar>
          </w:tcPr>
          <w:p>
            <w:pPr>
              <w:spacing w:after="0" w:line="276" w:lineRule="auto"/>
            </w:pPr>
            <w:r>
              <w:rPr>
                <w:rFonts w:ascii="Arial" w:hAnsi="Arial"/>
                <w:color w:val="1E293B"/>
                <w:sz w:val="19"/>
              </w:rPr>
              <w:t>Conducts multi-turn technical interviews targeting candidate skill gaps (70%) and core system architecture (30%). Delivers turn-by-turn rubric scoring (0-100), constructive feedback, production-grade model answers, and a cumulative Hiring Readiness scorecard.</w:t>
            </w:r>
          </w:p>
        </w:tc>
      </w:tr>
    </w:tbl>
    <w:p>
      <w:pPr>
        <w:spacing w:after="120"/>
      </w:pPr>
    </w:p>
    <w:p>
      <w:pPr>
        <w:spacing w:before="320" w:after="120"/>
      </w:pPr>
      <w:r>
        <w:rPr>
          <w:rFonts w:ascii="Arial" w:hAnsi="Arial"/>
          <w:b/>
          <w:color w:val="1E3A8A"/>
          <w:sz w:val="28"/>
        </w:rPr>
        <w:t>2. Project Use Case &amp; Value Proposition</w:t>
      </w:r>
    </w:p>
    <w:tbl>
      <w:tblPr>
        <w:tblW w:type="auto" w:w="0"/>
        <w:jc w:val="center"/>
        <w:tblLook w:firstColumn="1" w:firstRow="1" w:lastColumn="0" w:lastRow="0" w:noHBand="0" w:noVBand="1" w:val="04A0"/>
      </w:tblPr>
      <w:tblGrid>
        <w:gridCol w:w="4968"/>
        <w:gridCol w:w="4968"/>
      </w:tblGrid>
      <w:tr>
        <w:tc>
          <w:tcPr>
            <w:tcW w:type="dxa" w:w="3312"/>
            <w:shd w:fill="1E3A8A"/>
            <w:tcMar>
              <w:top w:w="120" w:type="dxa"/>
              <w:bottom w:w="120" w:type="dxa"/>
              <w:left w:w="120" w:type="dxa"/>
              <w:right w:w="120" w:type="dxa"/>
            </w:tcMar>
          </w:tcPr>
          <w:p>
            <w:r>
              <w:rPr>
                <w:rFonts w:ascii="Arial" w:hAnsi="Arial"/>
                <w:b/>
                <w:color w:val="FFFFFF"/>
                <w:sz w:val="20"/>
              </w:rPr>
              <w:t>Target User Persona</w:t>
            </w:r>
          </w:p>
        </w:tc>
        <w:tc>
          <w:tcPr>
            <w:tcW w:type="dxa" w:w="6480"/>
            <w:shd w:fill="1E3A8A"/>
            <w:tcMar>
              <w:top w:w="120" w:type="dxa"/>
              <w:bottom w:w="120" w:type="dxa"/>
              <w:left w:w="120" w:type="dxa"/>
              <w:right w:w="120" w:type="dxa"/>
            </w:tcMar>
          </w:tcPr>
          <w:p>
            <w:r>
              <w:rPr>
                <w:rFonts w:ascii="Arial" w:hAnsi="Arial"/>
                <w:b/>
                <w:color w:val="FFFFFF"/>
                <w:sz w:val="20"/>
              </w:rPr>
              <w:t>Core Value &amp; Industry Impact</w:t>
            </w:r>
          </w:p>
        </w:tc>
      </w:tr>
      <w:tr>
        <w:tc>
          <w:tcPr>
            <w:tcW w:type="dxa" w:w="3312"/>
            <w:shd w:fill="FFFFFF"/>
            <w:tcMar>
              <w:top w:w="100" w:type="dxa"/>
              <w:bottom w:w="100" w:type="dxa"/>
              <w:left w:w="120" w:type="dxa"/>
              <w:right w:w="120" w:type="dxa"/>
            </w:tcMar>
          </w:tcPr>
          <w:p>
            <w:pPr>
              <w:spacing w:line="276" w:lineRule="auto"/>
            </w:pPr>
            <w:r>
              <w:rPr>
                <w:rFonts w:ascii="Arial" w:hAnsi="Arial"/>
                <w:b/>
                <w:color w:val="1E3A8A"/>
                <w:sz w:val="19"/>
              </w:rPr>
              <w:t>Experienced Engineers Transitioning to AI &amp; Cloud</w:t>
            </w:r>
          </w:p>
        </w:tc>
        <w:tc>
          <w:tcPr>
            <w:tcW w:type="dxa" w:w="6480"/>
            <w:shd w:fill="FFFFFF"/>
            <w:tcMar>
              <w:top w:w="100" w:type="dxa"/>
              <w:bottom w:w="100" w:type="dxa"/>
              <w:left w:w="120" w:type="dxa"/>
              <w:right w:w="120" w:type="dxa"/>
            </w:tcMar>
          </w:tcPr>
          <w:p>
            <w:pPr>
              <w:spacing w:line="276" w:lineRule="auto"/>
            </w:pPr>
            <w:r>
              <w:rPr>
                <w:rFonts w:ascii="Arial" w:hAnsi="Arial"/>
                <w:color w:val="1E293B"/>
                <w:sz w:val="19"/>
              </w:rPr>
              <w:t>Engineers moving into modern GenAI, LangGraph, LLM Systems, and MLOps who require precise diagnostic benchmarks against live hiring standards rather than generic beginner courses.</w:t>
            </w:r>
          </w:p>
        </w:tc>
      </w:tr>
      <w:tr>
        <w:tc>
          <w:tcPr>
            <w:tcW w:type="dxa" w:w="3312"/>
            <w:shd w:fill="F8FAFC"/>
            <w:tcMar>
              <w:top w:w="100" w:type="dxa"/>
              <w:bottom w:w="100" w:type="dxa"/>
              <w:left w:w="120" w:type="dxa"/>
              <w:right w:w="120" w:type="dxa"/>
            </w:tcMar>
          </w:tcPr>
          <w:p>
            <w:pPr>
              <w:spacing w:line="276" w:lineRule="auto"/>
            </w:pPr>
            <w:r>
              <w:rPr>
                <w:rFonts w:ascii="Arial" w:hAnsi="Arial"/>
                <w:b/>
                <w:color w:val="1E3A8A"/>
                <w:sz w:val="19"/>
              </w:rPr>
              <w:t>Job Seekers Facing Automated ATS Rejections</w:t>
            </w:r>
          </w:p>
        </w:tc>
        <w:tc>
          <w:tcPr>
            <w:tcW w:type="dxa" w:w="6480"/>
            <w:shd w:fill="F8FAFC"/>
            <w:tcMar>
              <w:top w:w="100" w:type="dxa"/>
              <w:bottom w:w="100" w:type="dxa"/>
              <w:left w:w="120" w:type="dxa"/>
              <w:right w:w="120" w:type="dxa"/>
            </w:tcMar>
          </w:tcPr>
          <w:p>
            <w:pPr>
              <w:spacing w:line="276" w:lineRule="auto"/>
            </w:pPr>
            <w:r>
              <w:rPr>
                <w:rFonts w:ascii="Arial" w:hAnsi="Arial"/>
                <w:color w:val="1E293B"/>
                <w:sz w:val="19"/>
              </w:rPr>
              <w:t>Candidates getting filtered out by corporate ATS screeners (Workday, Greenhouse, Taleo) due to phrasing or keyword placement, who need authentic in-place resume optimization without fabricating fake credentials.</w:t>
            </w:r>
          </w:p>
        </w:tc>
      </w:tr>
      <w:tr>
        <w:tc>
          <w:tcPr>
            <w:tcW w:type="dxa" w:w="3312"/>
            <w:shd w:fill="FFFFFF"/>
            <w:tcMar>
              <w:top w:w="100" w:type="dxa"/>
              <w:bottom w:w="100" w:type="dxa"/>
              <w:left w:w="120" w:type="dxa"/>
              <w:right w:w="120" w:type="dxa"/>
            </w:tcMar>
          </w:tcPr>
          <w:p>
            <w:pPr>
              <w:spacing w:line="276" w:lineRule="auto"/>
            </w:pPr>
            <w:r>
              <w:rPr>
                <w:rFonts w:ascii="Arial" w:hAnsi="Arial"/>
                <w:b/>
                <w:color w:val="1E3A8A"/>
                <w:sz w:val="19"/>
              </w:rPr>
              <w:t>Technical Career Mentors &amp; Recruiters</w:t>
            </w:r>
          </w:p>
        </w:tc>
        <w:tc>
          <w:tcPr>
            <w:tcW w:type="dxa" w:w="6480"/>
            <w:shd w:fill="FFFFFF"/>
            <w:tcMar>
              <w:top w:w="100" w:type="dxa"/>
              <w:bottom w:w="100" w:type="dxa"/>
              <w:left w:w="120" w:type="dxa"/>
              <w:right w:w="120" w:type="dxa"/>
            </w:tcMar>
          </w:tcPr>
          <w:p>
            <w:pPr>
              <w:spacing w:line="276" w:lineRule="auto"/>
            </w:pPr>
            <w:r>
              <w:rPr>
                <w:rFonts w:ascii="Arial" w:hAnsi="Arial"/>
                <w:color w:val="1E293B"/>
                <w:sz w:val="19"/>
              </w:rPr>
              <w:t>Organizations requiring standardized technical benchmarking, objective skill gap diagnostics, and automated multi-turn mock interview scoring aligned with 2026 market standards.</w:t>
            </w:r>
          </w:p>
        </w:tc>
      </w:tr>
    </w:tbl>
    <w:p>
      <w:pPr>
        <w:spacing w:after="120"/>
      </w:pPr>
    </w:p>
    <w:p>
      <w:pPr>
        <w:spacing w:after="60"/>
      </w:pPr>
      <w:r>
        <w:rPr>
          <w:rFonts w:ascii="Arial" w:hAnsi="Arial"/>
          <w:b/>
          <w:color w:val="1E3A8A"/>
          <w:sz w:val="21"/>
        </w:rPr>
        <w:t>End-to-End User Journey Workflow:</w:t>
      </w:r>
    </w:p>
    <w:p>
      <w:pPr>
        <w:pStyle w:val="ListBullet"/>
        <w:spacing w:after="60" w:line="276" w:lineRule="auto"/>
      </w:pPr>
      <w:r>
        <w:rPr>
          <w:rFonts w:ascii="Arial" w:hAnsi="Arial"/>
          <w:b/>
          <w:color w:val="1E293B"/>
          <w:sz w:val="19"/>
        </w:rPr>
        <w:t xml:space="preserve">Step 1: Multi-Modal Profile Ingestion: </w:t>
      </w:r>
      <w:r>
        <w:rPr>
          <w:rFonts w:ascii="Arial" w:hAnsi="Arial"/>
          <w:color w:val="1E293B"/>
          <w:sz w:val="19"/>
        </w:rPr>
        <w:t>Uploads PDF resume and inputs optional GitHub/LinkedIn profiles. Deep parsing extracts verified company tenures, date ranges, project stacks, and certifications.</w:t>
      </w:r>
    </w:p>
    <w:p>
      <w:pPr>
        <w:pStyle w:val="ListBullet"/>
        <w:spacing w:after="60" w:line="276" w:lineRule="auto"/>
      </w:pPr>
      <w:r>
        <w:rPr>
          <w:rFonts w:ascii="Arial" w:hAnsi="Arial"/>
          <w:b/>
          <w:color w:val="1E293B"/>
          <w:sz w:val="19"/>
        </w:rPr>
        <w:t xml:space="preserve">Step 2: Live Market Grounded Diagnostic: </w:t>
      </w:r>
      <w:r>
        <w:rPr>
          <w:rFonts w:ascii="Arial" w:hAnsi="Arial"/>
          <w:color w:val="1E293B"/>
          <w:sz w:val="19"/>
        </w:rPr>
        <w:t>System searches live 2026 hiring requirements, highlights candidate key differentiators, computes a 70/30 weighted match score, and surfaces high-synergy alternate career titles.</w:t>
      </w:r>
    </w:p>
    <w:p>
      <w:pPr>
        <w:pStyle w:val="ListBullet"/>
        <w:spacing w:after="60" w:line="276" w:lineRule="auto"/>
      </w:pPr>
      <w:r>
        <w:rPr>
          <w:rFonts w:ascii="Arial" w:hAnsi="Arial"/>
          <w:b/>
          <w:color w:val="1E293B"/>
          <w:sz w:val="19"/>
        </w:rPr>
        <w:t xml:space="preserve">Step 3: Side-by-Side In-Place Resume Optimization: </w:t>
      </w:r>
      <w:r>
        <w:rPr>
          <w:rFonts w:ascii="Arial" w:hAnsi="Arial"/>
          <w:color w:val="1E293B"/>
          <w:sz w:val="19"/>
        </w:rPr>
        <w:t>Inspects color-coded diff of original vs. upgraded bullets (Google XYZ formula), customizes in the in-browser editor, and downloads an executive ATS-standard PDF.</w:t>
      </w:r>
    </w:p>
    <w:p>
      <w:pPr>
        <w:pStyle w:val="ListBullet"/>
        <w:spacing w:after="60" w:line="276" w:lineRule="auto"/>
      </w:pPr>
      <w:r>
        <w:rPr>
          <w:rFonts w:ascii="Arial" w:hAnsi="Arial"/>
          <w:b/>
          <w:color w:val="1E293B"/>
          <w:sz w:val="19"/>
        </w:rPr>
        <w:t xml:space="preserve">Step 4: Targeted Milestone Upskilling: </w:t>
      </w:r>
      <w:r>
        <w:rPr>
          <w:rFonts w:ascii="Arial" w:hAnsi="Arial"/>
          <w:color w:val="1E293B"/>
          <w:sz w:val="19"/>
        </w:rPr>
        <w:t>Follows a structured 30-60-90 day roadmap calibrated to weekly hours budget, accessing YouTube masterclasses, technical books, and GitHub reference projects.</w:t>
      </w:r>
    </w:p>
    <w:p>
      <w:pPr>
        <w:pStyle w:val="ListBullet"/>
        <w:spacing w:after="60" w:line="276" w:lineRule="auto"/>
      </w:pPr>
      <w:r>
        <w:rPr>
          <w:rFonts w:ascii="Arial" w:hAnsi="Arial"/>
          <w:b/>
          <w:color w:val="1E293B"/>
          <w:sz w:val="19"/>
        </w:rPr>
        <w:t xml:space="preserve">Step 5: AI Mock Interview Readiness Verification: </w:t>
      </w:r>
      <w:r>
        <w:rPr>
          <w:rFonts w:ascii="Arial" w:hAnsi="Arial"/>
          <w:color w:val="1E293B"/>
          <w:sz w:val="19"/>
        </w:rPr>
        <w:t>Completes multi-turn scenario interview questions testing gap areas, receiving hiring manager evaluations and a final scorecard.</w:t>
      </w:r>
    </w:p>
    <w:p>
      <w:pPr>
        <w:spacing w:after="120"/>
      </w:pPr>
    </w:p>
    <w:p>
      <w:pPr>
        <w:spacing w:before="320" w:after="120"/>
      </w:pPr>
      <w:r>
        <w:rPr>
          <w:rFonts w:ascii="Arial" w:hAnsi="Arial"/>
          <w:b/>
          <w:color w:val="1E3A8A"/>
          <w:sz w:val="28"/>
        </w:rPr>
        <w:t>3. System Architecture Diagram</w:t>
      </w:r>
    </w:p>
    <w:tbl>
      <w:tblPr>
        <w:tblW w:type="auto" w:w="0"/>
        <w:jc w:val="center"/>
        <w:tblLook w:firstColumn="1" w:firstRow="1" w:lastColumn="0" w:lastRow="0" w:noHBand="0" w:noVBand="1" w:val="04A0"/>
      </w:tblPr>
      <w:tblGrid>
        <w:gridCol w:w="9936"/>
      </w:tblGrid>
      <w:tr>
        <w:tc>
          <w:tcPr>
            <w:tcW w:type="dxa" w:w="9792"/>
            <w:shd w:fill="1E3A8A"/>
            <w:tcMar>
              <w:top w:w="140" w:type="dxa"/>
              <w:bottom w:w="140" w:type="dxa"/>
              <w:left w:w="160" w:type="dxa"/>
              <w:right w:w="160" w:type="dxa"/>
            </w:tcMar>
          </w:tcPr>
          <w:p>
            <w:pPr>
              <w:spacing w:before="0" w:after="40" w:line="276" w:lineRule="auto"/>
            </w:pPr>
            <w:r>
              <w:rPr>
                <w:rFonts w:ascii="Arial" w:hAnsi="Arial"/>
                <w:b/>
                <w:color w:val="FFFFFF"/>
                <w:sz w:val="21"/>
              </w:rPr>
              <w:t>LAYER 1: PRESENTATION &amp; INTERACTION LAYER</w:t>
              <w:br/>
            </w:r>
            <w:r>
              <w:rPr>
                <w:rFonts w:ascii="Arial" w:hAnsi="Arial"/>
                <w:color w:val="E2E8F0"/>
                <w:sz w:val="19"/>
              </w:rPr>
              <w:t>Streamlit 4-Hub Web Dashboard (Port 8080)   |   FastAPI REST Engine (OpenAPI /docs)   |   Google Cloud Run Serverless</w:t>
            </w:r>
          </w:p>
        </w:tc>
      </w:tr>
      <w:tr>
        <w:tc>
          <w:tcPr>
            <w:tcW w:type="dxa" w:w="9792"/>
            <w:shd w:fill="0F172A"/>
            <w:tcMar>
              <w:top w:w="140" w:type="dxa"/>
              <w:bottom w:w="140" w:type="dxa"/>
              <w:left w:w="160" w:type="dxa"/>
              <w:right w:w="160" w:type="dxa"/>
            </w:tcMar>
          </w:tcPr>
          <w:p>
            <w:pPr>
              <w:spacing w:before="0" w:after="40" w:line="276" w:lineRule="auto"/>
            </w:pPr>
            <w:r>
              <w:rPr>
                <w:rFonts w:ascii="Arial" w:hAnsi="Arial"/>
                <w:b/>
                <w:color w:val="FFFFFF"/>
                <w:sz w:val="21"/>
              </w:rPr>
              <w:t>LAYER 2: GOOGLE ADK 2.0 MULTI-AGENT ORCHESTRATION LAYER (CareerCopilotADKTeam)</w:t>
              <w:br/>
            </w:r>
            <w:r>
              <w:rPr>
                <w:rFonts w:ascii="Arial" w:hAnsi="Arial"/>
                <w:color w:val="E2E8F0"/>
                <w:sz w:val="19"/>
              </w:rPr>
              <w:t>Orchestrates sequential, parallel, and state-graph workflows across 10 specialized autonomous ADK agents with resilient automatic retry &amp; failover pools.</w:t>
            </w:r>
          </w:p>
        </w:tc>
      </w:tr>
      <w:tr>
        <w:tc>
          <w:tcPr>
            <w:tcW w:type="dxa" w:w="9792"/>
            <w:shd w:fill="F1F5F9"/>
            <w:tcMar>
              <w:top w:w="140" w:type="dxa"/>
              <w:bottom w:w="140" w:type="dxa"/>
              <w:left w:w="160" w:type="dxa"/>
              <w:right w:w="160" w:type="dxa"/>
            </w:tcMar>
          </w:tcPr>
          <w:p>
            <w:pPr>
              <w:spacing w:before="0" w:after="40" w:line="276" w:lineRule="auto"/>
            </w:pPr>
            <w:r>
              <w:rPr>
                <w:rFonts w:ascii="Arial" w:hAnsi="Arial"/>
                <w:b/>
                <w:color w:val="1E3A8A"/>
                <w:sz w:val="21"/>
              </w:rPr>
              <w:t>LAYER 3: THE 10 AUTONOMOUS AGENTS PIPELINE</w:t>
              <w:br/>
            </w:r>
            <w:r>
              <w:rPr>
                <w:rFonts w:ascii="Arial" w:hAnsi="Arial"/>
                <w:color w:val="1E293B"/>
                <w:sz w:val="19"/>
              </w:rPr>
              <w:t>• Agent 1 (ResumeParserADKAgent): Deep PDF/Text entity &amp; regex date extraction</w:t>
              <w:br/>
              <w:t>• Agent 2 (GitHubInspectorADKAgent): Public repository &amp; language profiling via GitHub MCP</w:t>
              <w:br/>
              <w:t>• Agent 3 (SkillNormalizerADKAgent): Token-exact canonicalization &amp; strict alias mapping</w:t>
              <w:br/>
              <w:t>• Agent 4 (GapAnalyzerADKAgent): Dynamic 2-tier 70/30 gap analysis with Gemini vector embeddings</w:t>
              <w:br/>
              <w:t>• Agent 5 (ATSAnalyzerADKAgent): 100-point 4-pillar ATS audit &amp; Google XYZ bullet optimization</w:t>
              <w:br/>
              <w:t>• Agent 6 (ResumeGeneratorADKAgent): Authentic in-place resume optimizer &amp; ReportLab executive PDF</w:t>
              <w:br/>
              <w:t>• Agent 7 (RoadmapADKAgent): 30-60-90 day milestone roadmap tailored to weekly hours budget</w:t>
              <w:br/>
              <w:t>• Agent 8 (RAGCuratorADKAgent): Multi-format learning pack (YouTube, Google Books API, arXiv API)</w:t>
              <w:br/>
              <w:t>• Agent 9 (ProjectGeneratorADKAgent): Discovers real public GitHub repos (&gt;50 stars) via GitHub MCP</w:t>
              <w:br/>
              <w:t>• Agent 10 (InterviewSimulatorADKAgent): Multi-turn conversational mock interview with rubric scoring</w:t>
            </w:r>
          </w:p>
        </w:tc>
      </w:tr>
      <w:tr>
        <w:tc>
          <w:tcPr>
            <w:tcW w:type="dxa" w:w="9792"/>
            <w:shd w:fill="E2E8F0"/>
            <w:tcMar>
              <w:top w:w="140" w:type="dxa"/>
              <w:bottom w:w="140" w:type="dxa"/>
              <w:left w:w="160" w:type="dxa"/>
              <w:right w:w="160" w:type="dxa"/>
            </w:tcMar>
          </w:tcPr>
          <w:p>
            <w:pPr>
              <w:spacing w:before="0" w:after="40" w:line="276" w:lineRule="auto"/>
            </w:pPr>
            <w:r>
              <w:rPr>
                <w:rFonts w:ascii="Arial" w:hAnsi="Arial"/>
                <w:b/>
                <w:color w:val="1E3A8A"/>
                <w:sz w:val="21"/>
              </w:rPr>
              <w:t>LAYER 4: UNIFIED STATE SCHEMA &amp; KNOWLEDGE PIPELINE</w:t>
              <w:br/>
            </w:r>
            <w:r>
              <w:rPr>
                <w:rFonts w:ascii="Arial" w:hAnsi="Arial"/>
                <w:color w:val="1E293B"/>
                <w:sz w:val="19"/>
              </w:rPr>
              <w:t>ADKState: Verified Skills  |  Key Differentiators  |  Skill Gaps  |  Work History  |  Projects  |  ATS Scores</w:t>
            </w:r>
          </w:p>
        </w:tc>
      </w:tr>
      <w:tr>
        <w:tc>
          <w:tcPr>
            <w:tcW w:type="dxa" w:w="9792"/>
            <w:shd w:fill="1E3A8A"/>
            <w:tcMar>
              <w:top w:w="140" w:type="dxa"/>
              <w:bottom w:w="140" w:type="dxa"/>
              <w:left w:w="160" w:type="dxa"/>
              <w:right w:w="160" w:type="dxa"/>
            </w:tcMar>
          </w:tcPr>
          <w:p>
            <w:pPr>
              <w:spacing w:before="0" w:after="40" w:line="276" w:lineRule="auto"/>
            </w:pPr>
            <w:r>
              <w:rPr>
                <w:rFonts w:ascii="Arial" w:hAnsi="Arial"/>
                <w:b/>
                <w:color w:val="FFFFFF"/>
                <w:sz w:val="21"/>
              </w:rPr>
              <w:t>LAYER 5: FOUNDATIONAL MODELS &amp; CLOUD INFRASTRUCTURE</w:t>
              <w:br/>
            </w:r>
            <w:r>
              <w:rPr>
                <w:rFonts w:ascii="Arial" w:hAnsi="Arial"/>
                <w:color w:val="E2E8F0"/>
                <w:sz w:val="19"/>
              </w:rPr>
              <w:t>Google Gemini 2.5 Flash / Pro   •   Google Search Grounding   •   gemini-embedding-001   •   Google Cloud Run</w:t>
            </w:r>
          </w:p>
        </w:tc>
      </w:tr>
    </w:tbl>
    <w:p>
      <w:pPr>
        <w:spacing w:after="200"/>
      </w:pPr>
    </w:p>
    <w:p>
      <w:pPr>
        <w:spacing w:before="320" w:after="120"/>
      </w:pPr>
      <w:r>
        <w:rPr>
          <w:rFonts w:ascii="Arial" w:hAnsi="Arial"/>
          <w:b/>
          <w:color w:val="1E3A8A"/>
          <w:sz w:val="28"/>
        </w:rPr>
        <w:t>4. Enterprise ATS Evaluation Rubric (100 Points)</w:t>
      </w:r>
    </w:p>
    <w:tbl>
      <w:tblPr>
        <w:tblW w:type="auto" w:w="0"/>
        <w:jc w:val="center"/>
        <w:tblLook w:firstColumn="1" w:firstRow="1" w:lastColumn="0" w:lastRow="0" w:noHBand="0" w:noVBand="1" w:val="04A0"/>
      </w:tblPr>
      <w:tblGrid>
        <w:gridCol w:w="3312"/>
        <w:gridCol w:w="3312"/>
        <w:gridCol w:w="3312"/>
      </w:tblGrid>
      <w:tr>
        <w:tc>
          <w:tcPr>
            <w:tcW w:type="dxa" w:w="3168"/>
            <w:shd w:fill="1E3A8A"/>
            <w:tcMar>
              <w:top w:w="120" w:type="dxa"/>
              <w:bottom w:w="120" w:type="dxa"/>
              <w:left w:w="100" w:type="dxa"/>
              <w:right w:w="100" w:type="dxa"/>
            </w:tcMar>
          </w:tcPr>
          <w:p>
            <w:r>
              <w:rPr>
                <w:rFonts w:ascii="Arial" w:hAnsi="Arial"/>
                <w:b/>
                <w:color w:val="FFFFFF"/>
                <w:sz w:val="20"/>
              </w:rPr>
              <w:t>ATS Evaluation Pillar</w:t>
            </w:r>
          </w:p>
        </w:tc>
        <w:tc>
          <w:tcPr>
            <w:tcW w:type="dxa" w:w="1584"/>
            <w:shd w:fill="1E3A8A"/>
            <w:tcMar>
              <w:top w:w="120" w:type="dxa"/>
              <w:bottom w:w="120" w:type="dxa"/>
              <w:left w:w="100" w:type="dxa"/>
              <w:right w:w="100" w:type="dxa"/>
            </w:tcMar>
          </w:tcPr>
          <w:p>
            <w:r>
              <w:rPr>
                <w:rFonts w:ascii="Arial" w:hAnsi="Arial"/>
                <w:b/>
                <w:color w:val="FFFFFF"/>
                <w:sz w:val="20"/>
              </w:rPr>
              <w:t>Weight</w:t>
            </w:r>
          </w:p>
        </w:tc>
        <w:tc>
          <w:tcPr>
            <w:tcW w:type="dxa" w:w="5040"/>
            <w:shd w:fill="1E3A8A"/>
            <w:tcMar>
              <w:top w:w="120" w:type="dxa"/>
              <w:bottom w:w="120" w:type="dxa"/>
              <w:left w:w="100" w:type="dxa"/>
              <w:right w:w="100" w:type="dxa"/>
            </w:tcMar>
          </w:tcPr>
          <w:p>
            <w:r>
              <w:rPr>
                <w:rFonts w:ascii="Arial" w:hAnsi="Arial"/>
                <w:b/>
                <w:color w:val="FFFFFF"/>
                <w:sz w:val="20"/>
              </w:rPr>
              <w:t>Evaluation Criteria</w:t>
            </w:r>
          </w:p>
        </w:tc>
      </w:tr>
      <w:tr>
        <w:tc>
          <w:tcPr>
            <w:tcW w:type="dxa" w:w="3168"/>
            <w:shd w:fill="FFFFFF"/>
            <w:tcMar>
              <w:top w:w="100" w:type="dxa"/>
              <w:bottom w:w="100" w:type="dxa"/>
              <w:left w:w="100" w:type="dxa"/>
              <w:right w:w="100" w:type="dxa"/>
            </w:tcMar>
          </w:tcPr>
          <w:p>
            <w:pPr>
              <w:spacing w:line="276" w:lineRule="auto"/>
            </w:pPr>
            <w:r>
              <w:rPr>
                <w:rFonts w:ascii="Arial" w:hAnsi="Arial"/>
                <w:b/>
                <w:color w:val="1E3A8A"/>
                <w:sz w:val="19"/>
              </w:rPr>
              <w:t>Keyword Match &amp; Density</w:t>
            </w:r>
          </w:p>
        </w:tc>
        <w:tc>
          <w:tcPr>
            <w:tcW w:type="dxa" w:w="1584"/>
            <w:shd w:fill="FFFFFF"/>
            <w:tcMar>
              <w:top w:w="100" w:type="dxa"/>
              <w:bottom w:w="100" w:type="dxa"/>
              <w:left w:w="100" w:type="dxa"/>
              <w:right w:w="100" w:type="dxa"/>
            </w:tcMar>
          </w:tcPr>
          <w:p>
            <w:pPr>
              <w:spacing w:line="276" w:lineRule="auto"/>
            </w:pPr>
            <w:r>
              <w:rPr>
                <w:rFonts w:ascii="Arial" w:hAnsi="Arial"/>
                <w:b/>
                <w:color w:val="1E293B"/>
                <w:sz w:val="19"/>
              </w:rPr>
              <w:t>35 Pts</w:t>
            </w:r>
          </w:p>
        </w:tc>
        <w:tc>
          <w:tcPr>
            <w:tcW w:type="dxa" w:w="5040"/>
            <w:shd w:fill="FFFFFF"/>
            <w:tcMar>
              <w:top w:w="100" w:type="dxa"/>
              <w:bottom w:w="100" w:type="dxa"/>
              <w:left w:w="100" w:type="dxa"/>
              <w:right w:w="100" w:type="dxa"/>
            </w:tcMar>
          </w:tcPr>
          <w:p>
            <w:pPr>
              <w:spacing w:line="276" w:lineRule="auto"/>
            </w:pPr>
            <w:r>
              <w:rPr>
                <w:rFonts w:ascii="Arial" w:hAnsi="Arial"/>
                <w:color w:val="1E293B"/>
                <w:sz w:val="19"/>
              </w:rPr>
              <w:t>Evaluates presence of target role keywords across active work history (1.0x weight), projects (0.8x weight), and skills section (0.5x weight).</w:t>
            </w:r>
          </w:p>
        </w:tc>
      </w:tr>
      <w:tr>
        <w:tc>
          <w:tcPr>
            <w:tcW w:type="dxa" w:w="3168"/>
            <w:shd w:fill="F8FAFC"/>
            <w:tcMar>
              <w:top w:w="100" w:type="dxa"/>
              <w:bottom w:w="100" w:type="dxa"/>
              <w:left w:w="100" w:type="dxa"/>
              <w:right w:w="100" w:type="dxa"/>
            </w:tcMar>
          </w:tcPr>
          <w:p>
            <w:pPr>
              <w:spacing w:line="276" w:lineRule="auto"/>
            </w:pPr>
            <w:r>
              <w:rPr>
                <w:rFonts w:ascii="Arial" w:hAnsi="Arial"/>
                <w:b/>
                <w:color w:val="1E3A8A"/>
                <w:sz w:val="19"/>
              </w:rPr>
              <w:t>Impact &amp; Quantified Metrics</w:t>
            </w:r>
          </w:p>
        </w:tc>
        <w:tc>
          <w:tcPr>
            <w:tcW w:type="dxa" w:w="1584"/>
            <w:shd w:fill="F8FAFC"/>
            <w:tcMar>
              <w:top w:w="100" w:type="dxa"/>
              <w:bottom w:w="100" w:type="dxa"/>
              <w:left w:w="100" w:type="dxa"/>
              <w:right w:w="100" w:type="dxa"/>
            </w:tcMar>
          </w:tcPr>
          <w:p>
            <w:pPr>
              <w:spacing w:line="276" w:lineRule="auto"/>
            </w:pPr>
            <w:r>
              <w:rPr>
                <w:rFonts w:ascii="Arial" w:hAnsi="Arial"/>
                <w:b/>
                <w:color w:val="1E293B"/>
                <w:sz w:val="19"/>
              </w:rPr>
              <w:t>25 Pts</w:t>
            </w:r>
          </w:p>
        </w:tc>
        <w:tc>
          <w:tcPr>
            <w:tcW w:type="dxa" w:w="5040"/>
            <w:shd w:fill="F8FAFC"/>
            <w:tcMar>
              <w:top w:w="100" w:type="dxa"/>
              <w:bottom w:w="100" w:type="dxa"/>
              <w:left w:w="100" w:type="dxa"/>
              <w:right w:w="100" w:type="dxa"/>
            </w:tcMar>
          </w:tcPr>
          <w:p>
            <w:pPr>
              <w:spacing w:line="276" w:lineRule="auto"/>
            </w:pPr>
            <w:r>
              <w:rPr>
                <w:rFonts w:ascii="Arial" w:hAnsi="Arial"/>
                <w:color w:val="1E293B"/>
                <w:sz w:val="19"/>
              </w:rPr>
              <w:t>Checks for strong action verbs (Engineered, Architected, Deployed) and measurable metrics (%, latency ms, volume scale) using Google's XYZ formula.</w:t>
            </w:r>
          </w:p>
        </w:tc>
      </w:tr>
      <w:tr>
        <w:tc>
          <w:tcPr>
            <w:tcW w:type="dxa" w:w="3168"/>
            <w:shd w:fill="FFFFFF"/>
            <w:tcMar>
              <w:top w:w="100" w:type="dxa"/>
              <w:bottom w:w="100" w:type="dxa"/>
              <w:left w:w="100" w:type="dxa"/>
              <w:right w:w="100" w:type="dxa"/>
            </w:tcMar>
          </w:tcPr>
          <w:p>
            <w:pPr>
              <w:spacing w:line="276" w:lineRule="auto"/>
            </w:pPr>
            <w:r>
              <w:rPr>
                <w:rFonts w:ascii="Arial" w:hAnsi="Arial"/>
                <w:b/>
                <w:color w:val="1E3A8A"/>
                <w:sz w:val="19"/>
              </w:rPr>
              <w:t>Formatting &amp; Structure</w:t>
            </w:r>
          </w:p>
        </w:tc>
        <w:tc>
          <w:tcPr>
            <w:tcW w:type="dxa" w:w="1584"/>
            <w:shd w:fill="FFFFFF"/>
            <w:tcMar>
              <w:top w:w="100" w:type="dxa"/>
              <w:bottom w:w="100" w:type="dxa"/>
              <w:left w:w="100" w:type="dxa"/>
              <w:right w:w="100" w:type="dxa"/>
            </w:tcMar>
          </w:tcPr>
          <w:p>
            <w:pPr>
              <w:spacing w:line="276" w:lineRule="auto"/>
            </w:pPr>
            <w:r>
              <w:rPr>
                <w:rFonts w:ascii="Arial" w:hAnsi="Arial"/>
                <w:b/>
                <w:color w:val="1E293B"/>
                <w:sz w:val="19"/>
              </w:rPr>
              <w:t>25 Pts</w:t>
            </w:r>
          </w:p>
        </w:tc>
        <w:tc>
          <w:tcPr>
            <w:tcW w:type="dxa" w:w="5040"/>
            <w:shd w:fill="FFFFFF"/>
            <w:tcMar>
              <w:top w:w="100" w:type="dxa"/>
              <w:bottom w:w="100" w:type="dxa"/>
              <w:left w:w="100" w:type="dxa"/>
              <w:right w:w="100" w:type="dxa"/>
            </w:tcMar>
          </w:tcPr>
          <w:p>
            <w:pPr>
              <w:spacing w:line="276" w:lineRule="auto"/>
            </w:pPr>
            <w:r>
              <w:rPr>
                <w:rFonts w:ascii="Arial" w:hAnsi="Arial"/>
                <w:color w:val="1E293B"/>
                <w:sz w:val="19"/>
              </w:rPr>
              <w:t>Verifies recognizable standard section headers (EXPERIENCE, EDUCATION, SKILLS, PROJECTS) and clean single-column parser compliance.</w:t>
            </w:r>
          </w:p>
        </w:tc>
      </w:tr>
      <w:tr>
        <w:tc>
          <w:tcPr>
            <w:tcW w:type="dxa" w:w="3168"/>
            <w:shd w:fill="F8FAFC"/>
            <w:tcMar>
              <w:top w:w="100" w:type="dxa"/>
              <w:bottom w:w="100" w:type="dxa"/>
              <w:left w:w="100" w:type="dxa"/>
              <w:right w:w="100" w:type="dxa"/>
            </w:tcMar>
          </w:tcPr>
          <w:p>
            <w:pPr>
              <w:spacing w:line="276" w:lineRule="auto"/>
            </w:pPr>
            <w:r>
              <w:rPr>
                <w:rFonts w:ascii="Arial" w:hAnsi="Arial"/>
                <w:b/>
                <w:color w:val="1E3A8A"/>
                <w:sz w:val="19"/>
              </w:rPr>
              <w:t>Section Completeness</w:t>
            </w:r>
          </w:p>
        </w:tc>
        <w:tc>
          <w:tcPr>
            <w:tcW w:type="dxa" w:w="1584"/>
            <w:shd w:fill="F8FAFC"/>
            <w:tcMar>
              <w:top w:w="100" w:type="dxa"/>
              <w:bottom w:w="100" w:type="dxa"/>
              <w:left w:w="100" w:type="dxa"/>
              <w:right w:w="100" w:type="dxa"/>
            </w:tcMar>
          </w:tcPr>
          <w:p>
            <w:pPr>
              <w:spacing w:line="276" w:lineRule="auto"/>
            </w:pPr>
            <w:r>
              <w:rPr>
                <w:rFonts w:ascii="Arial" w:hAnsi="Arial"/>
                <w:b/>
                <w:color w:val="1E293B"/>
                <w:sz w:val="19"/>
              </w:rPr>
              <w:t>15 Pts</w:t>
            </w:r>
          </w:p>
        </w:tc>
        <w:tc>
          <w:tcPr>
            <w:tcW w:type="dxa" w:w="5040"/>
            <w:shd w:fill="F8FAFC"/>
            <w:tcMar>
              <w:top w:w="100" w:type="dxa"/>
              <w:bottom w:w="100" w:type="dxa"/>
              <w:left w:w="100" w:type="dxa"/>
              <w:right w:w="100" w:type="dxa"/>
            </w:tcMar>
          </w:tcPr>
          <w:p>
            <w:pPr>
              <w:spacing w:line="276" w:lineRule="auto"/>
            </w:pPr>
            <w:r>
              <w:rPr>
                <w:rFonts w:ascii="Arial" w:hAnsi="Arial"/>
                <w:color w:val="1E293B"/>
                <w:sz w:val="19"/>
              </w:rPr>
              <w:t>Evaluates full presence of contact info, employment history with dates/companies, degrees, projects, and verified certifications.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