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ISOQOL</w:t>
      </w:r>
      <w:r>
        <w:t xml:space="preserve"> </w:t>
      </w:r>
      <w:r>
        <w:t xml:space="preserve">2021:</w:t>
      </w:r>
      <w:r>
        <w:t xml:space="preserve"> </w:t>
      </w:r>
      <w:r>
        <w:t xml:space="preserve">minimum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goals</w:t>
      </w:r>
      <w:r>
        <w:t xml:space="preserve"> </w:t>
      </w:r>
      <w:r>
        <w:t xml:space="preserve">in</w:t>
      </w:r>
      <w:r>
        <w:t xml:space="preserve"> </w:t>
      </w:r>
      <w:r>
        <w:t xml:space="preserve">GAS</w:t>
      </w:r>
    </w:p>
    <w:p>
      <w:pPr>
        <w:pStyle w:val="Heading1"/>
      </w:pPr>
      <w:bookmarkStart w:id="20" w:name="guidelines"/>
      <w:r>
        <w:t xml:space="preserve">Guidelines</w:t>
      </w:r>
      <w:bookmarkEnd w:id="20"/>
    </w:p>
    <w:p>
      <w:pPr>
        <w:pStyle w:val="FirstParagraph"/>
      </w:pPr>
      <w:r>
        <w:t xml:space="preserve">Deadline: April 16, 2021</w:t>
      </w:r>
    </w:p>
    <w:p>
      <w:pPr>
        <w:pStyle w:val="BodyText"/>
      </w:pPr>
      <w:r>
        <w:t xml:space="preserve">Notification: June 7, 2021 -&gt; confirm by June 14</w:t>
      </w:r>
    </w:p>
    <w:p>
      <w:pPr>
        <w:pStyle w:val="BodyText"/>
      </w:pPr>
      <w:r>
        <w:t xml:space="preserve">Registration deadline: August 2, 2021</w:t>
      </w:r>
    </w:p>
    <w:p>
      <w:pPr>
        <w:pStyle w:val="BodyText"/>
      </w:pPr>
      <w:r>
        <w:t xml:space="preserve">Posters due: October 4, 2021</w:t>
      </w:r>
    </w:p>
    <w:p>
      <w:pPr>
        <w:pStyle w:val="BodyText"/>
      </w:pPr>
      <w:r>
        <w:t xml:space="preserve">Conference: October 13-16</w:t>
      </w:r>
    </w:p>
    <w:p>
      <w:pPr>
        <w:pStyle w:val="BodyText"/>
      </w:pPr>
      <w:r>
        <w:t xml:space="preserve">Presenter restrictions: a maximum of two abstracts may be selected by any one presenting authors. Only one oral presentation per presenting author.</w:t>
      </w:r>
    </w:p>
    <w:p>
      <w:pPr>
        <w:pStyle w:val="BodyText"/>
      </w:pPr>
      <w:r>
        <w:t xml:space="preserve">Abstract categories:</w:t>
      </w:r>
    </w:p>
    <w:p>
      <w:pPr>
        <w:numPr>
          <w:ilvl w:val="0"/>
          <w:numId w:val="1001"/>
        </w:numPr>
      </w:pPr>
      <w:r>
        <w:rPr>
          <w:b/>
        </w:rPr>
        <w:t xml:space="preserve">Theoretical work</w:t>
      </w:r>
    </w:p>
    <w:p>
      <w:pPr>
        <w:numPr>
          <w:ilvl w:val="1"/>
          <w:numId w:val="1002"/>
        </w:numPr>
      </w:pPr>
      <w:r>
        <w:t xml:space="preserve">Abstracts in this category use theory to advance the understanding of HRQL</w:t>
      </w:r>
      <w:r>
        <w:t xml:space="preserve"> </w:t>
      </w:r>
      <w:r>
        <w:t xml:space="preserve">phenomena. Such work might include novel efforts to explain known associations or</w:t>
      </w:r>
      <w:r>
        <w:t xml:space="preserve"> </w:t>
      </w:r>
      <w:r>
        <w:t xml:space="preserve">relationships observed in the literature; modifications or extensions to theories that</w:t>
      </w:r>
      <w:r>
        <w:t xml:space="preserve"> </w:t>
      </w:r>
      <w:r>
        <w:t xml:space="preserve">are routinely or historically used in HRQL research and applications; or applications</w:t>
      </w:r>
      <w:r>
        <w:t xml:space="preserve"> </w:t>
      </w:r>
      <w:r>
        <w:t xml:space="preserve">of an established theory from another field to HRQL phenomena. Abstracts in this</w:t>
      </w:r>
      <w:r>
        <w:t xml:space="preserve"> </w:t>
      </w:r>
      <w:r>
        <w:t xml:space="preserve">category should not be presenting new data (including qualitative or formative</w:t>
      </w:r>
      <w:r>
        <w:t xml:space="preserve"> </w:t>
      </w:r>
      <w:r>
        <w:t xml:space="preserve">work) or meta-analyses, but may reference published data in support of a theory.</w:t>
      </w:r>
    </w:p>
    <w:p>
      <w:pPr>
        <w:numPr>
          <w:ilvl w:val="0"/>
          <w:numId w:val="1001"/>
        </w:numPr>
      </w:pPr>
      <w:r>
        <w:t xml:space="preserve">Methodological</w:t>
      </w:r>
    </w:p>
    <w:p>
      <w:pPr>
        <w:numPr>
          <w:ilvl w:val="1"/>
          <w:numId w:val="1003"/>
        </w:numPr>
      </w:pPr>
      <w:r>
        <w:t xml:space="preserve">Work in this category reports on qualitative or quantitative methods for developing</w:t>
      </w:r>
      <w:r>
        <w:t xml:space="preserve"> </w:t>
      </w:r>
      <w:r>
        <w:t xml:space="preserve">and evaluating patient-reported health status, as well as methods for analyzing and</w:t>
      </w:r>
      <w:r>
        <w:t xml:space="preserve"> </w:t>
      </w:r>
      <w:r>
        <w:t xml:space="preserve">interpreting scores from such measures of health assessments. While the work</w:t>
      </w:r>
      <w:r>
        <w:t xml:space="preserve"> </w:t>
      </w:r>
      <w:r>
        <w:t xml:space="preserve">might feature a particular disease area or measure, the primary aim of the work is to</w:t>
      </w:r>
      <w:r>
        <w:t xml:space="preserve"> </w:t>
      </w:r>
      <w:r>
        <w:t xml:space="preserve">present a method rather than present findings about a particular measure or</w:t>
      </w:r>
      <w:r>
        <w:t xml:space="preserve"> </w:t>
      </w:r>
      <w:r>
        <w:t xml:space="preserve">population.</w:t>
      </w:r>
    </w:p>
    <w:p>
      <w:pPr>
        <w:numPr>
          <w:ilvl w:val="0"/>
          <w:numId w:val="1001"/>
        </w:numPr>
      </w:pPr>
      <w:r>
        <w:t xml:space="preserve">Application: Clinical Research</w:t>
      </w:r>
    </w:p>
    <w:p>
      <w:pPr>
        <w:numPr>
          <w:ilvl w:val="1"/>
          <w:numId w:val="1004"/>
        </w:numPr>
      </w:pPr>
      <w:r>
        <w:t xml:space="preserve">Abstracts in this category use patient-centered measures to better understand the</w:t>
      </w:r>
      <w:r>
        <w:t xml:space="preserve"> </w:t>
      </w:r>
      <w:r>
        <w:t xml:space="preserve">nature, prevention, treatment and management of different health conditions.</w:t>
      </w:r>
      <w:r>
        <w:t xml:space="preserve"> </w:t>
      </w:r>
      <w:r>
        <w:t xml:space="preserve">Approaches used in this category could include qualitative or quantitative,</w:t>
      </w:r>
      <w:r>
        <w:t xml:space="preserve"> </w:t>
      </w:r>
      <w:r>
        <w:t xml:space="preserve">randomized or non-randomized, cross-sectional or longitudinal, and meta-analyses.</w:t>
      </w:r>
    </w:p>
    <w:p>
      <w:pPr>
        <w:numPr>
          <w:ilvl w:val="0"/>
          <w:numId w:val="1001"/>
        </w:numPr>
      </w:pPr>
      <w:r>
        <w:t xml:space="preserve">Application: Clinical Care Applications</w:t>
      </w:r>
    </w:p>
    <w:p>
      <w:pPr>
        <w:numPr>
          <w:ilvl w:val="1"/>
          <w:numId w:val="1005"/>
        </w:numPr>
      </w:pPr>
      <w:r>
        <w:t xml:space="preserve">Abstracts in this category include reports of efforts to integrate the patient’s voice</w:t>
      </w:r>
      <w:r>
        <w:t xml:space="preserve"> </w:t>
      </w:r>
      <w:r>
        <w:t xml:space="preserve">more effectively into clinical encounters. Examples include descriptions of</w:t>
      </w:r>
      <w:r>
        <w:t xml:space="preserve"> </w:t>
      </w:r>
      <w:r>
        <w:t xml:space="preserve">experiences implementing a standardized PRO collection system in a single clinic,</w:t>
      </w:r>
      <w:r>
        <w:t xml:space="preserve"> </w:t>
      </w:r>
      <w:r>
        <w:t xml:space="preserve">reports of the development of a streamlined questionnaire battery for patients to</w:t>
      </w:r>
      <w:r>
        <w:t xml:space="preserve"> </w:t>
      </w:r>
      <w:r>
        <w:t xml:space="preserve">complete prior to visits, and efforts to develop better reports for clinicians of</w:t>
      </w:r>
      <w:r>
        <w:t xml:space="preserve"> </w:t>
      </w:r>
      <w:r>
        <w:t xml:space="preserve">patients’ PRO data over time. It is expected that abstracts in this category are more</w:t>
      </w:r>
      <w:r>
        <w:t xml:space="preserve"> </w:t>
      </w:r>
      <w:r>
        <w:t xml:space="preserve">descriptive in nature with limited sample sizes. Larger and/or randomized studies</w:t>
      </w:r>
      <w:r>
        <w:t xml:space="preserve"> </w:t>
      </w:r>
      <w:r>
        <w:t xml:space="preserve">should be categorized as Clinical Research.</w:t>
      </w:r>
    </w:p>
    <w:p>
      <w:pPr>
        <w:numPr>
          <w:ilvl w:val="0"/>
          <w:numId w:val="1001"/>
        </w:numPr>
      </w:pPr>
      <w:r>
        <w:t xml:space="preserve">Application: Policy</w:t>
      </w:r>
    </w:p>
    <w:p>
      <w:pPr>
        <w:numPr>
          <w:ilvl w:val="1"/>
          <w:numId w:val="1006"/>
        </w:numPr>
      </w:pPr>
      <w:r>
        <w:t xml:space="preserve">Abstracts in this category focus on issues relevant to the requirement, development</w:t>
      </w:r>
      <w:r>
        <w:t xml:space="preserve"> </w:t>
      </w:r>
      <w:r>
        <w:t xml:space="preserve">and large-scale (e.g., Health System, Government) application of patient-reported</w:t>
      </w:r>
      <w:r>
        <w:t xml:space="preserve"> </w:t>
      </w:r>
      <w:r>
        <w:t xml:space="preserve">outcomes in health care practice, regulatory, and population/surveillance settings.</w:t>
      </w:r>
      <w:r>
        <w:t xml:space="preserve"> </w:t>
      </w:r>
      <w:r>
        <w:t xml:space="preserve">Abstracts may include program evaluation, case studies and economic analyses.</w:t>
      </w:r>
    </w:p>
    <w:p>
      <w:pPr>
        <w:pStyle w:val="FirstParagraph"/>
      </w:pPr>
      <w:r>
        <w:t xml:space="preserve">Abstract submissions should have the following sections: Aims, Methods, Results Conclusions for a</w:t>
      </w:r>
      <w:r>
        <w:t xml:space="preserve"> </w:t>
      </w:r>
      <w:r>
        <w:rPr>
          <w:b/>
        </w:rPr>
        <w:t xml:space="preserve">combined word count of 350 or fewer</w:t>
      </w:r>
      <w:r>
        <w:t xml:space="preserve">.</w:t>
      </w:r>
      <w:r>
        <w:t xml:space="preserve"> </w:t>
      </w:r>
      <w:r>
        <w:t xml:space="preserve">Optional: up to three supporting files (JPG preferred)</w:t>
      </w:r>
    </w:p>
    <w:p>
      <w:pPr>
        <w:pStyle w:val="BodyText"/>
      </w:pPr>
      <w:r>
        <w:t xml:space="preserve">Abstract title should be 10-250 characters in sentence case.</w:t>
      </w:r>
    </w:p>
    <w:p>
      <w:pPr>
        <w:pStyle w:val="BodyText"/>
      </w:pPr>
      <w:r>
        <w:t xml:space="preserve">Health condition (must select 1 or 2)</w:t>
      </w:r>
    </w:p>
    <w:p>
      <w:pPr>
        <w:numPr>
          <w:ilvl w:val="0"/>
          <w:numId w:val="1007"/>
        </w:numPr>
      </w:pPr>
      <w:r>
        <w:t xml:space="preserve">Cancer</w:t>
      </w:r>
      <w:r>
        <w:br/>
      </w:r>
    </w:p>
    <w:p>
      <w:pPr>
        <w:numPr>
          <w:ilvl w:val="0"/>
          <w:numId w:val="1007"/>
        </w:numPr>
      </w:pPr>
      <w:r>
        <w:t xml:space="preserve">Cardiology</w:t>
      </w:r>
    </w:p>
    <w:p>
      <w:pPr>
        <w:numPr>
          <w:ilvl w:val="0"/>
          <w:numId w:val="1007"/>
        </w:numPr>
      </w:pPr>
      <w:r>
        <w:t xml:space="preserve">Endocrinology/Diabetes/Obesity</w:t>
      </w:r>
    </w:p>
    <w:p>
      <w:pPr>
        <w:numPr>
          <w:ilvl w:val="0"/>
          <w:numId w:val="1007"/>
        </w:numPr>
      </w:pPr>
      <w:r>
        <w:t xml:space="preserve">Mental Health</w:t>
      </w:r>
    </w:p>
    <w:p>
      <w:pPr>
        <w:numPr>
          <w:ilvl w:val="0"/>
          <w:numId w:val="1007"/>
        </w:numPr>
      </w:pPr>
      <w:r>
        <w:t xml:space="preserve">Musculoskeletal/Rheumatic</w:t>
      </w:r>
    </w:p>
    <w:p>
      <w:pPr>
        <w:numPr>
          <w:ilvl w:val="0"/>
          <w:numId w:val="1007"/>
        </w:numPr>
      </w:pPr>
      <w:r>
        <w:t xml:space="preserve">Nephrology/Urology</w:t>
      </w:r>
    </w:p>
    <w:p>
      <w:pPr>
        <w:numPr>
          <w:ilvl w:val="0"/>
          <w:numId w:val="1007"/>
        </w:numPr>
      </w:pPr>
      <w:r>
        <w:t xml:space="preserve">Neurological</w:t>
      </w:r>
    </w:p>
    <w:p>
      <w:pPr>
        <w:numPr>
          <w:ilvl w:val="0"/>
          <w:numId w:val="1007"/>
        </w:numPr>
      </w:pPr>
      <w:r>
        <w:t xml:space="preserve">Rehabilitation</w:t>
      </w:r>
    </w:p>
    <w:p>
      <w:pPr>
        <w:numPr>
          <w:ilvl w:val="0"/>
          <w:numId w:val="1007"/>
        </w:numPr>
      </w:pPr>
      <w:r>
        <w:t xml:space="preserve">Respiratory</w:t>
      </w:r>
    </w:p>
    <w:p>
      <w:pPr>
        <w:numPr>
          <w:ilvl w:val="0"/>
          <w:numId w:val="1007"/>
        </w:numPr>
      </w:pPr>
      <w:r>
        <w:rPr>
          <w:b/>
        </w:rPr>
        <w:t xml:space="preserve">Other Health Condition</w:t>
      </w:r>
    </w:p>
    <w:p>
      <w:pPr>
        <w:pStyle w:val="FirstParagraph"/>
      </w:pPr>
      <w:r>
        <w:t xml:space="preserve">Population (must select 1 or 2):</w:t>
      </w:r>
    </w:p>
    <w:p>
      <w:pPr>
        <w:numPr>
          <w:ilvl w:val="0"/>
          <w:numId w:val="1008"/>
        </w:numPr>
      </w:pPr>
      <w:r>
        <w:t xml:space="preserve">Children and Adolescents</w:t>
      </w:r>
      <w:r>
        <w:br/>
      </w:r>
    </w:p>
    <w:p>
      <w:pPr>
        <w:numPr>
          <w:ilvl w:val="0"/>
          <w:numId w:val="1008"/>
        </w:numPr>
      </w:pPr>
      <w:r>
        <w:t xml:space="preserve">Older People</w:t>
      </w:r>
    </w:p>
    <w:p>
      <w:pPr>
        <w:numPr>
          <w:ilvl w:val="0"/>
          <w:numId w:val="1008"/>
        </w:numPr>
      </w:pPr>
      <w:r>
        <w:t xml:space="preserve">Caregivers and Relatives</w:t>
      </w:r>
    </w:p>
    <w:p>
      <w:pPr>
        <w:numPr>
          <w:ilvl w:val="0"/>
          <w:numId w:val="1008"/>
        </w:numPr>
      </w:pPr>
      <w:r>
        <w:t xml:space="preserve">Cultural and Ethnic Minorities</w:t>
      </w:r>
    </w:p>
    <w:p>
      <w:pPr>
        <w:numPr>
          <w:ilvl w:val="0"/>
          <w:numId w:val="1008"/>
        </w:numPr>
      </w:pPr>
      <w:r>
        <w:t xml:space="preserve">Vulnerable Populations</w:t>
      </w:r>
    </w:p>
    <w:p>
      <w:pPr>
        <w:numPr>
          <w:ilvl w:val="0"/>
          <w:numId w:val="1008"/>
        </w:numPr>
      </w:pPr>
      <w:r>
        <w:rPr>
          <w:b/>
        </w:rPr>
        <w:t xml:space="preserve">General Populations</w:t>
      </w:r>
    </w:p>
    <w:p>
      <w:pPr>
        <w:numPr>
          <w:ilvl w:val="0"/>
          <w:numId w:val="1008"/>
        </w:numPr>
      </w:pPr>
      <w:r>
        <w:t xml:space="preserve">Other Populations</w:t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Title: Minimum number of goals per subject in goal attainment scaling trials: a simulation study.</w:t>
      </w:r>
    </w:p>
    <w:p>
      <w:pPr>
        <w:pStyle w:val="BodyText"/>
      </w:pPr>
      <w:r>
        <w:t xml:space="preserve">Authors: Taylor, Justin, Kari, Sanja, Susan, Ken</w:t>
      </w:r>
    </w:p>
    <w:p>
      <w:pPr>
        <w:pStyle w:val="Heading2"/>
      </w:pPr>
      <w:bookmarkStart w:id="22" w:name="aims"/>
      <w:r>
        <w:t xml:space="preserve">Aims</w:t>
      </w:r>
      <w:bookmarkEnd w:id="22"/>
    </w:p>
    <w:p>
      <w:pPr>
        <w:pStyle w:val="FirstParagraph"/>
      </w:pPr>
      <w:r>
        <w:t xml:space="preserve">Goal attainment scaling (GAS) is a patient-centric outcome measure that captures meaningful change through personally identified goals of treatment.</w:t>
      </w:r>
      <w:r>
        <w:t xml:space="preserve"> </w:t>
      </w:r>
      <w:r>
        <w:t xml:space="preserve">Traditionally, it is recommended to set a minimum of three goals per subject in a clinical trial.</w:t>
      </w:r>
      <w:r>
        <w:t xml:space="preserve"> </w:t>
      </w:r>
      <w:r>
        <w:t xml:space="preserve">Depending on the subject population and time constraints, however, it may not be feasible to reach this minimum number.</w:t>
      </w:r>
      <w:r>
        <w:t xml:space="preserve"> </w:t>
      </w:r>
      <w:r>
        <w:t xml:space="preserve">Our aim was to investigate the effect of number of goals per subject on statistical power using data simulation techniques.</w:t>
      </w:r>
    </w:p>
    <w:p>
      <w:pPr>
        <w:pStyle w:val="Heading2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We employed a probabilistic model introduced by Urach et al. (2019) for generating randomized parallel group GAS endpoint data.</w:t>
      </w:r>
      <w:r>
        <w:t xml:space="preserve"> </w:t>
      </w:r>
      <w:r>
        <w:t xml:space="preserve">This model allows for adjustment of many study parameters, but for this analysis we varied only the total number of subjects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(from 20 to 100), treatment effect size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(from 0.4 to 0.8), and the parameter of interest: number of goals per subject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(from 1 to 7).</w:t>
      </w:r>
      <w:r>
        <w:t xml:space="preserve"> </w:t>
      </w:r>
      <w:r>
        <w:t xml:space="preserve">For each set of parameters, 1000 parallel group trials were simulated and a two-sided</w:t>
      </w:r>
      <w:r>
        <w:t xml:space="preserve"> </w:t>
      </w:r>
      <m:oMath>
        <m:r>
          <m:t>t</m:t>
        </m:r>
      </m:oMath>
      <w:r>
        <w:t xml:space="preserve">-test was performed on standardized T-scores.</w:t>
      </w:r>
      <w:r>
        <w:t xml:space="preserve"> </w:t>
      </w:r>
      <w:r>
        <w:t xml:space="preserve">Power was computed as the percentage of simulations detecting a statistically significant treatment effect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The gain in statistical power ranged from 8-20% for 2 goals per subject, compared to 1 goal per subject.</w:t>
      </w:r>
      <w:r>
        <w:t xml:space="preserve"> </w:t>
      </w:r>
      <w:r>
        <w:t xml:space="preserve">The difference between 3 and 2 goals per subject was less pronounced, with power increases ranging from 2-11%.</w:t>
      </w:r>
      <w:r>
        <w:t xml:space="preserve"> </w:t>
      </w:r>
      <w:r>
        <w:t xml:space="preserve">This pattern of diminishing returns continued for more than 3 goals, e.g. 0-8% gains from 4 vs 3 goals per subject.</w:t>
      </w:r>
      <w:r>
        <w:t xml:space="preserve"> </w:t>
      </w:r>
      <w:r>
        <w:t xml:space="preserve">With 3 goals per subject, the minimum sample size required to reach 80% was found to be &gt;100, 60 ,and 40 subjects for effect sizes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0.4, 0.6, and 0.8 respectively.</w:t>
      </w:r>
    </w:p>
    <w:p>
      <w:pPr>
        <w:pStyle w:val="Heading2"/>
      </w:pPr>
      <w:bookmarkStart w:id="25" w:name="conclusions"/>
      <w:r>
        <w:t xml:space="preserve">Conclusions</w:t>
      </w:r>
      <w:bookmarkEnd w:id="25"/>
    </w:p>
    <w:p>
      <w:pPr>
        <w:pStyle w:val="FirstParagraph"/>
      </w:pPr>
      <w:r>
        <w:t xml:space="preserve">The power to detect a treatment effect increased with increasing number of goals per subject.</w:t>
      </w:r>
      <w:r>
        <w:t xml:space="preserve"> </w:t>
      </w:r>
      <w:r>
        <w:t xml:space="preserve">The gains in power had diminishing returns, however, with the most substantial increase from 1 to 2 goals per subject.</w:t>
      </w:r>
      <w:r>
        <w:t xml:space="preserve"> </w:t>
      </w:r>
      <w:r>
        <w:t xml:space="preserve">For the moderate-large effect sizes considered here, the traditional 3 goal minimum reached 80% power with sample sizes ranging from 40 to 100+ subjects.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ISOQOL 2021: minimum number of goals in GAS</dc:title>
  <dc:creator/>
  <cp:keywords/>
  <dcterms:created xsi:type="dcterms:W3CDTF">2021-03-22T17:27:51Z</dcterms:created>
  <dcterms:modified xsi:type="dcterms:W3CDTF">2021-03-22T17:27:51Z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