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731" w:rsidRDefault="00C34731" w:rsidP="00C3473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INFORMATION SECURITY</w:t>
      </w:r>
    </w:p>
    <w:p w:rsidR="00C34731" w:rsidRDefault="00C34731" w:rsidP="00C3473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C34731" w:rsidRDefault="00C34731" w:rsidP="00C3473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898525</wp:posOffset>
            </wp:positionV>
            <wp:extent cx="1398905" cy="1397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139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4731" w:rsidRDefault="00C34731" w:rsidP="00C3473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C34731" w:rsidRDefault="00C34731" w:rsidP="00C3473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C34731" w:rsidRDefault="00C34731" w:rsidP="00C347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34731" w:rsidRDefault="00C34731" w:rsidP="00C3473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Session 2023 - 2027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C34731" w:rsidRDefault="00C34731" w:rsidP="00C347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34731" w:rsidRDefault="00C34731" w:rsidP="00C3473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by: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C34731" w:rsidRDefault="00C34731" w:rsidP="00C3473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Sumaira Hafeez</w:t>
      </w:r>
      <w:r>
        <w:rPr>
          <w:rFonts w:ascii="Times New Roman" w:hAnsi="Times New Roman" w:cs="Times New Roman"/>
          <w:sz w:val="32"/>
          <w:szCs w:val="32"/>
        </w:rPr>
        <w:tab/>
        <w:t xml:space="preserve">2023-CS-1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C34731" w:rsidRDefault="00C34731" w:rsidP="00C347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Supervised by:</w:t>
      </w:r>
    </w:p>
    <w:p w:rsidR="00C34731" w:rsidRDefault="00C34731" w:rsidP="00C3473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Dr.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Faiza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Iqbal</w:t>
      </w:r>
    </w:p>
    <w:p w:rsidR="00C34731" w:rsidRDefault="00C34731" w:rsidP="00C347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Course:</w:t>
      </w:r>
    </w:p>
    <w:p w:rsidR="00C34731" w:rsidRDefault="00C34731" w:rsidP="00C34731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Information Security</w:t>
      </w:r>
    </w:p>
    <w:p w:rsidR="00C34731" w:rsidRDefault="00C34731" w:rsidP="00C3473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C34731" w:rsidRDefault="00C34731" w:rsidP="00C3473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 of Computer Science</w:t>
      </w:r>
    </w:p>
    <w:p w:rsidR="00C34731" w:rsidRDefault="00C34731" w:rsidP="00C3473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University of Engineering and Technology</w:t>
      </w:r>
    </w:p>
    <w:p w:rsidR="00C34731" w:rsidRDefault="00C34731" w:rsidP="00C3473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Lahore Pakistan</w:t>
      </w:r>
    </w:p>
    <w:p w:rsidR="00255430" w:rsidRDefault="00255430"/>
    <w:p w:rsidR="00C34731" w:rsidRDefault="00C34731"/>
    <w:p w:rsidR="00C34731" w:rsidRDefault="00C34731"/>
    <w:p w:rsidR="00C34731" w:rsidRDefault="00C34731"/>
    <w:p w:rsidR="00C34731" w:rsidRDefault="00C34731"/>
    <w:sdt>
      <w:sdtPr>
        <w:id w:val="-322977288"/>
        <w:docPartObj>
          <w:docPartGallery w:val="Table of Contents"/>
          <w:docPartUnique/>
        </w:docPartObj>
      </w:sdtPr>
      <w:sdtEndPr>
        <w:rPr>
          <w:rFonts w:ascii="Calibri" w:eastAsia="Calibri" w:hAnsi="Calibri" w:cs="font385"/>
          <w:b/>
          <w:bCs/>
          <w:noProof/>
          <w:color w:val="auto"/>
          <w:kern w:val="2"/>
          <w:sz w:val="22"/>
          <w:szCs w:val="22"/>
        </w:rPr>
      </w:sdtEndPr>
      <w:sdtContent>
        <w:p w:rsidR="002A6656" w:rsidRDefault="002A6656">
          <w:pPr>
            <w:pStyle w:val="TOCHeading"/>
          </w:pPr>
          <w:r>
            <w:t>Contents</w:t>
          </w:r>
        </w:p>
        <w:p w:rsidR="00E468D7" w:rsidRDefault="002A66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90805" w:history="1">
            <w:r w:rsidR="00E468D7" w:rsidRPr="003C64B0">
              <w:rPr>
                <w:rStyle w:val="Hyperlink"/>
                <w:rFonts w:ascii="Times New Roman" w:hAnsi="Times New Roman" w:cs="Times New Roman"/>
                <w:b/>
                <w:noProof/>
              </w:rPr>
              <w:t>Step 1: Risk Identification for TechCorp</w:t>
            </w:r>
            <w:r w:rsidR="00E468D7">
              <w:rPr>
                <w:noProof/>
                <w:webHidden/>
              </w:rPr>
              <w:tab/>
            </w:r>
            <w:r w:rsidR="00E468D7">
              <w:rPr>
                <w:noProof/>
                <w:webHidden/>
              </w:rPr>
              <w:fldChar w:fldCharType="begin"/>
            </w:r>
            <w:r w:rsidR="00E468D7">
              <w:rPr>
                <w:noProof/>
                <w:webHidden/>
              </w:rPr>
              <w:instrText xml:space="preserve"> PAGEREF _Toc194490805 \h </w:instrText>
            </w:r>
            <w:r w:rsidR="00E468D7">
              <w:rPr>
                <w:noProof/>
                <w:webHidden/>
              </w:rPr>
            </w:r>
            <w:r w:rsidR="00E468D7">
              <w:rPr>
                <w:noProof/>
                <w:webHidden/>
              </w:rPr>
              <w:fldChar w:fldCharType="separate"/>
            </w:r>
            <w:r w:rsidR="00E468D7">
              <w:rPr>
                <w:noProof/>
                <w:webHidden/>
              </w:rPr>
              <w:t>3</w:t>
            </w:r>
            <w:r w:rsidR="00E468D7">
              <w:rPr>
                <w:noProof/>
                <w:webHidden/>
              </w:rPr>
              <w:fldChar w:fldCharType="end"/>
            </w:r>
          </w:hyperlink>
        </w:p>
        <w:p w:rsidR="00E468D7" w:rsidRDefault="00E468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4490806" w:history="1">
            <w:r w:rsidRPr="003C64B0">
              <w:rPr>
                <w:rStyle w:val="Hyperlink"/>
                <w:rFonts w:ascii="Times New Roman" w:hAnsi="Times New Roman" w:cs="Times New Roman"/>
                <w:b/>
                <w:noProof/>
              </w:rPr>
              <w:t>1. Critical Assets at Risk (Categorized)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8D7" w:rsidRDefault="00E468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4490807" w:history="1">
            <w:r w:rsidRPr="003C64B0">
              <w:rPr>
                <w:rStyle w:val="Hyperlink"/>
                <w:rFonts w:ascii="Times New Roman" w:hAnsi="Times New Roman" w:cs="Times New Roman"/>
                <w:b/>
                <w:noProof/>
              </w:rPr>
              <w:t>2. Major Threats to These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8D7" w:rsidRDefault="00E468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4490808" w:history="1">
            <w:r w:rsidRPr="003C64B0">
              <w:rPr>
                <w:rStyle w:val="Hyperlink"/>
                <w:rFonts w:ascii="Times New Roman" w:hAnsi="Times New Roman" w:cs="Times New Roman"/>
                <w:b/>
                <w:noProof/>
              </w:rPr>
              <w:t>3. Threat-Vulnerability-Asset (TVA) Worksheet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8D7" w:rsidRDefault="00E468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4490809" w:history="1">
            <w:r w:rsidRPr="003C64B0">
              <w:rPr>
                <w:rStyle w:val="Hyperlink"/>
                <w:rFonts w:ascii="Times New Roman" w:hAnsi="Times New Roman" w:cs="Times New Roman"/>
                <w:b/>
                <w:noProof/>
              </w:rPr>
              <w:t>Step 2: Risk Assessment (Numerical Analysis) for TechCorp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8D7" w:rsidRDefault="00E468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4490810" w:history="1">
            <w:r w:rsidRPr="003C64B0">
              <w:rPr>
                <w:rStyle w:val="Hyperlink"/>
                <w:rFonts w:ascii="Times New Roman" w:hAnsi="Times New Roman" w:cs="Times New Roman"/>
                <w:b/>
                <w:noProof/>
              </w:rPr>
              <w:t>1. Assumptions &amp; Baseline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8D7" w:rsidRDefault="00E468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4490811" w:history="1">
            <w:r w:rsidRPr="003C64B0">
              <w:rPr>
                <w:rStyle w:val="Hyperlink"/>
                <w:rFonts w:ascii="Times New Roman" w:hAnsi="Times New Roman" w:cs="Times New Roman"/>
                <w:b/>
                <w:noProof/>
              </w:rPr>
              <w:t>2. Risk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8D7" w:rsidRDefault="00E468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4490812" w:history="1">
            <w:r w:rsidRPr="003C64B0">
              <w:rPr>
                <w:rStyle w:val="Hyperlink"/>
                <w:rFonts w:ascii="Times New Roman" w:hAnsi="Times New Roman" w:cs="Times New Roman"/>
                <w:b/>
                <w:noProof/>
              </w:rPr>
              <w:t>3. Ranked Threats by ALE (Highest to Lowest Impact)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8D7" w:rsidRDefault="00E468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4490813" w:history="1">
            <w:r w:rsidRPr="003C64B0">
              <w:rPr>
                <w:rStyle w:val="Hyperlink"/>
                <w:rFonts w:ascii="Times New Roman" w:hAnsi="Times New Roman" w:cs="Times New Roman"/>
                <w:b/>
                <w:noProof/>
              </w:rPr>
              <w:t>Step 3: Risk Control Strategy Selection for TechCorp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8D7" w:rsidRDefault="00E468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4490814" w:history="1">
            <w:r w:rsidRPr="003C64B0">
              <w:rPr>
                <w:rStyle w:val="Hyperlink"/>
                <w:rFonts w:ascii="Times New Roman" w:hAnsi="Times New Roman" w:cs="Times New Roman"/>
                <w:b/>
                <w:noProof/>
              </w:rPr>
              <w:t>1. Insider Threat (Source Code Repositories) ALE: $12M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8D7" w:rsidRDefault="00E468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4490815" w:history="1">
            <w:r w:rsidRPr="003C64B0">
              <w:rPr>
                <w:rStyle w:val="Hyperlink"/>
                <w:rFonts w:ascii="Times New Roman" w:hAnsi="Times New Roman" w:cs="Times New Roman"/>
                <w:b/>
                <w:noProof/>
              </w:rPr>
              <w:t>2. Phishing (Client Financial Data) – ALE: $10M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8D7" w:rsidRDefault="00E468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4490816" w:history="1">
            <w:r w:rsidRPr="003C64B0">
              <w:rPr>
                <w:rStyle w:val="Hyperlink"/>
                <w:rFonts w:ascii="Times New Roman" w:hAnsi="Times New Roman" w:cs="Times New Roman"/>
                <w:b/>
                <w:noProof/>
              </w:rPr>
              <w:t>3. SQL Injection (API/Database) – ALE: $6M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8D7" w:rsidRDefault="00E468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4490817" w:history="1">
            <w:r w:rsidRPr="003C64B0">
              <w:rPr>
                <w:rStyle w:val="Hyperlink"/>
                <w:rFonts w:ascii="Times New Roman" w:hAnsi="Times New Roman" w:cs="Times New Roman"/>
                <w:b/>
                <w:noProof/>
              </w:rPr>
              <w:t>4. Phishing (Employee Credentials) – ALE: $3M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8D7" w:rsidRDefault="00E468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4490818" w:history="1">
            <w:r w:rsidRPr="003C64B0">
              <w:rPr>
                <w:rStyle w:val="Hyperlink"/>
                <w:rFonts w:ascii="Times New Roman" w:hAnsi="Times New Roman" w:cs="Times New Roman"/>
                <w:b/>
                <w:noProof/>
              </w:rPr>
              <w:t>5. Ransomware (Internal Servers) – ALE: $1.05M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8D7" w:rsidRDefault="00E468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4490819" w:history="1">
            <w:r w:rsidRPr="003C64B0">
              <w:rPr>
                <w:rStyle w:val="Hyperlink"/>
                <w:rFonts w:ascii="Times New Roman" w:hAnsi="Times New Roman" w:cs="Times New Roman"/>
                <w:b/>
                <w:noProof/>
              </w:rPr>
              <w:t>Step 4: Cost-Benefit Analysis (CBA) for TechCorp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8D7" w:rsidRDefault="00E468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4490820" w:history="1">
            <w:r w:rsidRPr="003C64B0">
              <w:rPr>
                <w:rStyle w:val="Hyperlink"/>
                <w:rFonts w:ascii="Times New Roman" w:hAnsi="Times New Roman" w:cs="Times New Roman"/>
                <w:b/>
                <w:noProof/>
              </w:rPr>
              <w:t>1. 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8D7" w:rsidRDefault="00E468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4490821" w:history="1">
            <w:r w:rsidRPr="003C64B0">
              <w:rPr>
                <w:rStyle w:val="Hyperlink"/>
                <w:rFonts w:ascii="Times New Roman" w:hAnsi="Times New Roman" w:cs="Times New Roman"/>
                <w:b/>
                <w:noProof/>
              </w:rPr>
              <w:t>2. Risk Assessment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8D7" w:rsidRDefault="00E468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4490822" w:history="1">
            <w:r w:rsidRPr="003C64B0">
              <w:rPr>
                <w:rStyle w:val="Hyperlink"/>
                <w:rFonts w:ascii="Times New Roman" w:hAnsi="Times New Roman" w:cs="Times New Roman"/>
                <w:b/>
                <w:noProof/>
              </w:rPr>
              <w:t>A. Threat-Vulnerability-Asset (TVA) Worksheet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8D7" w:rsidRDefault="00E468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4490823" w:history="1">
            <w:r w:rsidRPr="003C64B0">
              <w:rPr>
                <w:rStyle w:val="Hyperlink"/>
                <w:rFonts w:ascii="Times New Roman" w:hAnsi="Times New Roman" w:cs="Times New Roman"/>
                <w:b/>
                <w:noProof/>
              </w:rPr>
              <w:t>B. Risk Matrix (Likelihood vs. Impact)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8D7" w:rsidRDefault="00E468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4490824" w:history="1">
            <w:r w:rsidRPr="003C64B0">
              <w:rPr>
                <w:rStyle w:val="Hyperlink"/>
                <w:rFonts w:ascii="Times New Roman" w:hAnsi="Times New Roman" w:cs="Times New Roman"/>
                <w:b/>
                <w:noProof/>
              </w:rPr>
              <w:t>3. Recommended Risk Control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8D7" w:rsidRDefault="00E468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4490825" w:history="1">
            <w:r w:rsidRPr="003C64B0">
              <w:rPr>
                <w:rStyle w:val="Hyperlink"/>
                <w:rFonts w:ascii="Times New Roman" w:hAnsi="Times New Roman" w:cs="Times New Roman"/>
                <w:b/>
                <w:noProof/>
              </w:rPr>
              <w:t>A. Approved Controls (CBA &gt;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8D7" w:rsidRDefault="00E468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4490826" w:history="1">
            <w:r w:rsidRPr="003C64B0">
              <w:rPr>
                <w:rStyle w:val="Hyperlink"/>
                <w:rFonts w:ascii="Times New Roman" w:hAnsi="Times New Roman" w:cs="Times New Roman"/>
                <w:b/>
                <w:noProof/>
              </w:rPr>
              <w:t>B. Rejected Controls (CBA ≤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8D7" w:rsidRDefault="00E468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4490827" w:history="1">
            <w:r w:rsidRPr="003C64B0">
              <w:rPr>
                <w:rStyle w:val="Hyperlink"/>
                <w:rFonts w:ascii="Times New Roman" w:hAnsi="Times New Roman" w:cs="Times New Roman"/>
                <w:b/>
                <w:noProof/>
              </w:rPr>
              <w:t>4. Cost-Benefit Analysis (CBA) Highlights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8D7" w:rsidRDefault="00E468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194490828" w:history="1">
            <w:r w:rsidRPr="003C64B0">
              <w:rPr>
                <w:rStyle w:val="Hyperlink"/>
                <w:rFonts w:ascii="Times New Roman" w:hAnsi="Times New Roman" w:cs="Times New Roman"/>
                <w:b/>
                <w:noProof/>
              </w:rPr>
              <w:t>MFA Implementation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656" w:rsidRDefault="002A6656">
          <w:r>
            <w:rPr>
              <w:b/>
              <w:bCs/>
              <w:noProof/>
            </w:rPr>
            <w:fldChar w:fldCharType="end"/>
          </w:r>
        </w:p>
      </w:sdtContent>
    </w:sdt>
    <w:p w:rsidR="002A6656" w:rsidRDefault="002A6656"/>
    <w:p w:rsidR="002A6656" w:rsidRDefault="002A6656"/>
    <w:p w:rsidR="002A6656" w:rsidRDefault="002A6656"/>
    <w:p w:rsidR="002A6656" w:rsidRDefault="002A6656"/>
    <w:p w:rsidR="002A6656" w:rsidRDefault="002A6656"/>
    <w:p w:rsidR="002A6656" w:rsidRDefault="002A6656"/>
    <w:p w:rsidR="00C34731" w:rsidRDefault="00C34731" w:rsidP="00C34731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Cyber Security Risk Assessment</w:t>
      </w:r>
    </w:p>
    <w:p w:rsidR="00C34731" w:rsidRPr="00C34731" w:rsidRDefault="00C34731" w:rsidP="00C34731">
      <w:pPr>
        <w:pStyle w:val="Heading1"/>
        <w:rPr>
          <w:rFonts w:ascii="Times New Roman" w:hAnsi="Times New Roman" w:cs="Times New Roman"/>
          <w:color w:val="auto"/>
        </w:rPr>
      </w:pPr>
      <w:bookmarkStart w:id="0" w:name="_Toc194490805"/>
      <w:r w:rsidRPr="00C34731">
        <w:rPr>
          <w:rStyle w:val="Strong"/>
          <w:rFonts w:ascii="Times New Roman" w:hAnsi="Times New Roman" w:cs="Times New Roman"/>
          <w:bCs w:val="0"/>
          <w:color w:val="auto"/>
        </w:rPr>
        <w:t xml:space="preserve">Step 1: Risk Identification for </w:t>
      </w:r>
      <w:proofErr w:type="spellStart"/>
      <w:r w:rsidRPr="00C34731">
        <w:rPr>
          <w:rStyle w:val="Strong"/>
          <w:rFonts w:ascii="Times New Roman" w:hAnsi="Times New Roman" w:cs="Times New Roman"/>
          <w:bCs w:val="0"/>
          <w:color w:val="auto"/>
        </w:rPr>
        <w:t>TechCorp</w:t>
      </w:r>
      <w:bookmarkEnd w:id="0"/>
      <w:proofErr w:type="spellEnd"/>
    </w:p>
    <w:p w:rsidR="00C34731" w:rsidRPr="00C34731" w:rsidRDefault="00C34731" w:rsidP="00C34731">
      <w:pPr>
        <w:pStyle w:val="Heading2"/>
        <w:rPr>
          <w:rFonts w:ascii="Times New Roman" w:hAnsi="Times New Roman" w:cs="Times New Roman"/>
          <w:color w:val="auto"/>
        </w:rPr>
      </w:pPr>
      <w:bookmarkStart w:id="1" w:name="_Toc194490806"/>
      <w:r w:rsidRPr="00C34731">
        <w:rPr>
          <w:rStyle w:val="Strong"/>
          <w:rFonts w:ascii="Times New Roman" w:hAnsi="Times New Roman" w:cs="Times New Roman"/>
          <w:bCs w:val="0"/>
          <w:color w:val="auto"/>
        </w:rPr>
        <w:t>1. Critical Assets at Risk (Categorized)</w:t>
      </w:r>
      <w:bookmarkEnd w:id="1"/>
    </w:p>
    <w:p w:rsidR="00C34731" w:rsidRDefault="00C34731" w:rsidP="00C34731">
      <w:pPr>
        <w:pStyle w:val="NormalWeb"/>
      </w:pPr>
      <w:proofErr w:type="spellStart"/>
      <w:r>
        <w:t>TechCorp</w:t>
      </w:r>
      <w:r>
        <w:t>’s</w:t>
      </w:r>
      <w:proofErr w:type="spellEnd"/>
      <w:r>
        <w:t xml:space="preserve"> cybersecurity risks </w:t>
      </w:r>
      <w:r>
        <w:t>revolve</w:t>
      </w:r>
      <w:r>
        <w:t>s</w:t>
      </w:r>
      <w:r>
        <w:t xml:space="preserve"> around the following key assets: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122"/>
        <w:gridCol w:w="6143"/>
      </w:tblGrid>
      <w:tr w:rsidR="00C34731" w:rsidTr="00C347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4731" w:rsidRDefault="00C3473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:rsidR="00C34731" w:rsidRDefault="00C3473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C34731" w:rsidRDefault="00C3473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C34731" w:rsidTr="00C347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731" w:rsidRDefault="00C34731">
            <w:r>
              <w:t>Client Financial Data</w:t>
            </w:r>
          </w:p>
        </w:tc>
        <w:tc>
          <w:tcPr>
            <w:tcW w:w="0" w:type="auto"/>
            <w:vAlign w:val="center"/>
            <w:hideMark/>
          </w:tcPr>
          <w:p w:rsidR="00C34731" w:rsidRDefault="00C34731">
            <w:r>
              <w:t>Data</w:t>
            </w:r>
          </w:p>
        </w:tc>
        <w:tc>
          <w:tcPr>
            <w:tcW w:w="0" w:type="auto"/>
            <w:vAlign w:val="center"/>
            <w:hideMark/>
          </w:tcPr>
          <w:p w:rsidR="00C34731" w:rsidRDefault="00C34731">
            <w:r>
              <w:t>Sensitive bank details, transaction records, and billing information.</w:t>
            </w:r>
          </w:p>
        </w:tc>
      </w:tr>
      <w:tr w:rsidR="00C34731" w:rsidTr="00C347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731" w:rsidRDefault="00C34731">
            <w:r>
              <w:t>Employee Credentials</w:t>
            </w:r>
          </w:p>
        </w:tc>
        <w:tc>
          <w:tcPr>
            <w:tcW w:w="0" w:type="auto"/>
            <w:vAlign w:val="center"/>
            <w:hideMark/>
          </w:tcPr>
          <w:p w:rsidR="00C34731" w:rsidRDefault="00C34731">
            <w:r>
              <w:t>People</w:t>
            </w:r>
          </w:p>
        </w:tc>
        <w:tc>
          <w:tcPr>
            <w:tcW w:w="0" w:type="auto"/>
            <w:vAlign w:val="center"/>
            <w:hideMark/>
          </w:tcPr>
          <w:p w:rsidR="00C34731" w:rsidRDefault="00C34731">
            <w:r>
              <w:t>Weak passwords, shared logins, or stolen credentials leading to unauthorized access.</w:t>
            </w:r>
          </w:p>
        </w:tc>
      </w:tr>
      <w:tr w:rsidR="00C34731" w:rsidTr="00C347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731" w:rsidRDefault="00C34731">
            <w:r>
              <w:t>Source Code Repositories</w:t>
            </w:r>
          </w:p>
        </w:tc>
        <w:tc>
          <w:tcPr>
            <w:tcW w:w="0" w:type="auto"/>
            <w:vAlign w:val="center"/>
            <w:hideMark/>
          </w:tcPr>
          <w:p w:rsidR="00C34731" w:rsidRDefault="00C34731">
            <w:r>
              <w:t>Software</w:t>
            </w:r>
          </w:p>
        </w:tc>
        <w:tc>
          <w:tcPr>
            <w:tcW w:w="0" w:type="auto"/>
            <w:vAlign w:val="center"/>
            <w:hideMark/>
          </w:tcPr>
          <w:p w:rsidR="00C34731" w:rsidRDefault="00C34731">
            <w:r>
              <w:t>Proprietary software code that could be stolen or corrupted.</w:t>
            </w:r>
          </w:p>
        </w:tc>
      </w:tr>
      <w:tr w:rsidR="00C34731" w:rsidTr="00C347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731" w:rsidRDefault="00C34731">
            <w:r>
              <w:t>Internal Servers</w:t>
            </w:r>
          </w:p>
        </w:tc>
        <w:tc>
          <w:tcPr>
            <w:tcW w:w="0" w:type="auto"/>
            <w:vAlign w:val="center"/>
            <w:hideMark/>
          </w:tcPr>
          <w:p w:rsidR="00C34731" w:rsidRDefault="00C34731">
            <w:r>
              <w:t>Hardware</w:t>
            </w:r>
          </w:p>
        </w:tc>
        <w:tc>
          <w:tcPr>
            <w:tcW w:w="0" w:type="auto"/>
            <w:vAlign w:val="center"/>
            <w:hideMark/>
          </w:tcPr>
          <w:p w:rsidR="00C34731" w:rsidRDefault="00C34731">
            <w:r>
              <w:t>On-premise servers storing PII; vulnerable to physical or remote attacks.</w:t>
            </w:r>
          </w:p>
        </w:tc>
      </w:tr>
      <w:tr w:rsidR="00C34731" w:rsidTr="00C347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731" w:rsidRDefault="00C34731">
            <w:r>
              <w:t>API &amp; Database Systems</w:t>
            </w:r>
          </w:p>
        </w:tc>
        <w:tc>
          <w:tcPr>
            <w:tcW w:w="0" w:type="auto"/>
            <w:vAlign w:val="center"/>
            <w:hideMark/>
          </w:tcPr>
          <w:p w:rsidR="00C34731" w:rsidRDefault="00C34731">
            <w:r>
              <w:t>Networking</w:t>
            </w:r>
          </w:p>
        </w:tc>
        <w:tc>
          <w:tcPr>
            <w:tcW w:w="0" w:type="auto"/>
            <w:vAlign w:val="center"/>
            <w:hideMark/>
          </w:tcPr>
          <w:p w:rsidR="00C34731" w:rsidRDefault="00C34731">
            <w:r>
              <w:t>Exposed APIs or misconfigured databases allowing unauthorized data extraction.</w:t>
            </w:r>
          </w:p>
        </w:tc>
      </w:tr>
    </w:tbl>
    <w:p w:rsidR="00C34731" w:rsidRDefault="00C34731" w:rsidP="00C34731"/>
    <w:p w:rsidR="00C34731" w:rsidRPr="00C34731" w:rsidRDefault="00C34731" w:rsidP="00C34731">
      <w:pPr>
        <w:pStyle w:val="Heading2"/>
        <w:rPr>
          <w:rFonts w:ascii="Times New Roman" w:hAnsi="Times New Roman" w:cs="Times New Roman"/>
          <w:color w:val="auto"/>
        </w:rPr>
      </w:pPr>
      <w:bookmarkStart w:id="2" w:name="_Toc194490807"/>
      <w:r w:rsidRPr="00C34731">
        <w:rPr>
          <w:rStyle w:val="Strong"/>
          <w:rFonts w:ascii="Times New Roman" w:hAnsi="Times New Roman" w:cs="Times New Roman"/>
          <w:bCs w:val="0"/>
          <w:color w:val="auto"/>
        </w:rPr>
        <w:t>2. Major Threats to These Assets</w:t>
      </w:r>
      <w:bookmarkEnd w:id="2"/>
    </w:p>
    <w:p w:rsidR="00C34731" w:rsidRDefault="00C34731" w:rsidP="00C34731">
      <w:pPr>
        <w:pStyle w:val="NormalWeb"/>
      </w:pPr>
      <w:r>
        <w:t xml:space="preserve">The most concerning threats for </w:t>
      </w:r>
      <w:proofErr w:type="spellStart"/>
      <w:r>
        <w:t>TechCorp</w:t>
      </w:r>
      <w:proofErr w:type="spellEnd"/>
      <w:r>
        <w:t xml:space="preserve"> include:</w:t>
      </w:r>
    </w:p>
    <w:p w:rsidR="00C34731" w:rsidRDefault="00C34731" w:rsidP="00C34731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Phishing Attacks</w:t>
      </w:r>
      <w:r>
        <w:t>:</w:t>
      </w:r>
      <w:r>
        <w:t xml:space="preserve"> Employees tricked into revealing credentials or downloading malware.</w:t>
      </w:r>
    </w:p>
    <w:p w:rsidR="00C34731" w:rsidRDefault="00C34731" w:rsidP="00C34731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Insider Threats</w:t>
      </w:r>
      <w:r>
        <w:t>:</w:t>
      </w:r>
      <w:r>
        <w:t xml:space="preserve"> Disgruntled employees or contractors leaking or sabotaging data.</w:t>
      </w:r>
    </w:p>
    <w:p w:rsidR="00C34731" w:rsidRDefault="00C34731" w:rsidP="00C34731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Ransomware Attacks</w:t>
      </w:r>
      <w:r>
        <w:t xml:space="preserve">: </w:t>
      </w:r>
      <w:r>
        <w:t>Encryption of critical systems (e.g., databases, servers) for extortion.</w:t>
      </w:r>
    </w:p>
    <w:p w:rsidR="00C34731" w:rsidRPr="00C34731" w:rsidRDefault="00C34731" w:rsidP="00C34731">
      <w:pPr>
        <w:pStyle w:val="Heading2"/>
        <w:rPr>
          <w:rFonts w:ascii="Times New Roman" w:hAnsi="Times New Roman" w:cs="Times New Roman"/>
          <w:color w:val="auto"/>
        </w:rPr>
      </w:pPr>
      <w:bookmarkStart w:id="3" w:name="_Toc194490808"/>
      <w:r w:rsidRPr="00C34731">
        <w:rPr>
          <w:rStyle w:val="Strong"/>
          <w:rFonts w:ascii="Times New Roman" w:hAnsi="Times New Roman" w:cs="Times New Roman"/>
          <w:bCs w:val="0"/>
          <w:color w:val="auto"/>
        </w:rPr>
        <w:t>3. Threat-Vulnerability-Asset (TVA) Worksheet</w:t>
      </w:r>
      <w:bookmarkEnd w:id="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2174"/>
        <w:gridCol w:w="5181"/>
      </w:tblGrid>
      <w:tr w:rsidR="00C34731" w:rsidTr="00C3473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731" w:rsidRDefault="00C3473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Asset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731" w:rsidRDefault="00C3473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Threat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731" w:rsidRDefault="00C3473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Vulnerability</w:t>
            </w:r>
          </w:p>
        </w:tc>
      </w:tr>
      <w:tr w:rsidR="00C34731" w:rsidTr="00C347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731" w:rsidRDefault="00C34731">
            <w:r>
              <w:rPr>
                <w:rStyle w:val="Strong"/>
              </w:rPr>
              <w:t>Client Financial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731" w:rsidRDefault="00C34731">
            <w:r>
              <w:t>Phishing / Insider Threat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731" w:rsidRDefault="00C34731">
            <w:r>
              <w:t>Lack of multi-factor authentication (MFA); excessive employee access privileges.</w:t>
            </w:r>
          </w:p>
        </w:tc>
      </w:tr>
      <w:tr w:rsidR="00C34731" w:rsidTr="00C347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731" w:rsidRDefault="00C34731">
            <w:r>
              <w:rPr>
                <w:rStyle w:val="Strong"/>
              </w:rPr>
              <w:t>Employee Credentials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731" w:rsidRDefault="00C34731">
            <w:r>
              <w:t>Phishing / Credential Stuffing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731" w:rsidRDefault="00C34731">
            <w:r>
              <w:t>Weak password policies; no mandatory security training.</w:t>
            </w:r>
          </w:p>
        </w:tc>
      </w:tr>
      <w:tr w:rsidR="00C34731" w:rsidTr="00C347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731" w:rsidRDefault="00C34731">
            <w:r>
              <w:rPr>
                <w:rStyle w:val="Strong"/>
              </w:rPr>
              <w:lastRenderedPageBreak/>
              <w:t>Source Code Repositories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731" w:rsidRDefault="00C34731">
            <w:r>
              <w:t>Insider Threat / Ransomware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731" w:rsidRDefault="00C34731">
            <w:r>
              <w:t xml:space="preserve">No code access audits; unsecured </w:t>
            </w:r>
            <w:proofErr w:type="spellStart"/>
            <w:r>
              <w:t>Git</w:t>
            </w:r>
            <w:proofErr w:type="spellEnd"/>
            <w:r>
              <w:t xml:space="preserve"> repositories.</w:t>
            </w:r>
          </w:p>
        </w:tc>
      </w:tr>
      <w:tr w:rsidR="00C34731" w:rsidTr="00C347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731" w:rsidRDefault="00C34731">
            <w:r>
              <w:rPr>
                <w:rStyle w:val="Strong"/>
              </w:rPr>
              <w:t>Internal Servers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731" w:rsidRDefault="00C34731">
            <w:r>
              <w:t>Ransomware / Physical Theft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731" w:rsidRDefault="00C34731">
            <w:r>
              <w:t>Outdated firmware; no biometric access controls.</w:t>
            </w:r>
          </w:p>
        </w:tc>
      </w:tr>
      <w:tr w:rsidR="00C34731" w:rsidTr="00C347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731" w:rsidRDefault="00C34731">
            <w:r>
              <w:rPr>
                <w:rStyle w:val="Strong"/>
              </w:rPr>
              <w:t>API &amp; Database Systems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731" w:rsidRDefault="00C34731">
            <w:r>
              <w:t>SQL Injection / API Abuse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4731" w:rsidRDefault="00C34731">
            <w:r>
              <w:t>Unpatched vulnerabilities; no rate-limiting on API calls.</w:t>
            </w:r>
          </w:p>
        </w:tc>
      </w:tr>
    </w:tbl>
    <w:p w:rsidR="00C34731" w:rsidRDefault="00C34731" w:rsidP="00C34731"/>
    <w:p w:rsidR="00C34731" w:rsidRPr="00C34731" w:rsidRDefault="00C34731" w:rsidP="00C34731">
      <w:pPr>
        <w:pStyle w:val="Heading1"/>
        <w:rPr>
          <w:rFonts w:ascii="Times New Roman" w:eastAsia="Times New Roman" w:hAnsi="Times New Roman" w:cs="Times New Roman"/>
          <w:color w:val="auto"/>
          <w:kern w:val="36"/>
        </w:rPr>
      </w:pPr>
      <w:bookmarkStart w:id="4" w:name="_Toc194490809"/>
      <w:r w:rsidRPr="00C34731">
        <w:rPr>
          <w:rStyle w:val="Strong"/>
          <w:rFonts w:ascii="Times New Roman" w:hAnsi="Times New Roman" w:cs="Times New Roman"/>
          <w:bCs w:val="0"/>
          <w:color w:val="auto"/>
        </w:rPr>
        <w:t xml:space="preserve">Step 2: Risk Assessment (Numerical Analysis) for </w:t>
      </w:r>
      <w:proofErr w:type="spellStart"/>
      <w:r w:rsidRPr="00C34731">
        <w:rPr>
          <w:rStyle w:val="Strong"/>
          <w:rFonts w:ascii="Times New Roman" w:hAnsi="Times New Roman" w:cs="Times New Roman"/>
          <w:bCs w:val="0"/>
          <w:color w:val="auto"/>
        </w:rPr>
        <w:t>TechCorp</w:t>
      </w:r>
      <w:bookmarkEnd w:id="4"/>
      <w:proofErr w:type="spellEnd"/>
    </w:p>
    <w:p w:rsidR="00C34731" w:rsidRDefault="00C34731" w:rsidP="00C34731">
      <w:pPr>
        <w:pStyle w:val="NormalWeb"/>
      </w:pPr>
      <w:r>
        <w:t xml:space="preserve">To quantify cybersecurity risks, we’ll use </w:t>
      </w:r>
      <w:r>
        <w:rPr>
          <w:rStyle w:val="Strong"/>
          <w:rFonts w:eastAsiaTheme="majorEastAsia"/>
        </w:rPr>
        <w:t>historical data</w:t>
      </w:r>
      <w:r>
        <w:t xml:space="preserve"> and </w:t>
      </w:r>
      <w:r>
        <w:rPr>
          <w:rStyle w:val="Strong"/>
          <w:rFonts w:eastAsiaTheme="majorEastAsia"/>
        </w:rPr>
        <w:t>financial impact estimates</w:t>
      </w:r>
      <w:r>
        <w:t xml:space="preserve"> for each threat. Below is a structured breakdown:</w:t>
      </w:r>
    </w:p>
    <w:p w:rsidR="00C34731" w:rsidRPr="008F51AE" w:rsidRDefault="00C34731" w:rsidP="00C34731">
      <w:pPr>
        <w:pStyle w:val="Heading2"/>
        <w:rPr>
          <w:rFonts w:ascii="Times New Roman" w:hAnsi="Times New Roman" w:cs="Times New Roman"/>
          <w:color w:val="auto"/>
        </w:rPr>
      </w:pPr>
      <w:bookmarkStart w:id="5" w:name="_Toc194490810"/>
      <w:r w:rsidRPr="008F51AE">
        <w:rPr>
          <w:rStyle w:val="Strong"/>
          <w:rFonts w:ascii="Times New Roman" w:hAnsi="Times New Roman" w:cs="Times New Roman"/>
          <w:bCs w:val="0"/>
          <w:color w:val="auto"/>
        </w:rPr>
        <w:t>1. Assumptions &amp; Baseline Metrics</w:t>
      </w:r>
      <w:bookmarkEnd w:id="5"/>
    </w:p>
    <w:p w:rsidR="00C34731" w:rsidRDefault="00C34731" w:rsidP="00C34731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  <w:rFonts w:eastAsiaTheme="majorEastAsia"/>
        </w:rPr>
        <w:t>TechCorp’s</w:t>
      </w:r>
      <w:proofErr w:type="spellEnd"/>
      <w:r>
        <w:rPr>
          <w:rStyle w:val="Strong"/>
          <w:rFonts w:eastAsiaTheme="majorEastAsia"/>
        </w:rPr>
        <w:t xml:space="preserve"> Annual Revenue:</w:t>
      </w:r>
      <w:r>
        <w:t xml:space="preserve"> $20M (for context on potential losses).</w:t>
      </w:r>
    </w:p>
    <w:p w:rsidR="00C34731" w:rsidRDefault="00C34731" w:rsidP="00C34731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Data from Past Incidents:</w:t>
      </w:r>
    </w:p>
    <w:p w:rsidR="00C34731" w:rsidRDefault="00C34731" w:rsidP="00C34731">
      <w:pPr>
        <w:pStyle w:val="NormalWeb"/>
        <w:numPr>
          <w:ilvl w:val="1"/>
          <w:numId w:val="3"/>
        </w:numPr>
      </w:pPr>
      <w:r>
        <w:rPr>
          <w:rStyle w:val="Strong"/>
          <w:rFonts w:eastAsiaTheme="majorEastAsia"/>
        </w:rPr>
        <w:t>Phishing Attacks:</w:t>
      </w:r>
      <w:r>
        <w:t xml:space="preserve"> 5 incidents/year (ARO = 5).</w:t>
      </w:r>
    </w:p>
    <w:p w:rsidR="00C34731" w:rsidRDefault="00C34731" w:rsidP="00C34731">
      <w:pPr>
        <w:pStyle w:val="NormalWeb"/>
        <w:numPr>
          <w:ilvl w:val="1"/>
          <w:numId w:val="3"/>
        </w:numPr>
      </w:pPr>
      <w:r>
        <w:rPr>
          <w:rStyle w:val="Strong"/>
          <w:rFonts w:eastAsiaTheme="majorEastAsia"/>
        </w:rPr>
        <w:t>Insider Threats:</w:t>
      </w:r>
      <w:r>
        <w:t xml:space="preserve"> 2 incidents/year (ARO = 2).</w:t>
      </w:r>
    </w:p>
    <w:p w:rsidR="00C34731" w:rsidRDefault="00C34731" w:rsidP="00C34731">
      <w:pPr>
        <w:pStyle w:val="NormalWeb"/>
        <w:numPr>
          <w:ilvl w:val="1"/>
          <w:numId w:val="3"/>
        </w:numPr>
      </w:pPr>
      <w:r>
        <w:rPr>
          <w:rStyle w:val="Strong"/>
          <w:rFonts w:eastAsiaTheme="majorEastAsia"/>
        </w:rPr>
        <w:t>Ransomware Attacks:</w:t>
      </w:r>
      <w:r>
        <w:t xml:space="preserve"> 1 incident every 2 years (ARO = 0.5).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1396"/>
        <w:gridCol w:w="1835"/>
        <w:gridCol w:w="1339"/>
        <w:gridCol w:w="2711"/>
      </w:tblGrid>
      <w:tr w:rsidR="00C34731" w:rsidTr="008F51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4731" w:rsidRPr="008F51AE" w:rsidRDefault="00C347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1A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:rsidR="00C34731" w:rsidRPr="008F51AE" w:rsidRDefault="00C347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1A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Threat</w:t>
            </w:r>
          </w:p>
        </w:tc>
        <w:tc>
          <w:tcPr>
            <w:tcW w:w="0" w:type="auto"/>
            <w:vAlign w:val="center"/>
            <w:hideMark/>
          </w:tcPr>
          <w:p w:rsidR="00C34731" w:rsidRPr="008F51AE" w:rsidRDefault="00C347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1A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EF (Exposure Factor)</w:t>
            </w:r>
          </w:p>
        </w:tc>
        <w:tc>
          <w:tcPr>
            <w:tcW w:w="0" w:type="auto"/>
            <w:vAlign w:val="center"/>
            <w:hideMark/>
          </w:tcPr>
          <w:p w:rsidR="00C34731" w:rsidRPr="008F51AE" w:rsidRDefault="00C347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1A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Asset Value (AV)</w:t>
            </w:r>
          </w:p>
        </w:tc>
        <w:tc>
          <w:tcPr>
            <w:tcW w:w="0" w:type="auto"/>
            <w:vAlign w:val="center"/>
            <w:hideMark/>
          </w:tcPr>
          <w:p w:rsidR="00C34731" w:rsidRPr="008F51AE" w:rsidRDefault="00C347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1AE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Annual Rate of Occurrence (ARO)</w:t>
            </w:r>
          </w:p>
        </w:tc>
      </w:tr>
      <w:tr w:rsidR="00C34731" w:rsidTr="008F51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731" w:rsidRPr="008F51AE" w:rsidRDefault="00C34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1AE">
              <w:rPr>
                <w:rFonts w:ascii="Times New Roman" w:hAnsi="Times New Roman" w:cs="Times New Roman"/>
                <w:sz w:val="24"/>
                <w:szCs w:val="24"/>
              </w:rPr>
              <w:t>Client Financial Data</w:t>
            </w:r>
          </w:p>
        </w:tc>
        <w:tc>
          <w:tcPr>
            <w:tcW w:w="0" w:type="auto"/>
            <w:vAlign w:val="center"/>
            <w:hideMark/>
          </w:tcPr>
          <w:p w:rsidR="00C34731" w:rsidRPr="008F51AE" w:rsidRDefault="00C34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1AE">
              <w:rPr>
                <w:rFonts w:ascii="Times New Roman" w:hAnsi="Times New Roman" w:cs="Times New Roman"/>
                <w:sz w:val="24"/>
                <w:szCs w:val="24"/>
              </w:rPr>
              <w:t>Phishing</w:t>
            </w:r>
          </w:p>
        </w:tc>
        <w:tc>
          <w:tcPr>
            <w:tcW w:w="0" w:type="auto"/>
            <w:vAlign w:val="center"/>
            <w:hideMark/>
          </w:tcPr>
          <w:p w:rsidR="00C34731" w:rsidRPr="008F51AE" w:rsidRDefault="00C34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1AE"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0" w:type="auto"/>
            <w:vAlign w:val="center"/>
            <w:hideMark/>
          </w:tcPr>
          <w:p w:rsidR="00C34731" w:rsidRPr="008F51AE" w:rsidRDefault="00C34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1AE">
              <w:rPr>
                <w:rFonts w:ascii="Times New Roman" w:hAnsi="Times New Roman" w:cs="Times New Roman"/>
                <w:sz w:val="24"/>
                <w:szCs w:val="24"/>
              </w:rPr>
              <w:t>$5M</w:t>
            </w:r>
          </w:p>
        </w:tc>
        <w:tc>
          <w:tcPr>
            <w:tcW w:w="0" w:type="auto"/>
            <w:vAlign w:val="center"/>
            <w:hideMark/>
          </w:tcPr>
          <w:p w:rsidR="00C34731" w:rsidRPr="008F51AE" w:rsidRDefault="00C34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1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34731" w:rsidTr="008F51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731" w:rsidRPr="008F51AE" w:rsidRDefault="00C34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1AE">
              <w:rPr>
                <w:rFonts w:ascii="Times New Roman" w:hAnsi="Times New Roman" w:cs="Times New Roman"/>
                <w:sz w:val="24"/>
                <w:szCs w:val="24"/>
              </w:rPr>
              <w:t>Employee Credentials</w:t>
            </w:r>
          </w:p>
        </w:tc>
        <w:tc>
          <w:tcPr>
            <w:tcW w:w="0" w:type="auto"/>
            <w:vAlign w:val="center"/>
            <w:hideMark/>
          </w:tcPr>
          <w:p w:rsidR="00C34731" w:rsidRPr="008F51AE" w:rsidRDefault="00C34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1AE">
              <w:rPr>
                <w:rFonts w:ascii="Times New Roman" w:hAnsi="Times New Roman" w:cs="Times New Roman"/>
                <w:sz w:val="24"/>
                <w:szCs w:val="24"/>
              </w:rPr>
              <w:t>Phishing</w:t>
            </w:r>
          </w:p>
        </w:tc>
        <w:tc>
          <w:tcPr>
            <w:tcW w:w="0" w:type="auto"/>
            <w:vAlign w:val="center"/>
            <w:hideMark/>
          </w:tcPr>
          <w:p w:rsidR="00C34731" w:rsidRPr="008F51AE" w:rsidRDefault="00C34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1AE"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:rsidR="00C34731" w:rsidRPr="008F51AE" w:rsidRDefault="00C34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1AE">
              <w:rPr>
                <w:rFonts w:ascii="Times New Roman" w:hAnsi="Times New Roman" w:cs="Times New Roman"/>
                <w:sz w:val="24"/>
                <w:szCs w:val="24"/>
              </w:rPr>
              <w:t>$2M</w:t>
            </w:r>
          </w:p>
        </w:tc>
        <w:tc>
          <w:tcPr>
            <w:tcW w:w="0" w:type="auto"/>
            <w:vAlign w:val="center"/>
            <w:hideMark/>
          </w:tcPr>
          <w:p w:rsidR="00C34731" w:rsidRPr="008F51AE" w:rsidRDefault="00C34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1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34731" w:rsidTr="008F51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731" w:rsidRPr="008F51AE" w:rsidRDefault="00C34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1AE">
              <w:rPr>
                <w:rFonts w:ascii="Times New Roman" w:hAnsi="Times New Roman" w:cs="Times New Roman"/>
                <w:sz w:val="24"/>
                <w:szCs w:val="24"/>
              </w:rPr>
              <w:t>Source Code Repositories</w:t>
            </w:r>
          </w:p>
        </w:tc>
        <w:tc>
          <w:tcPr>
            <w:tcW w:w="0" w:type="auto"/>
            <w:vAlign w:val="center"/>
            <w:hideMark/>
          </w:tcPr>
          <w:p w:rsidR="00C34731" w:rsidRPr="008F51AE" w:rsidRDefault="00C34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1AE">
              <w:rPr>
                <w:rFonts w:ascii="Times New Roman" w:hAnsi="Times New Roman" w:cs="Times New Roman"/>
                <w:sz w:val="24"/>
                <w:szCs w:val="24"/>
              </w:rPr>
              <w:t>Insider Threat</w:t>
            </w:r>
          </w:p>
        </w:tc>
        <w:tc>
          <w:tcPr>
            <w:tcW w:w="0" w:type="auto"/>
            <w:vAlign w:val="center"/>
            <w:hideMark/>
          </w:tcPr>
          <w:p w:rsidR="00C34731" w:rsidRPr="008F51AE" w:rsidRDefault="00C34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1AE"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:rsidR="00C34731" w:rsidRPr="008F51AE" w:rsidRDefault="00C34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1AE">
              <w:rPr>
                <w:rFonts w:ascii="Times New Roman" w:hAnsi="Times New Roman" w:cs="Times New Roman"/>
                <w:sz w:val="24"/>
                <w:szCs w:val="24"/>
              </w:rPr>
              <w:t>$10M</w:t>
            </w:r>
          </w:p>
        </w:tc>
        <w:tc>
          <w:tcPr>
            <w:tcW w:w="0" w:type="auto"/>
            <w:vAlign w:val="center"/>
            <w:hideMark/>
          </w:tcPr>
          <w:p w:rsidR="00C34731" w:rsidRPr="008F51AE" w:rsidRDefault="00C34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1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34731" w:rsidTr="008F51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731" w:rsidRPr="008F51AE" w:rsidRDefault="00C34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1AE">
              <w:rPr>
                <w:rFonts w:ascii="Times New Roman" w:hAnsi="Times New Roman" w:cs="Times New Roman"/>
                <w:sz w:val="24"/>
                <w:szCs w:val="24"/>
              </w:rPr>
              <w:t>Internal Servers</w:t>
            </w:r>
          </w:p>
        </w:tc>
        <w:tc>
          <w:tcPr>
            <w:tcW w:w="0" w:type="auto"/>
            <w:vAlign w:val="center"/>
            <w:hideMark/>
          </w:tcPr>
          <w:p w:rsidR="00C34731" w:rsidRPr="008F51AE" w:rsidRDefault="00C34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1AE">
              <w:rPr>
                <w:rFonts w:ascii="Times New Roman" w:hAnsi="Times New Roman" w:cs="Times New Roman"/>
                <w:sz w:val="24"/>
                <w:szCs w:val="24"/>
              </w:rPr>
              <w:t>Ransomware</w:t>
            </w:r>
          </w:p>
        </w:tc>
        <w:tc>
          <w:tcPr>
            <w:tcW w:w="0" w:type="auto"/>
            <w:vAlign w:val="center"/>
            <w:hideMark/>
          </w:tcPr>
          <w:p w:rsidR="00C34731" w:rsidRPr="008F51AE" w:rsidRDefault="00C34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1AE"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0" w:type="auto"/>
            <w:vAlign w:val="center"/>
            <w:hideMark/>
          </w:tcPr>
          <w:p w:rsidR="00C34731" w:rsidRPr="008F51AE" w:rsidRDefault="00C34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1AE">
              <w:rPr>
                <w:rFonts w:ascii="Times New Roman" w:hAnsi="Times New Roman" w:cs="Times New Roman"/>
                <w:sz w:val="24"/>
                <w:szCs w:val="24"/>
              </w:rPr>
              <w:t>$3M</w:t>
            </w:r>
          </w:p>
        </w:tc>
        <w:tc>
          <w:tcPr>
            <w:tcW w:w="0" w:type="auto"/>
            <w:vAlign w:val="center"/>
            <w:hideMark/>
          </w:tcPr>
          <w:p w:rsidR="00C34731" w:rsidRPr="008F51AE" w:rsidRDefault="00C34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1AE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C34731" w:rsidTr="008F51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731" w:rsidRPr="008F51AE" w:rsidRDefault="00C34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1AE">
              <w:rPr>
                <w:rFonts w:ascii="Times New Roman" w:hAnsi="Times New Roman" w:cs="Times New Roman"/>
                <w:sz w:val="24"/>
                <w:szCs w:val="24"/>
              </w:rPr>
              <w:t>API &amp; Database Systems</w:t>
            </w:r>
          </w:p>
        </w:tc>
        <w:tc>
          <w:tcPr>
            <w:tcW w:w="0" w:type="auto"/>
            <w:vAlign w:val="center"/>
            <w:hideMark/>
          </w:tcPr>
          <w:p w:rsidR="00C34731" w:rsidRPr="008F51AE" w:rsidRDefault="00C34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1AE">
              <w:rPr>
                <w:rFonts w:ascii="Times New Roman" w:hAnsi="Times New Roman" w:cs="Times New Roman"/>
                <w:sz w:val="24"/>
                <w:szCs w:val="24"/>
              </w:rPr>
              <w:t>SQL Injection</w:t>
            </w:r>
          </w:p>
        </w:tc>
        <w:tc>
          <w:tcPr>
            <w:tcW w:w="0" w:type="auto"/>
            <w:vAlign w:val="center"/>
            <w:hideMark/>
          </w:tcPr>
          <w:p w:rsidR="00C34731" w:rsidRPr="008F51AE" w:rsidRDefault="00C34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1AE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:rsidR="00C34731" w:rsidRPr="008F51AE" w:rsidRDefault="00C34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1AE">
              <w:rPr>
                <w:rFonts w:ascii="Times New Roman" w:hAnsi="Times New Roman" w:cs="Times New Roman"/>
                <w:sz w:val="24"/>
                <w:szCs w:val="24"/>
              </w:rPr>
              <w:t>$4M</w:t>
            </w:r>
          </w:p>
        </w:tc>
        <w:tc>
          <w:tcPr>
            <w:tcW w:w="0" w:type="auto"/>
            <w:vAlign w:val="center"/>
            <w:hideMark/>
          </w:tcPr>
          <w:p w:rsidR="00C34731" w:rsidRPr="008F51AE" w:rsidRDefault="00C34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1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C34731" w:rsidRDefault="00C34731" w:rsidP="00C34731"/>
    <w:p w:rsidR="00C34731" w:rsidRPr="008F51AE" w:rsidRDefault="00C34731" w:rsidP="00C34731">
      <w:pPr>
        <w:pStyle w:val="Heading2"/>
        <w:rPr>
          <w:rFonts w:ascii="Times New Roman" w:hAnsi="Times New Roman" w:cs="Times New Roman"/>
          <w:color w:val="auto"/>
        </w:rPr>
      </w:pPr>
      <w:bookmarkStart w:id="6" w:name="_Toc194490811"/>
      <w:r w:rsidRPr="008F51AE">
        <w:rPr>
          <w:rStyle w:val="Strong"/>
          <w:rFonts w:ascii="Times New Roman" w:hAnsi="Times New Roman" w:cs="Times New Roman"/>
          <w:bCs w:val="0"/>
          <w:color w:val="auto"/>
        </w:rPr>
        <w:lastRenderedPageBreak/>
        <w:t>2. Risk Calculations</w:t>
      </w:r>
      <w:bookmarkEnd w:id="6"/>
    </w:p>
    <w:p w:rsidR="00C34731" w:rsidRDefault="00C34731" w:rsidP="00C34731">
      <w:pPr>
        <w:pStyle w:val="NormalWeb"/>
      </w:pPr>
      <w:r>
        <w:rPr>
          <w:rStyle w:val="Strong"/>
          <w:rFonts w:eastAsiaTheme="majorEastAsia"/>
        </w:rPr>
        <w:t>Formulas:</w:t>
      </w:r>
    </w:p>
    <w:p w:rsidR="00C34731" w:rsidRDefault="00C34731" w:rsidP="00C34731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Single Loss Expectancy (SLE)</w:t>
      </w:r>
      <w:r>
        <w:t xml:space="preserve"> = AV × EF</w:t>
      </w:r>
    </w:p>
    <w:p w:rsidR="00C34731" w:rsidRDefault="00C34731" w:rsidP="00C34731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Annualized Loss Expectancy (ALE)</w:t>
      </w:r>
      <w:r>
        <w:t xml:space="preserve"> = SLE × ARO</w:t>
      </w:r>
    </w:p>
    <w:tbl>
      <w:tblPr>
        <w:tblW w:w="984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7"/>
        <w:gridCol w:w="2015"/>
        <w:gridCol w:w="1889"/>
        <w:gridCol w:w="2330"/>
      </w:tblGrid>
      <w:tr w:rsidR="00C34731" w:rsidTr="008F51AE">
        <w:trPr>
          <w:trHeight w:val="53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4731" w:rsidRDefault="00C3473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:rsidR="00C34731" w:rsidRDefault="00C3473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Threat</w:t>
            </w:r>
          </w:p>
        </w:tc>
        <w:tc>
          <w:tcPr>
            <w:tcW w:w="0" w:type="auto"/>
            <w:vAlign w:val="center"/>
            <w:hideMark/>
          </w:tcPr>
          <w:p w:rsidR="00C34731" w:rsidRDefault="00C3473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SLE (AV × EF)</w:t>
            </w:r>
          </w:p>
        </w:tc>
        <w:tc>
          <w:tcPr>
            <w:tcW w:w="0" w:type="auto"/>
            <w:vAlign w:val="center"/>
            <w:hideMark/>
          </w:tcPr>
          <w:p w:rsidR="00C34731" w:rsidRDefault="00C3473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ALE (SLE × ARO)</w:t>
            </w:r>
          </w:p>
        </w:tc>
      </w:tr>
      <w:tr w:rsidR="00C34731" w:rsidTr="008F51AE">
        <w:trPr>
          <w:trHeight w:val="519"/>
          <w:tblCellSpacing w:w="15" w:type="dxa"/>
        </w:trPr>
        <w:tc>
          <w:tcPr>
            <w:tcW w:w="0" w:type="auto"/>
            <w:vAlign w:val="center"/>
            <w:hideMark/>
          </w:tcPr>
          <w:p w:rsidR="00C34731" w:rsidRDefault="00C34731">
            <w:r>
              <w:t>Client Financial Data</w:t>
            </w:r>
          </w:p>
        </w:tc>
        <w:tc>
          <w:tcPr>
            <w:tcW w:w="0" w:type="auto"/>
            <w:vAlign w:val="center"/>
            <w:hideMark/>
          </w:tcPr>
          <w:p w:rsidR="00C34731" w:rsidRDefault="00C34731">
            <w:r>
              <w:t>Phishing</w:t>
            </w:r>
          </w:p>
        </w:tc>
        <w:tc>
          <w:tcPr>
            <w:tcW w:w="0" w:type="auto"/>
            <w:vAlign w:val="center"/>
            <w:hideMark/>
          </w:tcPr>
          <w:p w:rsidR="00C34731" w:rsidRDefault="00C34731">
            <w:r>
              <w:t>$2M</w:t>
            </w:r>
          </w:p>
        </w:tc>
        <w:tc>
          <w:tcPr>
            <w:tcW w:w="0" w:type="auto"/>
            <w:vAlign w:val="center"/>
            <w:hideMark/>
          </w:tcPr>
          <w:p w:rsidR="00C34731" w:rsidRDefault="00C34731">
            <w:r>
              <w:rPr>
                <w:rStyle w:val="Strong"/>
              </w:rPr>
              <w:t>$10M</w:t>
            </w:r>
          </w:p>
        </w:tc>
      </w:tr>
      <w:tr w:rsidR="00C34731" w:rsidTr="008F51AE">
        <w:trPr>
          <w:trHeight w:val="519"/>
          <w:tblCellSpacing w:w="15" w:type="dxa"/>
        </w:trPr>
        <w:tc>
          <w:tcPr>
            <w:tcW w:w="0" w:type="auto"/>
            <w:vAlign w:val="center"/>
            <w:hideMark/>
          </w:tcPr>
          <w:p w:rsidR="00C34731" w:rsidRDefault="00C34731">
            <w:r>
              <w:t>Employee Credentials</w:t>
            </w:r>
          </w:p>
        </w:tc>
        <w:tc>
          <w:tcPr>
            <w:tcW w:w="0" w:type="auto"/>
            <w:vAlign w:val="center"/>
            <w:hideMark/>
          </w:tcPr>
          <w:p w:rsidR="00C34731" w:rsidRDefault="00C34731">
            <w:r>
              <w:t>Phishing</w:t>
            </w:r>
          </w:p>
        </w:tc>
        <w:tc>
          <w:tcPr>
            <w:tcW w:w="0" w:type="auto"/>
            <w:vAlign w:val="center"/>
            <w:hideMark/>
          </w:tcPr>
          <w:p w:rsidR="00C34731" w:rsidRDefault="00C34731">
            <w:r>
              <w:t>$600K</w:t>
            </w:r>
          </w:p>
        </w:tc>
        <w:tc>
          <w:tcPr>
            <w:tcW w:w="0" w:type="auto"/>
            <w:vAlign w:val="center"/>
            <w:hideMark/>
          </w:tcPr>
          <w:p w:rsidR="00C34731" w:rsidRDefault="00C34731">
            <w:r>
              <w:rPr>
                <w:rStyle w:val="Strong"/>
              </w:rPr>
              <w:t>$3M</w:t>
            </w:r>
          </w:p>
        </w:tc>
      </w:tr>
      <w:tr w:rsidR="00C34731" w:rsidTr="008F51AE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:rsidR="00C34731" w:rsidRDefault="00C34731">
            <w:r>
              <w:t>Source Code Repositories</w:t>
            </w:r>
          </w:p>
        </w:tc>
        <w:tc>
          <w:tcPr>
            <w:tcW w:w="0" w:type="auto"/>
            <w:vAlign w:val="center"/>
            <w:hideMark/>
          </w:tcPr>
          <w:p w:rsidR="00C34731" w:rsidRDefault="00C34731">
            <w:r>
              <w:t>Insider Threat</w:t>
            </w:r>
          </w:p>
        </w:tc>
        <w:tc>
          <w:tcPr>
            <w:tcW w:w="0" w:type="auto"/>
            <w:vAlign w:val="center"/>
            <w:hideMark/>
          </w:tcPr>
          <w:p w:rsidR="00C34731" w:rsidRDefault="00C34731">
            <w:r>
              <w:t>$6M</w:t>
            </w:r>
          </w:p>
        </w:tc>
        <w:tc>
          <w:tcPr>
            <w:tcW w:w="0" w:type="auto"/>
            <w:vAlign w:val="center"/>
            <w:hideMark/>
          </w:tcPr>
          <w:p w:rsidR="00C34731" w:rsidRDefault="00C34731">
            <w:r>
              <w:rPr>
                <w:rStyle w:val="Strong"/>
              </w:rPr>
              <w:t>$12M</w:t>
            </w:r>
          </w:p>
        </w:tc>
      </w:tr>
      <w:tr w:rsidR="00C34731" w:rsidTr="008F51AE">
        <w:trPr>
          <w:trHeight w:val="519"/>
          <w:tblCellSpacing w:w="15" w:type="dxa"/>
        </w:trPr>
        <w:tc>
          <w:tcPr>
            <w:tcW w:w="0" w:type="auto"/>
            <w:vAlign w:val="center"/>
            <w:hideMark/>
          </w:tcPr>
          <w:p w:rsidR="00C34731" w:rsidRDefault="00C34731">
            <w:r>
              <w:t>Internal Servers</w:t>
            </w:r>
          </w:p>
        </w:tc>
        <w:tc>
          <w:tcPr>
            <w:tcW w:w="0" w:type="auto"/>
            <w:vAlign w:val="center"/>
            <w:hideMark/>
          </w:tcPr>
          <w:p w:rsidR="00C34731" w:rsidRDefault="00C34731">
            <w:r>
              <w:t>Ransomware</w:t>
            </w:r>
          </w:p>
        </w:tc>
        <w:tc>
          <w:tcPr>
            <w:tcW w:w="0" w:type="auto"/>
            <w:vAlign w:val="center"/>
            <w:hideMark/>
          </w:tcPr>
          <w:p w:rsidR="00C34731" w:rsidRDefault="00C34731">
            <w:r>
              <w:t>$2.1M</w:t>
            </w:r>
          </w:p>
        </w:tc>
        <w:tc>
          <w:tcPr>
            <w:tcW w:w="0" w:type="auto"/>
            <w:vAlign w:val="center"/>
            <w:hideMark/>
          </w:tcPr>
          <w:p w:rsidR="00C34731" w:rsidRDefault="00C34731">
            <w:r>
              <w:rPr>
                <w:rStyle w:val="Strong"/>
              </w:rPr>
              <w:t>$1.05M</w:t>
            </w:r>
          </w:p>
        </w:tc>
      </w:tr>
      <w:tr w:rsidR="00C34731" w:rsidTr="008F51AE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:rsidR="00C34731" w:rsidRDefault="00C34731">
            <w:r>
              <w:t>API &amp; Database Systems</w:t>
            </w:r>
          </w:p>
        </w:tc>
        <w:tc>
          <w:tcPr>
            <w:tcW w:w="0" w:type="auto"/>
            <w:vAlign w:val="center"/>
            <w:hideMark/>
          </w:tcPr>
          <w:p w:rsidR="00C34731" w:rsidRDefault="00C34731">
            <w:r>
              <w:t>SQL Injection</w:t>
            </w:r>
          </w:p>
        </w:tc>
        <w:tc>
          <w:tcPr>
            <w:tcW w:w="0" w:type="auto"/>
            <w:vAlign w:val="center"/>
            <w:hideMark/>
          </w:tcPr>
          <w:p w:rsidR="00C34731" w:rsidRDefault="00C34731">
            <w:r>
              <w:t>$2M</w:t>
            </w:r>
          </w:p>
        </w:tc>
        <w:tc>
          <w:tcPr>
            <w:tcW w:w="0" w:type="auto"/>
            <w:vAlign w:val="center"/>
            <w:hideMark/>
          </w:tcPr>
          <w:p w:rsidR="00C34731" w:rsidRDefault="00C34731">
            <w:r>
              <w:rPr>
                <w:rStyle w:val="Strong"/>
              </w:rPr>
              <w:t>$6M</w:t>
            </w:r>
          </w:p>
        </w:tc>
      </w:tr>
    </w:tbl>
    <w:p w:rsidR="00C34731" w:rsidRDefault="00C34731" w:rsidP="00C34731"/>
    <w:p w:rsidR="00C34731" w:rsidRPr="008F51AE" w:rsidRDefault="00C34731" w:rsidP="00C34731">
      <w:pPr>
        <w:pStyle w:val="Heading2"/>
        <w:rPr>
          <w:rFonts w:ascii="Times New Roman" w:hAnsi="Times New Roman" w:cs="Times New Roman"/>
          <w:color w:val="auto"/>
        </w:rPr>
      </w:pPr>
      <w:bookmarkStart w:id="7" w:name="_Toc194490812"/>
      <w:r w:rsidRPr="008F51AE">
        <w:rPr>
          <w:rStyle w:val="Strong"/>
          <w:rFonts w:ascii="Times New Roman" w:hAnsi="Times New Roman" w:cs="Times New Roman"/>
          <w:bCs w:val="0"/>
          <w:color w:val="auto"/>
        </w:rPr>
        <w:t xml:space="preserve">3. </w:t>
      </w:r>
      <w:r w:rsidR="008F51AE" w:rsidRPr="008F51AE">
        <w:rPr>
          <w:rStyle w:val="Strong"/>
          <w:rFonts w:ascii="Times New Roman" w:hAnsi="Times New Roman" w:cs="Times New Roman"/>
          <w:bCs w:val="0"/>
          <w:color w:val="auto"/>
        </w:rPr>
        <w:t>Ranked Threats by ALE (Highest to</w:t>
      </w:r>
      <w:r w:rsidRPr="008F51AE">
        <w:rPr>
          <w:rStyle w:val="Strong"/>
          <w:rFonts w:ascii="Times New Roman" w:hAnsi="Times New Roman" w:cs="Times New Roman"/>
          <w:bCs w:val="0"/>
          <w:color w:val="auto"/>
        </w:rPr>
        <w:t xml:space="preserve"> Lowest Impact)</w:t>
      </w:r>
      <w:bookmarkEnd w:id="7"/>
    </w:p>
    <w:p w:rsidR="00C34731" w:rsidRDefault="00C34731" w:rsidP="00C34731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Insider Threat (Source Code)</w:t>
      </w:r>
      <w:r>
        <w:t xml:space="preserve"> → </w:t>
      </w:r>
      <w:r>
        <w:rPr>
          <w:rStyle w:val="Strong"/>
          <w:rFonts w:eastAsiaTheme="majorEastAsia"/>
        </w:rPr>
        <w:t>$12M ALE</w:t>
      </w:r>
    </w:p>
    <w:p w:rsidR="00C34731" w:rsidRDefault="00C34731" w:rsidP="00C34731">
      <w:pPr>
        <w:pStyle w:val="NormalWeb"/>
        <w:numPr>
          <w:ilvl w:val="1"/>
          <w:numId w:val="5"/>
        </w:numPr>
      </w:pPr>
      <w:r>
        <w:rPr>
          <w:rStyle w:val="Emphasis"/>
        </w:rPr>
        <w:t>Why?</w:t>
      </w:r>
      <w:r>
        <w:t xml:space="preserve"> Theft of proprietary code can cripple </w:t>
      </w:r>
      <w:proofErr w:type="spellStart"/>
      <w:r>
        <w:t>TechCorp’s</w:t>
      </w:r>
      <w:proofErr w:type="spellEnd"/>
      <w:r>
        <w:t xml:space="preserve"> market position and competitive advantage.</w:t>
      </w:r>
    </w:p>
    <w:p w:rsidR="00C34731" w:rsidRDefault="00C34731" w:rsidP="00C34731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Phishing (Client Financial Data)</w:t>
      </w:r>
      <w:r>
        <w:t xml:space="preserve"> → </w:t>
      </w:r>
      <w:r>
        <w:rPr>
          <w:rStyle w:val="Strong"/>
          <w:rFonts w:eastAsiaTheme="majorEastAsia"/>
        </w:rPr>
        <w:t>$10M ALE</w:t>
      </w:r>
    </w:p>
    <w:p w:rsidR="00C34731" w:rsidRDefault="00C34731" w:rsidP="00C34731">
      <w:pPr>
        <w:pStyle w:val="NormalWeb"/>
        <w:numPr>
          <w:ilvl w:val="1"/>
          <w:numId w:val="5"/>
        </w:numPr>
      </w:pPr>
      <w:r>
        <w:rPr>
          <w:rStyle w:val="Emphasis"/>
        </w:rPr>
        <w:t>Why?</w:t>
      </w:r>
      <w:r>
        <w:t xml:space="preserve"> Regulatory fines and customer distrust can cause severe financial and reputational damage.</w:t>
      </w:r>
    </w:p>
    <w:p w:rsidR="00C34731" w:rsidRDefault="00C34731" w:rsidP="00C34731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SQL Injection (APIs/Databases)</w:t>
      </w:r>
      <w:r>
        <w:t xml:space="preserve"> → </w:t>
      </w:r>
      <w:r>
        <w:rPr>
          <w:rStyle w:val="Strong"/>
          <w:rFonts w:eastAsiaTheme="majorEastAsia"/>
        </w:rPr>
        <w:t>$6M ALE</w:t>
      </w:r>
    </w:p>
    <w:p w:rsidR="00C34731" w:rsidRDefault="00C34731" w:rsidP="00C34731">
      <w:pPr>
        <w:pStyle w:val="NormalWeb"/>
        <w:numPr>
          <w:ilvl w:val="1"/>
          <w:numId w:val="5"/>
        </w:numPr>
      </w:pPr>
      <w:r>
        <w:rPr>
          <w:rStyle w:val="Emphasis"/>
        </w:rPr>
        <w:t>Why?</w:t>
      </w:r>
      <w:r>
        <w:t xml:space="preserve"> Exposing customer data can lead to lawsuits and loss of business credibility.</w:t>
      </w:r>
    </w:p>
    <w:p w:rsidR="00C34731" w:rsidRDefault="00C34731" w:rsidP="00C34731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Phishing (Employee Credentials)</w:t>
      </w:r>
      <w:r>
        <w:t xml:space="preserve"> → </w:t>
      </w:r>
      <w:r>
        <w:rPr>
          <w:rStyle w:val="Strong"/>
          <w:rFonts w:eastAsiaTheme="majorEastAsia"/>
        </w:rPr>
        <w:t>$3M ALE</w:t>
      </w:r>
    </w:p>
    <w:p w:rsidR="00C34731" w:rsidRDefault="00C34731" w:rsidP="00C34731">
      <w:pPr>
        <w:pStyle w:val="NormalWeb"/>
        <w:numPr>
          <w:ilvl w:val="1"/>
          <w:numId w:val="5"/>
        </w:numPr>
      </w:pPr>
      <w:r>
        <w:rPr>
          <w:rStyle w:val="Emphasis"/>
        </w:rPr>
        <w:t>Why?</w:t>
      </w:r>
      <w:r>
        <w:t xml:space="preserve"> Stolen credentials enable further exploits like privilege escalation and data breaches.</w:t>
      </w:r>
    </w:p>
    <w:p w:rsidR="00C34731" w:rsidRDefault="00C34731" w:rsidP="00C34731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Ransomware (Servers)</w:t>
      </w:r>
      <w:r>
        <w:t xml:space="preserve"> → </w:t>
      </w:r>
      <w:r>
        <w:rPr>
          <w:rStyle w:val="Strong"/>
          <w:rFonts w:eastAsiaTheme="majorEastAsia"/>
        </w:rPr>
        <w:t>$1.05M ALE</w:t>
      </w:r>
    </w:p>
    <w:p w:rsidR="008F51AE" w:rsidRDefault="00C34731" w:rsidP="008F51AE">
      <w:pPr>
        <w:pStyle w:val="NormalWeb"/>
        <w:numPr>
          <w:ilvl w:val="1"/>
          <w:numId w:val="5"/>
        </w:numPr>
      </w:pPr>
      <w:r>
        <w:rPr>
          <w:rStyle w:val="Emphasis"/>
        </w:rPr>
        <w:t>Why?</w:t>
      </w:r>
      <w:r>
        <w:t xml:space="preserve"> While less frequent, a successful attack can cause severe operational downtime.</w:t>
      </w:r>
    </w:p>
    <w:p w:rsidR="008F51AE" w:rsidRPr="000317C1" w:rsidRDefault="008F51AE" w:rsidP="008F51AE">
      <w:pPr>
        <w:pStyle w:val="Heading1"/>
        <w:rPr>
          <w:color w:val="auto"/>
        </w:rPr>
      </w:pPr>
      <w:bookmarkStart w:id="8" w:name="_Toc194490813"/>
      <w:r w:rsidRPr="000317C1">
        <w:rPr>
          <w:rStyle w:val="Strong"/>
          <w:rFonts w:ascii="Times New Roman" w:hAnsi="Times New Roman" w:cs="Times New Roman"/>
          <w:bCs w:val="0"/>
          <w:color w:val="auto"/>
        </w:rPr>
        <w:t xml:space="preserve">Step 3: Risk Control Strategy Selection for </w:t>
      </w:r>
      <w:proofErr w:type="spellStart"/>
      <w:r w:rsidRPr="000317C1">
        <w:rPr>
          <w:rStyle w:val="Strong"/>
          <w:rFonts w:ascii="Times New Roman" w:hAnsi="Times New Roman" w:cs="Times New Roman"/>
          <w:bCs w:val="0"/>
          <w:color w:val="auto"/>
        </w:rPr>
        <w:t>TechCorp</w:t>
      </w:r>
      <w:bookmarkEnd w:id="8"/>
      <w:proofErr w:type="spellEnd"/>
    </w:p>
    <w:p w:rsidR="008F51AE" w:rsidRDefault="008F51AE" w:rsidP="008F51AE">
      <w:pPr>
        <w:pStyle w:val="NormalWeb"/>
      </w:pPr>
      <w:r>
        <w:t xml:space="preserve">Based on the </w:t>
      </w:r>
      <w:r w:rsidRPr="008F51AE">
        <w:rPr>
          <w:rStyle w:val="Strong"/>
          <w:rFonts w:eastAsiaTheme="majorEastAsia"/>
          <w:b w:val="0"/>
        </w:rPr>
        <w:t>ALE rankings</w:t>
      </w:r>
      <w:r>
        <w:t xml:space="preserve">, here’s how </w:t>
      </w:r>
      <w:proofErr w:type="spellStart"/>
      <w:r>
        <w:t>TechCorp</w:t>
      </w:r>
      <w:proofErr w:type="spellEnd"/>
      <w:r>
        <w:t xml:space="preserve"> s</w:t>
      </w:r>
      <w:r>
        <w:t xml:space="preserve">hould prioritize risk response by </w:t>
      </w:r>
      <w:r>
        <w:t>balancing cost, feasibility, and impact.</w:t>
      </w:r>
    </w:p>
    <w:p w:rsidR="008F51AE" w:rsidRPr="008F51AE" w:rsidRDefault="008F51AE" w:rsidP="008F51AE">
      <w:pPr>
        <w:pStyle w:val="Heading3"/>
        <w:rPr>
          <w:rFonts w:ascii="Times New Roman" w:hAnsi="Times New Roman" w:cs="Times New Roman"/>
          <w:color w:val="auto"/>
        </w:rPr>
      </w:pPr>
      <w:bookmarkStart w:id="9" w:name="_Toc194490814"/>
      <w:r w:rsidRPr="008F51AE">
        <w:rPr>
          <w:rStyle w:val="Strong"/>
          <w:rFonts w:ascii="Times New Roman" w:hAnsi="Times New Roman" w:cs="Times New Roman"/>
          <w:bCs w:val="0"/>
          <w:color w:val="auto"/>
        </w:rPr>
        <w:lastRenderedPageBreak/>
        <w:t>1. Insider Thre</w:t>
      </w:r>
      <w:r>
        <w:rPr>
          <w:rStyle w:val="Strong"/>
          <w:rFonts w:ascii="Times New Roman" w:hAnsi="Times New Roman" w:cs="Times New Roman"/>
          <w:bCs w:val="0"/>
          <w:color w:val="auto"/>
        </w:rPr>
        <w:t xml:space="preserve">at (Source Code Repositories) </w:t>
      </w:r>
      <w:r w:rsidRPr="008F51AE">
        <w:rPr>
          <w:rStyle w:val="Strong"/>
          <w:rFonts w:ascii="Times New Roman" w:hAnsi="Times New Roman" w:cs="Times New Roman"/>
          <w:bCs w:val="0"/>
          <w:color w:val="auto"/>
        </w:rPr>
        <w:t>ALE: $12M</w:t>
      </w:r>
      <w:bookmarkEnd w:id="9"/>
    </w:p>
    <w:p w:rsidR="008F51AE" w:rsidRDefault="008F51AE" w:rsidP="008F51AE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Strategy:</w:t>
      </w:r>
      <w:r>
        <w:t xml:space="preserve"> </w:t>
      </w:r>
      <w:r>
        <w:rPr>
          <w:rStyle w:val="Strong"/>
          <w:rFonts w:eastAsiaTheme="majorEastAsia"/>
        </w:rPr>
        <w:t>Defend + Mitigate</w:t>
      </w:r>
    </w:p>
    <w:p w:rsidR="008F51AE" w:rsidRDefault="008F51AE" w:rsidP="008F51AE">
      <w:pPr>
        <w:pStyle w:val="NormalWeb"/>
        <w:numPr>
          <w:ilvl w:val="1"/>
          <w:numId w:val="10"/>
        </w:numPr>
      </w:pPr>
      <w:r>
        <w:rPr>
          <w:rStyle w:val="Strong"/>
          <w:rFonts w:eastAsiaTheme="majorEastAsia"/>
        </w:rPr>
        <w:t>Defend:</w:t>
      </w:r>
    </w:p>
    <w:p w:rsidR="008F51AE" w:rsidRDefault="008F51AE" w:rsidP="008F51AE">
      <w:pPr>
        <w:pStyle w:val="NormalWeb"/>
        <w:numPr>
          <w:ilvl w:val="2"/>
          <w:numId w:val="10"/>
        </w:numPr>
      </w:pPr>
      <w:r>
        <w:t xml:space="preserve">Implement </w:t>
      </w:r>
      <w:r w:rsidRPr="008F51AE">
        <w:rPr>
          <w:rStyle w:val="Strong"/>
          <w:rFonts w:eastAsiaTheme="majorEastAsia"/>
          <w:b w:val="0"/>
        </w:rPr>
        <w:t>role-based access control (RBAC</w:t>
      </w:r>
      <w:r>
        <w:rPr>
          <w:rStyle w:val="Strong"/>
          <w:rFonts w:eastAsiaTheme="majorEastAsia"/>
        </w:rPr>
        <w:t>)</w:t>
      </w:r>
      <w:r>
        <w:t xml:space="preserve"> and </w:t>
      </w:r>
      <w:r w:rsidRPr="008F51AE">
        <w:rPr>
          <w:rStyle w:val="Strong"/>
          <w:rFonts w:eastAsiaTheme="majorEastAsia"/>
          <w:b w:val="0"/>
        </w:rPr>
        <w:t>code signing</w:t>
      </w:r>
      <w:r w:rsidRPr="008F51AE">
        <w:rPr>
          <w:b/>
        </w:rPr>
        <w:t>.</w:t>
      </w:r>
    </w:p>
    <w:p w:rsidR="008F51AE" w:rsidRDefault="008F51AE" w:rsidP="008F51AE">
      <w:pPr>
        <w:pStyle w:val="NormalWeb"/>
        <w:numPr>
          <w:ilvl w:val="2"/>
          <w:numId w:val="10"/>
        </w:numPr>
      </w:pPr>
      <w:r>
        <w:t xml:space="preserve">Use </w:t>
      </w:r>
      <w:proofErr w:type="spellStart"/>
      <w:r w:rsidRPr="008F51AE">
        <w:rPr>
          <w:rStyle w:val="Strong"/>
          <w:rFonts w:eastAsiaTheme="majorEastAsia"/>
          <w:b w:val="0"/>
        </w:rPr>
        <w:t>GitGuardian</w:t>
      </w:r>
      <w:proofErr w:type="spellEnd"/>
      <w:r>
        <w:t xml:space="preserve"> or </w:t>
      </w:r>
      <w:r w:rsidRPr="008F51AE">
        <w:rPr>
          <w:rStyle w:val="Strong"/>
          <w:rFonts w:eastAsiaTheme="majorEastAsia"/>
          <w:b w:val="0"/>
        </w:rPr>
        <w:t>GitHub Advanced Security</w:t>
      </w:r>
      <w:r>
        <w:t xml:space="preserve"> to detect leaks.</w:t>
      </w:r>
    </w:p>
    <w:p w:rsidR="008F51AE" w:rsidRDefault="008F51AE" w:rsidP="008F51AE">
      <w:pPr>
        <w:pStyle w:val="NormalWeb"/>
        <w:numPr>
          <w:ilvl w:val="1"/>
          <w:numId w:val="10"/>
        </w:numPr>
      </w:pPr>
      <w:r>
        <w:rPr>
          <w:rStyle w:val="Strong"/>
          <w:rFonts w:eastAsiaTheme="majorEastAsia"/>
        </w:rPr>
        <w:t>Mitigate:</w:t>
      </w:r>
    </w:p>
    <w:p w:rsidR="008F51AE" w:rsidRDefault="008F51AE" w:rsidP="008F51AE">
      <w:pPr>
        <w:pStyle w:val="NormalWeb"/>
        <w:numPr>
          <w:ilvl w:val="2"/>
          <w:numId w:val="10"/>
        </w:numPr>
      </w:pPr>
      <w:r>
        <w:t xml:space="preserve">Create a </w:t>
      </w:r>
      <w:r w:rsidRPr="008F51AE">
        <w:rPr>
          <w:rStyle w:val="Strong"/>
          <w:rFonts w:eastAsiaTheme="majorEastAsia"/>
          <w:b w:val="0"/>
        </w:rPr>
        <w:t>DLP (Data Loss Prevention) policy</w:t>
      </w:r>
      <w:r>
        <w:t xml:space="preserve"> with automated alerts for code exfiltration.</w:t>
      </w:r>
    </w:p>
    <w:p w:rsidR="008F51AE" w:rsidRPr="008F51AE" w:rsidRDefault="008F51AE" w:rsidP="008F51AE">
      <w:pPr>
        <w:pStyle w:val="Heading3"/>
        <w:rPr>
          <w:rFonts w:ascii="Times New Roman" w:hAnsi="Times New Roman" w:cs="Times New Roman"/>
          <w:color w:val="auto"/>
        </w:rPr>
      </w:pPr>
      <w:bookmarkStart w:id="10" w:name="_Toc194490815"/>
      <w:r w:rsidRPr="008F51AE">
        <w:rPr>
          <w:rStyle w:val="Strong"/>
          <w:rFonts w:ascii="Times New Roman" w:hAnsi="Times New Roman" w:cs="Times New Roman"/>
          <w:bCs w:val="0"/>
          <w:color w:val="auto"/>
        </w:rPr>
        <w:t>2. Phishing (Client Financial Data) – ALE: $10M</w:t>
      </w:r>
      <w:bookmarkEnd w:id="10"/>
    </w:p>
    <w:p w:rsidR="008F51AE" w:rsidRDefault="008F51AE" w:rsidP="008F51AE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Strategy:</w:t>
      </w:r>
      <w:r>
        <w:t xml:space="preserve"> </w:t>
      </w:r>
      <w:r>
        <w:rPr>
          <w:rStyle w:val="Strong"/>
          <w:rFonts w:eastAsiaTheme="majorEastAsia"/>
        </w:rPr>
        <w:t>Defend + Transfer</w:t>
      </w:r>
    </w:p>
    <w:p w:rsidR="008F51AE" w:rsidRDefault="008F51AE" w:rsidP="008F51AE">
      <w:pPr>
        <w:pStyle w:val="NormalWeb"/>
        <w:numPr>
          <w:ilvl w:val="1"/>
          <w:numId w:val="11"/>
        </w:numPr>
      </w:pPr>
      <w:r>
        <w:rPr>
          <w:rStyle w:val="Strong"/>
          <w:rFonts w:eastAsiaTheme="majorEastAsia"/>
        </w:rPr>
        <w:t>Defend:</w:t>
      </w:r>
    </w:p>
    <w:p w:rsidR="008F51AE" w:rsidRDefault="008F51AE" w:rsidP="008F51AE">
      <w:pPr>
        <w:pStyle w:val="NormalWeb"/>
        <w:numPr>
          <w:ilvl w:val="2"/>
          <w:numId w:val="11"/>
        </w:numPr>
      </w:pPr>
      <w:r>
        <w:t xml:space="preserve">Enforce </w:t>
      </w:r>
      <w:r>
        <w:rPr>
          <w:rStyle w:val="Strong"/>
          <w:rFonts w:eastAsiaTheme="majorEastAsia"/>
          <w:b w:val="0"/>
        </w:rPr>
        <w:t xml:space="preserve">MFA and </w:t>
      </w:r>
      <w:r w:rsidRPr="008F51AE">
        <w:rPr>
          <w:rStyle w:val="Strong"/>
          <w:rFonts w:eastAsiaTheme="majorEastAsia"/>
          <w:b w:val="0"/>
        </w:rPr>
        <w:t>Zero Trust Architecture</w:t>
      </w:r>
      <w:r>
        <w:t xml:space="preserve"> for financial systems.</w:t>
      </w:r>
    </w:p>
    <w:p w:rsidR="008F51AE" w:rsidRDefault="008F51AE" w:rsidP="008F51AE">
      <w:pPr>
        <w:pStyle w:val="NormalWeb"/>
        <w:numPr>
          <w:ilvl w:val="2"/>
          <w:numId w:val="11"/>
        </w:numPr>
      </w:pPr>
      <w:r>
        <w:t xml:space="preserve">Deploy </w:t>
      </w:r>
      <w:r w:rsidRPr="008F51AE">
        <w:rPr>
          <w:rStyle w:val="Strong"/>
          <w:rFonts w:eastAsiaTheme="majorEastAsia"/>
          <w:b w:val="0"/>
        </w:rPr>
        <w:t>AI-powered email filters</w:t>
      </w:r>
      <w:r>
        <w:t>.</w:t>
      </w:r>
    </w:p>
    <w:p w:rsidR="008F51AE" w:rsidRDefault="008F51AE" w:rsidP="008F51AE">
      <w:pPr>
        <w:pStyle w:val="NormalWeb"/>
        <w:numPr>
          <w:ilvl w:val="1"/>
          <w:numId w:val="11"/>
        </w:numPr>
      </w:pPr>
      <w:r>
        <w:rPr>
          <w:rStyle w:val="Strong"/>
          <w:rFonts w:eastAsiaTheme="majorEastAsia"/>
        </w:rPr>
        <w:t>Transfer:</w:t>
      </w:r>
    </w:p>
    <w:p w:rsidR="008F51AE" w:rsidRDefault="008F51AE" w:rsidP="008F51AE">
      <w:pPr>
        <w:pStyle w:val="NormalWeb"/>
        <w:numPr>
          <w:ilvl w:val="2"/>
          <w:numId w:val="11"/>
        </w:numPr>
      </w:pPr>
      <w:r>
        <w:t xml:space="preserve">Purchase </w:t>
      </w:r>
      <w:r w:rsidRPr="008F51AE">
        <w:rPr>
          <w:rStyle w:val="Strong"/>
          <w:rFonts w:eastAsiaTheme="majorEastAsia"/>
          <w:b w:val="0"/>
        </w:rPr>
        <w:t>cybersecurity insurance</w:t>
      </w:r>
      <w:r>
        <w:t xml:space="preserve"> to cover breach-related fines.</w:t>
      </w:r>
    </w:p>
    <w:p w:rsidR="008F51AE" w:rsidRPr="008F51AE" w:rsidRDefault="008F51AE" w:rsidP="008F51AE">
      <w:pPr>
        <w:pStyle w:val="Heading3"/>
        <w:rPr>
          <w:rFonts w:ascii="Times New Roman" w:hAnsi="Times New Roman" w:cs="Times New Roman"/>
        </w:rPr>
      </w:pPr>
      <w:bookmarkStart w:id="11" w:name="_Toc194490816"/>
      <w:r w:rsidRPr="008F51AE">
        <w:rPr>
          <w:rStyle w:val="Strong"/>
          <w:rFonts w:ascii="Times New Roman" w:hAnsi="Times New Roman" w:cs="Times New Roman"/>
          <w:bCs w:val="0"/>
          <w:color w:val="auto"/>
        </w:rPr>
        <w:t>3. SQL Injection (API/Database) – ALE: $6M</w:t>
      </w:r>
      <w:bookmarkEnd w:id="11"/>
    </w:p>
    <w:p w:rsidR="008F51AE" w:rsidRDefault="008F51AE" w:rsidP="008F51AE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Strategy:</w:t>
      </w:r>
      <w:r>
        <w:t xml:space="preserve"> </w:t>
      </w:r>
      <w:r>
        <w:rPr>
          <w:rStyle w:val="Strong"/>
          <w:rFonts w:eastAsiaTheme="majorEastAsia"/>
        </w:rPr>
        <w:t>Defend + Terminate</w:t>
      </w:r>
    </w:p>
    <w:p w:rsidR="008F51AE" w:rsidRDefault="008F51AE" w:rsidP="008F51AE">
      <w:pPr>
        <w:pStyle w:val="NormalWeb"/>
        <w:numPr>
          <w:ilvl w:val="1"/>
          <w:numId w:val="12"/>
        </w:numPr>
      </w:pPr>
      <w:r>
        <w:rPr>
          <w:rStyle w:val="Strong"/>
          <w:rFonts w:eastAsiaTheme="majorEastAsia"/>
        </w:rPr>
        <w:t>Defend:</w:t>
      </w:r>
    </w:p>
    <w:p w:rsidR="008F51AE" w:rsidRPr="008F51AE" w:rsidRDefault="008F51AE" w:rsidP="008F51AE">
      <w:pPr>
        <w:pStyle w:val="ListParagraph"/>
        <w:numPr>
          <w:ilvl w:val="2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1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OWASP guidelines recommend using </w:t>
      </w:r>
      <w:r w:rsidRPr="008F51AE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parameterized queries</w:t>
      </w:r>
      <w:r w:rsidRPr="008F51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prevent SQL injection by ensuring user inputs are treated as data, not code. Additionally, </w:t>
      </w:r>
      <w:r w:rsidRPr="008F51AE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Web Application Firewalls (WAFs)</w:t>
      </w:r>
      <w:r w:rsidRPr="008F51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like </w:t>
      </w:r>
      <w:proofErr w:type="spellStart"/>
      <w:r w:rsidRPr="008F51AE">
        <w:rPr>
          <w:rFonts w:ascii="Times New Roman" w:eastAsia="Times New Roman" w:hAnsi="Times New Roman" w:cs="Times New Roman"/>
          <w:kern w:val="0"/>
          <w:sz w:val="24"/>
          <w:szCs w:val="24"/>
        </w:rPr>
        <w:t>Cloudflare</w:t>
      </w:r>
      <w:proofErr w:type="spellEnd"/>
      <w:r w:rsidRPr="008F51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filter and block malicious requests before they reach the database.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Use these</w:t>
      </w:r>
    </w:p>
    <w:p w:rsidR="008F51AE" w:rsidRDefault="008F51AE" w:rsidP="008F51AE">
      <w:pPr>
        <w:pStyle w:val="NormalWeb"/>
        <w:numPr>
          <w:ilvl w:val="1"/>
          <w:numId w:val="12"/>
        </w:numPr>
      </w:pPr>
      <w:r>
        <w:rPr>
          <w:rStyle w:val="Strong"/>
          <w:rFonts w:eastAsiaTheme="majorEastAsia"/>
        </w:rPr>
        <w:t>Terminate:</w:t>
      </w:r>
    </w:p>
    <w:p w:rsidR="008F51AE" w:rsidRPr="008F51AE" w:rsidRDefault="008F51AE" w:rsidP="008F51AE">
      <w:pPr>
        <w:pStyle w:val="ListParagraph"/>
        <w:numPr>
          <w:ilvl w:val="2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1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Deprecating unpatched legacy APIs removes security liabilities, reducing attack surfaces. Migrating to </w:t>
      </w:r>
      <w:proofErr w:type="spellStart"/>
      <w:r w:rsidRPr="008F51AE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GraphQL</w:t>
      </w:r>
      <w:proofErr w:type="spellEnd"/>
      <w:r w:rsidRPr="008F51AE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 xml:space="preserve"> with rate-limiting</w:t>
      </w:r>
      <w:r w:rsidRPr="008F51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enhances security by enforcing strict query constraints and preventing excessive data exposure.</w:t>
      </w:r>
    </w:p>
    <w:p w:rsidR="008F51AE" w:rsidRPr="008F51AE" w:rsidRDefault="008F51AE" w:rsidP="008F51AE">
      <w:pPr>
        <w:pStyle w:val="Heading3"/>
        <w:rPr>
          <w:rFonts w:ascii="Times New Roman" w:hAnsi="Times New Roman" w:cs="Times New Roman"/>
          <w:color w:val="auto"/>
        </w:rPr>
      </w:pPr>
      <w:bookmarkStart w:id="12" w:name="_Toc194490817"/>
      <w:r w:rsidRPr="008F51AE">
        <w:rPr>
          <w:rStyle w:val="Strong"/>
          <w:rFonts w:ascii="Times New Roman" w:hAnsi="Times New Roman" w:cs="Times New Roman"/>
          <w:bCs w:val="0"/>
          <w:color w:val="auto"/>
        </w:rPr>
        <w:t>4. Phishing (Employee Credentials) – ALE: $3M</w:t>
      </w:r>
      <w:bookmarkEnd w:id="12"/>
    </w:p>
    <w:p w:rsidR="008F51AE" w:rsidRDefault="008F51AE" w:rsidP="008F51AE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Strategy:</w:t>
      </w:r>
      <w:r>
        <w:t xml:space="preserve"> </w:t>
      </w:r>
      <w:r>
        <w:rPr>
          <w:rStyle w:val="Strong"/>
          <w:rFonts w:eastAsiaTheme="majorEastAsia"/>
        </w:rPr>
        <w:t>Defend + Mitigate</w:t>
      </w:r>
    </w:p>
    <w:p w:rsidR="008F51AE" w:rsidRDefault="008F51AE" w:rsidP="008F51AE">
      <w:pPr>
        <w:pStyle w:val="NormalWeb"/>
        <w:numPr>
          <w:ilvl w:val="1"/>
          <w:numId w:val="13"/>
        </w:numPr>
      </w:pPr>
      <w:r>
        <w:rPr>
          <w:rStyle w:val="Strong"/>
          <w:rFonts w:eastAsiaTheme="majorEastAsia"/>
        </w:rPr>
        <w:t>Defend:</w:t>
      </w:r>
    </w:p>
    <w:p w:rsidR="008F51AE" w:rsidRPr="0081003D" w:rsidRDefault="008F51AE" w:rsidP="0081003D">
      <w:pPr>
        <w:pStyle w:val="ListParagraph"/>
        <w:numPr>
          <w:ilvl w:val="2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51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Mandatory </w:t>
      </w:r>
      <w:r w:rsidRPr="0081003D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phishing simulations</w:t>
      </w:r>
      <w:r w:rsidRPr="008F51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train employees to recognize and avoid phishing attacks, reducing credential theft risks. </w:t>
      </w:r>
      <w:r w:rsidRPr="0081003D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FIDO2 security keys</w:t>
      </w:r>
      <w:r w:rsidRPr="008F51A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provide phishing-resistant authentication by requiring hardware-based verification.</w:t>
      </w:r>
    </w:p>
    <w:p w:rsidR="008F51AE" w:rsidRDefault="008F51AE" w:rsidP="008F51AE">
      <w:pPr>
        <w:pStyle w:val="NormalWeb"/>
        <w:numPr>
          <w:ilvl w:val="1"/>
          <w:numId w:val="13"/>
        </w:numPr>
      </w:pPr>
      <w:r>
        <w:rPr>
          <w:rStyle w:val="Strong"/>
          <w:rFonts w:eastAsiaTheme="majorEastAsia"/>
        </w:rPr>
        <w:t>Mitigate:</w:t>
      </w:r>
    </w:p>
    <w:p w:rsidR="0081003D" w:rsidRPr="0081003D" w:rsidRDefault="0081003D" w:rsidP="0081003D">
      <w:pPr>
        <w:pStyle w:val="ListParagraph"/>
        <w:numPr>
          <w:ilvl w:val="2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1003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"24/7 </w:t>
      </w:r>
      <w:r w:rsidRPr="0081003D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Security Operations Center (SOC) monitoring</w:t>
      </w:r>
      <w:r w:rsidRPr="0081003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continuously analyzes login patterns for unusual activity. Solutions like </w:t>
      </w:r>
      <w:proofErr w:type="spellStart"/>
      <w:r w:rsidRPr="0081003D">
        <w:rPr>
          <w:rFonts w:ascii="Times New Roman" w:eastAsia="Times New Roman" w:hAnsi="Times New Roman" w:cs="Times New Roman"/>
          <w:bCs/>
          <w:kern w:val="0"/>
          <w:sz w:val="24"/>
          <w:szCs w:val="24"/>
        </w:rPr>
        <w:t>CrowdStrike</w:t>
      </w:r>
      <w:proofErr w:type="spellEnd"/>
      <w:r w:rsidRPr="0081003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detect and respond to credential misuse in real time."</w:t>
      </w:r>
    </w:p>
    <w:p w:rsidR="008F51AE" w:rsidRPr="0081003D" w:rsidRDefault="008F51AE" w:rsidP="008F51AE">
      <w:pPr>
        <w:pStyle w:val="Heading3"/>
        <w:rPr>
          <w:rFonts w:ascii="Times New Roman" w:hAnsi="Times New Roman" w:cs="Times New Roman"/>
        </w:rPr>
      </w:pPr>
      <w:bookmarkStart w:id="13" w:name="_Toc194490818"/>
      <w:r w:rsidRPr="0081003D">
        <w:rPr>
          <w:rStyle w:val="Strong"/>
          <w:rFonts w:ascii="Times New Roman" w:hAnsi="Times New Roman" w:cs="Times New Roman"/>
          <w:bCs w:val="0"/>
          <w:color w:val="auto"/>
        </w:rPr>
        <w:lastRenderedPageBreak/>
        <w:t>5. Ransomware (Internal Servers) – ALE: $1.05M</w:t>
      </w:r>
      <w:bookmarkEnd w:id="13"/>
    </w:p>
    <w:p w:rsidR="008F51AE" w:rsidRDefault="008F51AE" w:rsidP="008F51AE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Strategy:</w:t>
      </w:r>
      <w:r>
        <w:t xml:space="preserve"> </w:t>
      </w:r>
      <w:r>
        <w:rPr>
          <w:rStyle w:val="Strong"/>
          <w:rFonts w:eastAsiaTheme="majorEastAsia"/>
        </w:rPr>
        <w:t>Mitigate + Accept</w:t>
      </w:r>
    </w:p>
    <w:p w:rsidR="008F51AE" w:rsidRDefault="008F51AE" w:rsidP="008F51AE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Mitigate:</w:t>
      </w:r>
    </w:p>
    <w:p w:rsidR="008F51AE" w:rsidRDefault="0081003D" w:rsidP="008F51AE">
      <w:pPr>
        <w:pStyle w:val="NormalWeb"/>
        <w:numPr>
          <w:ilvl w:val="2"/>
          <w:numId w:val="14"/>
        </w:numPr>
      </w:pPr>
      <w:r w:rsidRPr="0081003D">
        <w:rPr>
          <w:rStyle w:val="Strong"/>
          <w:b w:val="0"/>
        </w:rPr>
        <w:t>Air-gapped backups</w:t>
      </w:r>
      <w:r>
        <w:t xml:space="preserve"> ensure data recovery by storing copies on isolated systems, preventing ransomware encryption. </w:t>
      </w:r>
      <w:r w:rsidRPr="0081003D">
        <w:rPr>
          <w:rStyle w:val="Strong"/>
          <w:b w:val="0"/>
        </w:rPr>
        <w:t>CIS Hardening Guidelines</w:t>
      </w:r>
      <w:r>
        <w:t xml:space="preserve"> enhance server security through best practices like disabling unnecessary services and enforcing strict access controls</w:t>
      </w:r>
    </w:p>
    <w:p w:rsidR="008F51AE" w:rsidRDefault="008F51AE" w:rsidP="008F51AE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Accept:</w:t>
      </w:r>
    </w:p>
    <w:p w:rsidR="008F51AE" w:rsidRDefault="008F51AE" w:rsidP="0081003D">
      <w:pPr>
        <w:pStyle w:val="NormalWeb"/>
        <w:numPr>
          <w:ilvl w:val="2"/>
          <w:numId w:val="14"/>
        </w:numPr>
      </w:pPr>
      <w:r>
        <w:t xml:space="preserve">Given low ALE, focus on </w:t>
      </w:r>
      <w:r w:rsidRPr="0081003D">
        <w:rPr>
          <w:rStyle w:val="Strong"/>
          <w:rFonts w:eastAsiaTheme="majorEastAsia"/>
          <w:b w:val="0"/>
        </w:rPr>
        <w:t>response</w:t>
      </w:r>
      <w:r>
        <w:rPr>
          <w:rStyle w:val="Strong"/>
          <w:rFonts w:eastAsiaTheme="majorEastAsia"/>
        </w:rPr>
        <w:t xml:space="preserve"> </w:t>
      </w:r>
      <w:r w:rsidRPr="0081003D">
        <w:rPr>
          <w:rStyle w:val="Strong"/>
          <w:rFonts w:eastAsiaTheme="majorEastAsia"/>
          <w:b w:val="0"/>
        </w:rPr>
        <w:t>readiness</w:t>
      </w:r>
      <w:r>
        <w:t xml:space="preserve"> over costly prevention.</w:t>
      </w:r>
      <w:r w:rsidR="0081003D" w:rsidRPr="0081003D">
        <w:rPr>
          <w:rStyle w:val="Title"/>
        </w:rPr>
        <w:t xml:space="preserve"> </w:t>
      </w:r>
      <w:r w:rsidR="0081003D" w:rsidRPr="0081003D">
        <w:rPr>
          <w:bCs/>
        </w:rPr>
        <w:t>Response</w:t>
      </w:r>
      <w:r w:rsidR="0081003D" w:rsidRPr="0081003D">
        <w:rPr>
          <w:b/>
          <w:bCs/>
        </w:rPr>
        <w:t xml:space="preserve"> </w:t>
      </w:r>
      <w:r w:rsidR="0081003D" w:rsidRPr="0081003D">
        <w:rPr>
          <w:bCs/>
        </w:rPr>
        <w:t>Readiness</w:t>
      </w:r>
      <w:r w:rsidR="0081003D" w:rsidRPr="0081003D">
        <w:t xml:space="preserve"> refers to an organization's ability to quickly detect, respond to, and recover from security incidents. Instead of investing heavily in costly prevention measures, </w:t>
      </w:r>
      <w:proofErr w:type="spellStart"/>
      <w:r w:rsidR="0081003D" w:rsidRPr="0081003D">
        <w:t>TechCorp</w:t>
      </w:r>
      <w:proofErr w:type="spellEnd"/>
      <w:r w:rsidR="0081003D" w:rsidRPr="0081003D">
        <w:t xml:space="preserve"> will focus on having </w:t>
      </w:r>
      <w:r w:rsidR="0081003D" w:rsidRPr="0081003D">
        <w:rPr>
          <w:bCs/>
        </w:rPr>
        <w:t>incident response plans, backups, and rapid containment</w:t>
      </w:r>
      <w:r w:rsidR="0081003D" w:rsidRPr="0081003D">
        <w:rPr>
          <w:b/>
          <w:bCs/>
        </w:rPr>
        <w:t xml:space="preserve"> </w:t>
      </w:r>
      <w:r w:rsidR="0081003D" w:rsidRPr="0081003D">
        <w:rPr>
          <w:bCs/>
        </w:rPr>
        <w:t>strategies</w:t>
      </w:r>
      <w:r w:rsidR="0081003D" w:rsidRPr="0081003D">
        <w:t xml:space="preserve"> to minimize the impact of ransomware attacks.</w:t>
      </w:r>
    </w:p>
    <w:p w:rsidR="0081003D" w:rsidRDefault="0081003D" w:rsidP="0081003D"/>
    <w:p w:rsidR="0081003D" w:rsidRPr="0081003D" w:rsidRDefault="0081003D" w:rsidP="0081003D">
      <w:pPr>
        <w:pStyle w:val="Heading1"/>
        <w:rPr>
          <w:rFonts w:ascii="Times New Roman" w:hAnsi="Times New Roman" w:cs="Times New Roman"/>
          <w:color w:val="auto"/>
        </w:rPr>
      </w:pPr>
      <w:bookmarkStart w:id="14" w:name="_Toc194490819"/>
      <w:r w:rsidRPr="0081003D">
        <w:rPr>
          <w:rStyle w:val="Strong"/>
          <w:rFonts w:ascii="Times New Roman" w:hAnsi="Times New Roman" w:cs="Times New Roman"/>
          <w:bCs w:val="0"/>
          <w:color w:val="auto"/>
        </w:rPr>
        <w:t xml:space="preserve">Step 4: Cost-Benefit Analysis (CBA) for </w:t>
      </w:r>
      <w:proofErr w:type="spellStart"/>
      <w:r w:rsidRPr="0081003D">
        <w:rPr>
          <w:rStyle w:val="Strong"/>
          <w:rFonts w:ascii="Times New Roman" w:hAnsi="Times New Roman" w:cs="Times New Roman"/>
          <w:bCs w:val="0"/>
          <w:color w:val="auto"/>
        </w:rPr>
        <w:t>TechCorp</w:t>
      </w:r>
      <w:bookmarkEnd w:id="14"/>
      <w:proofErr w:type="spellEnd"/>
    </w:p>
    <w:p w:rsidR="0081003D" w:rsidRDefault="0081003D" w:rsidP="0081003D">
      <w:pPr>
        <w:pStyle w:val="NormalWeb"/>
      </w:pPr>
      <w:r>
        <w:rPr>
          <w:rStyle w:val="Strong"/>
          <w:rFonts w:eastAsiaTheme="majorEastAsia"/>
        </w:rPr>
        <w:t>Proposed Control:</w:t>
      </w:r>
      <w:r>
        <w:t xml:space="preserve"> </w:t>
      </w:r>
      <w:r>
        <w:rPr>
          <w:rStyle w:val="Strong"/>
          <w:rFonts w:eastAsiaTheme="majorEastAsia"/>
        </w:rPr>
        <w:t>Multi-Factor Authentication (MFA) for Client Financial Data Access</w:t>
      </w:r>
      <w:r>
        <w:br/>
      </w:r>
      <w:r w:rsidRPr="0081003D">
        <w:rPr>
          <w:rStyle w:val="Emphasis"/>
          <w:rFonts w:eastAsiaTheme="majorEastAsia"/>
          <w:i w:val="0"/>
        </w:rPr>
        <w:t>(Mitigates Phishing → 2nd Highest ALE: $10M)</w:t>
      </w:r>
    </w:p>
    <w:p w:rsidR="0081003D" w:rsidRPr="0081003D" w:rsidRDefault="0081003D" w:rsidP="0081003D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1003D">
        <w:rPr>
          <w:rStyle w:val="Strong"/>
          <w:rFonts w:ascii="Times New Roman" w:hAnsi="Times New Roman" w:cs="Times New Roman"/>
          <w:bCs w:val="0"/>
          <w:i w:val="0"/>
          <w:color w:val="auto"/>
          <w:sz w:val="24"/>
          <w:szCs w:val="24"/>
        </w:rPr>
        <w:t>1. Input Data</w:t>
      </w:r>
    </w:p>
    <w:p w:rsidR="0081003D" w:rsidRDefault="0081003D" w:rsidP="0081003D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Annualized Loss Expectancy (ALE) without MFA:</w:t>
      </w:r>
      <w:r>
        <w:t xml:space="preserve"> </w:t>
      </w:r>
      <w:r>
        <w:rPr>
          <w:rStyle w:val="Strong"/>
          <w:rFonts w:eastAsiaTheme="majorEastAsia"/>
        </w:rPr>
        <w:t>$10M</w:t>
      </w:r>
      <w:r>
        <w:t xml:space="preserve"> (as determined in Step 2).</w:t>
      </w:r>
    </w:p>
    <w:p w:rsidR="0081003D" w:rsidRDefault="0081003D" w:rsidP="0081003D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Estimated ALE with MFA:</w:t>
      </w:r>
      <w:r>
        <w:t xml:space="preserve"> Reduced by </w:t>
      </w:r>
      <w:r>
        <w:rPr>
          <w:rStyle w:val="Strong"/>
          <w:rFonts w:eastAsiaTheme="majorEastAsia"/>
        </w:rPr>
        <w:t>70%</w:t>
      </w:r>
      <w:r>
        <w:t xml:space="preserve"> (standard industry reduction rate for MFA effectiveness).</w:t>
      </w:r>
    </w:p>
    <w:p w:rsidR="0081003D" w:rsidRDefault="0081003D" w:rsidP="0081003D">
      <w:pPr>
        <w:pStyle w:val="NormalWeb"/>
        <w:numPr>
          <w:ilvl w:val="1"/>
          <w:numId w:val="17"/>
        </w:numPr>
      </w:pPr>
      <w:r>
        <w:rPr>
          <w:rStyle w:val="Strong"/>
          <w:rFonts w:eastAsiaTheme="majorEastAsia"/>
        </w:rPr>
        <w:t>New ALE = $10M × (1 – 0.7) = $3M</w:t>
      </w:r>
      <w:r>
        <w:t>.</w:t>
      </w:r>
    </w:p>
    <w:p w:rsidR="0081003D" w:rsidRDefault="0081003D" w:rsidP="0081003D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Annualized Cost of Safeguard (ACS):</w:t>
      </w:r>
    </w:p>
    <w:p w:rsidR="0081003D" w:rsidRDefault="0081003D" w:rsidP="0081003D">
      <w:pPr>
        <w:pStyle w:val="NormalWeb"/>
        <w:numPr>
          <w:ilvl w:val="1"/>
          <w:numId w:val="17"/>
        </w:numPr>
      </w:pPr>
      <w:r>
        <w:rPr>
          <w:rStyle w:val="Strong"/>
          <w:rFonts w:eastAsiaTheme="majorEastAsia"/>
        </w:rPr>
        <w:t>Duo Security MFA License (500 users):</w:t>
      </w:r>
      <w:r>
        <w:t xml:space="preserve"> </w:t>
      </w:r>
      <w:r>
        <w:rPr>
          <w:rStyle w:val="Strong"/>
          <w:rFonts w:eastAsiaTheme="majorEastAsia"/>
        </w:rPr>
        <w:t>$15,000/year</w:t>
      </w:r>
      <w:r>
        <w:t>.</w:t>
      </w:r>
    </w:p>
    <w:p w:rsidR="0081003D" w:rsidRDefault="0081003D" w:rsidP="0081003D">
      <w:pPr>
        <w:pStyle w:val="NormalWeb"/>
        <w:numPr>
          <w:ilvl w:val="1"/>
          <w:numId w:val="17"/>
        </w:numPr>
      </w:pPr>
      <w:r>
        <w:rPr>
          <w:rStyle w:val="Strong"/>
          <w:rFonts w:eastAsiaTheme="majorEastAsia"/>
        </w:rPr>
        <w:t>IT Labor (Setup + Maintenance):</w:t>
      </w:r>
      <w:r>
        <w:t xml:space="preserve"> </w:t>
      </w:r>
      <w:r>
        <w:rPr>
          <w:rStyle w:val="Strong"/>
          <w:rFonts w:eastAsiaTheme="majorEastAsia"/>
        </w:rPr>
        <w:t>$10,000/year</w:t>
      </w:r>
      <w:r>
        <w:t>.</w:t>
      </w:r>
    </w:p>
    <w:p w:rsidR="0081003D" w:rsidRDefault="0081003D" w:rsidP="0081003D">
      <w:pPr>
        <w:pStyle w:val="NormalWeb"/>
        <w:numPr>
          <w:ilvl w:val="1"/>
          <w:numId w:val="17"/>
        </w:numPr>
      </w:pPr>
      <w:r>
        <w:rPr>
          <w:rStyle w:val="Strong"/>
          <w:rFonts w:eastAsiaTheme="majorEastAsia"/>
        </w:rPr>
        <w:t>Total ACS = $25,000/year</w:t>
      </w:r>
      <w:r>
        <w:t>.</w:t>
      </w:r>
    </w:p>
    <w:p w:rsidR="0081003D" w:rsidRPr="0081003D" w:rsidRDefault="0081003D" w:rsidP="0081003D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81003D">
        <w:rPr>
          <w:rStyle w:val="Strong"/>
          <w:rFonts w:ascii="Times New Roman" w:hAnsi="Times New Roman" w:cs="Times New Roman"/>
          <w:bCs w:val="0"/>
          <w:i w:val="0"/>
          <w:color w:val="auto"/>
        </w:rPr>
        <w:t>2. Cost-Benefit Analysis (CBA) Calculation</w:t>
      </w:r>
    </w:p>
    <w:p w:rsidR="0081003D" w:rsidRDefault="0081003D" w:rsidP="0081003D">
      <w:pPr>
        <w:pStyle w:val="NormalWeb"/>
      </w:pPr>
      <w:r>
        <w:t>The formula for CBA is:</w:t>
      </w:r>
    </w:p>
    <w:p w:rsidR="0081003D" w:rsidRDefault="0081003D" w:rsidP="0081003D">
      <w:pPr>
        <w:rPr>
          <w:rStyle w:val="katex"/>
        </w:rPr>
      </w:pPr>
      <w:r>
        <w:rPr>
          <w:rStyle w:val="katex"/>
        </w:rPr>
        <w:t>CBA=</w:t>
      </w:r>
      <w:r>
        <w:rPr>
          <w:rStyle w:val="katex"/>
        </w:rPr>
        <w:t>(</w:t>
      </w:r>
      <w:proofErr w:type="spellStart"/>
      <w:r>
        <w:rPr>
          <w:rStyle w:val="katex"/>
        </w:rPr>
        <w:t>ALEwithout−ALEwithACS</w:t>
      </w:r>
      <w:proofErr w:type="spellEnd"/>
      <w:r>
        <w:rPr>
          <w:rStyle w:val="katex"/>
        </w:rPr>
        <w:t>)/ACS</w:t>
      </w:r>
    </w:p>
    <w:p w:rsidR="0081003D" w:rsidRDefault="0081003D" w:rsidP="0081003D">
      <w:pPr>
        <w:rPr>
          <w:rStyle w:val="katex"/>
        </w:rPr>
      </w:pPr>
      <w:r>
        <w:rPr>
          <w:rStyle w:val="katex"/>
        </w:rPr>
        <w:t>=</w:t>
      </w:r>
      <w:r>
        <w:rPr>
          <w:rStyle w:val="katex"/>
        </w:rPr>
        <w:t>$10M−$3M$25K</w:t>
      </w:r>
    </w:p>
    <w:p w:rsidR="0081003D" w:rsidRDefault="0081003D" w:rsidP="0081003D">
      <w:r>
        <w:rPr>
          <w:rStyle w:val="katex"/>
        </w:rPr>
        <w:t>=$7M</w:t>
      </w:r>
      <w:r>
        <w:rPr>
          <w:rStyle w:val="katex"/>
        </w:rPr>
        <w:t>/</w:t>
      </w:r>
      <w:r>
        <w:rPr>
          <w:rStyle w:val="katex"/>
        </w:rPr>
        <w:t>$25K=280</w:t>
      </w:r>
      <w:r>
        <w:t xml:space="preserve"> </w:t>
      </w:r>
    </w:p>
    <w:p w:rsidR="0081003D" w:rsidRDefault="0081003D" w:rsidP="0081003D">
      <w:pPr>
        <w:pStyle w:val="NormalWeb"/>
      </w:pPr>
      <w:r>
        <w:rPr>
          <w:rStyle w:val="Strong"/>
          <w:rFonts w:eastAsiaTheme="majorEastAsia"/>
        </w:rPr>
        <w:t>Interpretation:</w:t>
      </w:r>
    </w:p>
    <w:p w:rsidR="0081003D" w:rsidRDefault="0081003D" w:rsidP="0081003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CBA = 280</w:t>
      </w:r>
      <w:r>
        <w:t xml:space="preserve"> means </w:t>
      </w:r>
      <w:r>
        <w:rPr>
          <w:rStyle w:val="Strong"/>
          <w:rFonts w:eastAsiaTheme="majorEastAsia"/>
        </w:rPr>
        <w:t>every $1 spent on MFA saves $280 in potential losses</w:t>
      </w:r>
      <w:r>
        <w:t>.</w:t>
      </w:r>
    </w:p>
    <w:p w:rsidR="0081003D" w:rsidRDefault="0081003D" w:rsidP="0081003D">
      <w:pPr>
        <w:pStyle w:val="NormalWeb"/>
        <w:numPr>
          <w:ilvl w:val="0"/>
          <w:numId w:val="18"/>
        </w:numPr>
      </w:pPr>
      <w:r>
        <w:lastRenderedPageBreak/>
        <w:t xml:space="preserve">Since a CBA greater than </w:t>
      </w:r>
      <w:r>
        <w:rPr>
          <w:rStyle w:val="Strong"/>
          <w:rFonts w:eastAsiaTheme="majorEastAsia"/>
        </w:rPr>
        <w:t>1</w:t>
      </w:r>
      <w:r>
        <w:t xml:space="preserve"> is considered cost-effective, the implementation of MFA is highly justified from a financial perspective.</w:t>
      </w:r>
    </w:p>
    <w:p w:rsidR="0081003D" w:rsidRPr="0081003D" w:rsidRDefault="0081003D" w:rsidP="0081003D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1003D">
        <w:rPr>
          <w:rStyle w:val="Strong"/>
          <w:rFonts w:ascii="Times New Roman" w:hAnsi="Times New Roman" w:cs="Times New Roman"/>
          <w:bCs w:val="0"/>
          <w:i w:val="0"/>
          <w:color w:val="auto"/>
          <w:sz w:val="24"/>
          <w:szCs w:val="24"/>
        </w:rPr>
        <w:t>3. Non-Financial Benefits</w:t>
      </w:r>
    </w:p>
    <w:p w:rsidR="003C1C2F" w:rsidRPr="003C1C2F" w:rsidRDefault="003C1C2F" w:rsidP="003C1C2F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C1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Regulatory Compliance:</w:t>
      </w:r>
      <w:r w:rsidRPr="003C1C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MFA ensures </w:t>
      </w:r>
      <w:proofErr w:type="spellStart"/>
      <w:r w:rsidRPr="003C1C2F">
        <w:rPr>
          <w:rFonts w:ascii="Times New Roman" w:eastAsia="Times New Roman" w:hAnsi="Times New Roman" w:cs="Times New Roman"/>
          <w:kern w:val="0"/>
          <w:sz w:val="24"/>
          <w:szCs w:val="24"/>
        </w:rPr>
        <w:t>TechCorp</w:t>
      </w:r>
      <w:proofErr w:type="spellEnd"/>
      <w:r w:rsidRPr="003C1C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complies with data protection laws like GDPR and CCPA, minimizing the risk of penalties for data breaches. This helps maintain legal and ethical standards for handling sensitive information.</w:t>
      </w:r>
    </w:p>
    <w:p w:rsidR="003C1C2F" w:rsidRPr="003C1C2F" w:rsidRDefault="003C1C2F" w:rsidP="003C1C2F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C1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Reputation:</w:t>
      </w:r>
      <w:r w:rsidRPr="003C1C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By preventing breaches, MFA safeguards </w:t>
      </w:r>
      <w:proofErr w:type="spellStart"/>
      <w:r w:rsidRPr="003C1C2F">
        <w:rPr>
          <w:rFonts w:ascii="Times New Roman" w:eastAsia="Times New Roman" w:hAnsi="Times New Roman" w:cs="Times New Roman"/>
          <w:kern w:val="0"/>
          <w:sz w:val="24"/>
          <w:szCs w:val="24"/>
        </w:rPr>
        <w:t>TechCorp’s</w:t>
      </w:r>
      <w:proofErr w:type="spellEnd"/>
      <w:r w:rsidRPr="003C1C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brand reputation, avoiding headlines related to security failures. A strong security posture increases customer trust and loyalty.</w:t>
      </w:r>
    </w:p>
    <w:p w:rsidR="003C1C2F" w:rsidRPr="003C1C2F" w:rsidRDefault="003C1C2F" w:rsidP="003C1C2F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C1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Productivity:</w:t>
      </w:r>
      <w:r w:rsidRPr="003C1C2F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MFA streamlines access management, reducing the time spent on password resets and security-related IT support. This leads to improved operational efficiency and reduced administrative overhead.</w:t>
      </w:r>
    </w:p>
    <w:p w:rsidR="0081003D" w:rsidRDefault="0081003D" w:rsidP="0081003D"/>
    <w:p w:rsidR="0081003D" w:rsidRPr="003C1C2F" w:rsidRDefault="0081003D" w:rsidP="0081003D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3C1C2F">
        <w:rPr>
          <w:rStyle w:val="Strong"/>
          <w:rFonts w:ascii="Times New Roman" w:hAnsi="Times New Roman" w:cs="Times New Roman"/>
          <w:bCs w:val="0"/>
          <w:i w:val="0"/>
          <w:color w:val="auto"/>
          <w:sz w:val="24"/>
          <w:szCs w:val="24"/>
        </w:rPr>
        <w:t xml:space="preserve">4. Conclusion: Should </w:t>
      </w:r>
      <w:proofErr w:type="spellStart"/>
      <w:r w:rsidRPr="003C1C2F">
        <w:rPr>
          <w:rStyle w:val="Strong"/>
          <w:rFonts w:ascii="Times New Roman" w:hAnsi="Times New Roman" w:cs="Times New Roman"/>
          <w:bCs w:val="0"/>
          <w:i w:val="0"/>
          <w:color w:val="auto"/>
          <w:sz w:val="24"/>
          <w:szCs w:val="24"/>
        </w:rPr>
        <w:t>TechCorp</w:t>
      </w:r>
      <w:proofErr w:type="spellEnd"/>
      <w:r w:rsidRPr="003C1C2F">
        <w:rPr>
          <w:rStyle w:val="Strong"/>
          <w:rFonts w:ascii="Times New Roman" w:hAnsi="Times New Roman" w:cs="Times New Roman"/>
          <w:bCs w:val="0"/>
          <w:i w:val="0"/>
          <w:color w:val="auto"/>
          <w:sz w:val="24"/>
          <w:szCs w:val="24"/>
        </w:rPr>
        <w:t xml:space="preserve"> Implement MFA?</w:t>
      </w:r>
    </w:p>
    <w:p w:rsidR="0081003D" w:rsidRDefault="0081003D" w:rsidP="0081003D">
      <w:pPr>
        <w:pStyle w:val="NormalWeb"/>
      </w:pPr>
      <w:r>
        <w:rPr>
          <w:rStyle w:val="Strong"/>
          <w:rFonts w:eastAsiaTheme="majorEastAsia"/>
        </w:rPr>
        <w:t>Yes, immediately.</w:t>
      </w:r>
    </w:p>
    <w:p w:rsidR="0081003D" w:rsidRDefault="0081003D" w:rsidP="0081003D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Payback Period:</w:t>
      </w:r>
      <w:r>
        <w:t xml:space="preserve"> The implementation will pay for itself in under </w:t>
      </w:r>
      <w:r>
        <w:rPr>
          <w:rStyle w:val="Strong"/>
          <w:rFonts w:eastAsiaTheme="majorEastAsia"/>
        </w:rPr>
        <w:t>2 days</w:t>
      </w:r>
      <w:r>
        <w:t>, considering the $7M savings vs. the $25K cost.</w:t>
      </w:r>
    </w:p>
    <w:p w:rsidR="003C1C2F" w:rsidRDefault="0081003D" w:rsidP="003C1C2F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Risk Tolerance:</w:t>
      </w:r>
      <w:r>
        <w:t xml:space="preserve"> Even if MFA only reduces ALE by </w:t>
      </w:r>
      <w:r>
        <w:rPr>
          <w:rStyle w:val="Strong"/>
          <w:rFonts w:eastAsiaTheme="majorEastAsia"/>
        </w:rPr>
        <w:t>50%</w:t>
      </w:r>
      <w:r>
        <w:t xml:space="preserve"> (CBA = 140), it still provides significant value.</w:t>
      </w:r>
    </w:p>
    <w:p w:rsidR="003C1C2F" w:rsidRPr="003C1C2F" w:rsidRDefault="003C1C2F" w:rsidP="003C1C2F">
      <w:pPr>
        <w:pStyle w:val="Heading2"/>
        <w:rPr>
          <w:rFonts w:ascii="Times New Roman" w:hAnsi="Times New Roman" w:cs="Times New Roman"/>
          <w:color w:val="auto"/>
        </w:rPr>
      </w:pPr>
      <w:bookmarkStart w:id="15" w:name="_Toc194490820"/>
      <w:r w:rsidRPr="003C1C2F">
        <w:rPr>
          <w:rStyle w:val="Strong"/>
          <w:rFonts w:ascii="Times New Roman" w:hAnsi="Times New Roman" w:cs="Times New Roman"/>
          <w:bCs w:val="0"/>
          <w:color w:val="auto"/>
        </w:rPr>
        <w:t>1. Executive Summary</w:t>
      </w:r>
      <w:bookmarkEnd w:id="15"/>
    </w:p>
    <w:p w:rsidR="003C1C2F" w:rsidRDefault="003C1C2F" w:rsidP="003C1C2F">
      <w:pPr>
        <w:pStyle w:val="NormalWeb"/>
      </w:pPr>
      <w:proofErr w:type="spellStart"/>
      <w:r>
        <w:t>TechCorp’s</w:t>
      </w:r>
      <w:proofErr w:type="spellEnd"/>
      <w:r>
        <w:t xml:space="preserve"> recent data breach exposed critical gaps in authentication and access controls. This report documents:</w:t>
      </w:r>
    </w:p>
    <w:p w:rsidR="003C1C2F" w:rsidRDefault="003C1C2F" w:rsidP="003C1C2F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Top cybersecurity risks</w:t>
      </w:r>
      <w:r>
        <w:t xml:space="preserve"> (ALE-driven prioritization).</w:t>
      </w:r>
    </w:p>
    <w:p w:rsidR="003C1C2F" w:rsidRDefault="003C1C2F" w:rsidP="003C1C2F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Cost-effective mitigation strategies</w:t>
      </w:r>
      <w:r>
        <w:t xml:space="preserve"> (CBA-backed recommendations).</w:t>
      </w:r>
    </w:p>
    <w:p w:rsidR="003C1C2F" w:rsidRDefault="003C1C2F" w:rsidP="003C1C2F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Actionable roadmap</w:t>
      </w:r>
      <w:r>
        <w:t xml:space="preserve"> to reduce risk exposure by </w:t>
      </w:r>
      <w:r>
        <w:rPr>
          <w:rStyle w:val="Strong"/>
          <w:rFonts w:eastAsiaTheme="majorEastAsia"/>
        </w:rPr>
        <w:t>50%+ within 12 months</w:t>
      </w:r>
      <w:r>
        <w:t>.</w:t>
      </w:r>
    </w:p>
    <w:p w:rsidR="003C1C2F" w:rsidRPr="003C1C2F" w:rsidRDefault="003C1C2F" w:rsidP="003C1C2F">
      <w:pPr>
        <w:pStyle w:val="Heading2"/>
        <w:rPr>
          <w:rFonts w:ascii="Times New Roman" w:hAnsi="Times New Roman" w:cs="Times New Roman"/>
          <w:color w:val="auto"/>
        </w:rPr>
      </w:pPr>
      <w:bookmarkStart w:id="16" w:name="_Toc194490821"/>
      <w:r w:rsidRPr="003C1C2F">
        <w:rPr>
          <w:rStyle w:val="Strong"/>
          <w:rFonts w:ascii="Times New Roman" w:hAnsi="Times New Roman" w:cs="Times New Roman"/>
          <w:bCs w:val="0"/>
          <w:color w:val="auto"/>
        </w:rPr>
        <w:t>2. Risk Assessment Findings</w:t>
      </w:r>
      <w:bookmarkEnd w:id="16"/>
    </w:p>
    <w:p w:rsidR="003C1C2F" w:rsidRPr="003C1C2F" w:rsidRDefault="003C1C2F" w:rsidP="003C1C2F">
      <w:pPr>
        <w:pStyle w:val="Heading3"/>
        <w:rPr>
          <w:rFonts w:ascii="Times New Roman" w:hAnsi="Times New Roman" w:cs="Times New Roman"/>
        </w:rPr>
      </w:pPr>
      <w:bookmarkStart w:id="17" w:name="_Toc194490822"/>
      <w:r w:rsidRPr="003C1C2F">
        <w:rPr>
          <w:rStyle w:val="Strong"/>
          <w:rFonts w:ascii="Times New Roman" w:hAnsi="Times New Roman" w:cs="Times New Roman"/>
          <w:bCs w:val="0"/>
          <w:color w:val="auto"/>
        </w:rPr>
        <w:t>A. Threat-Vulnerability-Asset (TVA) Worksheet</w:t>
      </w:r>
      <w:bookmarkEnd w:id="17"/>
    </w:p>
    <w:tbl>
      <w:tblPr>
        <w:tblW w:w="7928" w:type="dxa"/>
        <w:tblCellSpacing w:w="15" w:type="dxa"/>
        <w:tblInd w:w="10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1457"/>
        <w:gridCol w:w="3319"/>
        <w:gridCol w:w="862"/>
      </w:tblGrid>
      <w:tr w:rsidR="003C1C2F" w:rsidTr="003C1C2F">
        <w:trPr>
          <w:trHeight w:val="440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C2F" w:rsidRDefault="003C1C2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Asset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C2F" w:rsidRDefault="003C1C2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Threat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C2F" w:rsidRDefault="003C1C2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Vulnerability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C2F" w:rsidRDefault="003C1C2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ALE</w:t>
            </w:r>
          </w:p>
        </w:tc>
      </w:tr>
      <w:tr w:rsidR="003C1C2F" w:rsidTr="003C1C2F">
        <w:trPr>
          <w:trHeight w:val="44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C2F" w:rsidRDefault="003C1C2F">
            <w:r>
              <w:t>Source 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C2F" w:rsidRDefault="003C1C2F">
            <w:r>
              <w:t>Insider Threat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C2F" w:rsidRDefault="003C1C2F">
            <w:r>
              <w:t xml:space="preserve">No RBAC, unmonitored </w:t>
            </w:r>
            <w:proofErr w:type="spellStart"/>
            <w:r>
              <w:t>Git</w:t>
            </w:r>
            <w:proofErr w:type="spellEnd"/>
            <w:r>
              <w:t xml:space="preserve"> repos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C2F" w:rsidRDefault="003C1C2F">
            <w:r>
              <w:t>$12M</w:t>
            </w:r>
          </w:p>
        </w:tc>
      </w:tr>
      <w:tr w:rsidR="003C1C2F" w:rsidTr="003C1C2F">
        <w:trPr>
          <w:trHeight w:val="44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C2F" w:rsidRDefault="003C1C2F">
            <w:r>
              <w:t>Client Financial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C2F" w:rsidRDefault="003C1C2F">
            <w:r>
              <w:t>Phishing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C2F" w:rsidRDefault="003C1C2F">
            <w:r>
              <w:t>Lack of MFA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C2F" w:rsidRDefault="003C1C2F">
            <w:r>
              <w:t>$10M</w:t>
            </w:r>
          </w:p>
        </w:tc>
      </w:tr>
      <w:tr w:rsidR="003C1C2F" w:rsidTr="003C1C2F">
        <w:trPr>
          <w:trHeight w:val="44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C2F" w:rsidRDefault="003C1C2F">
            <w:r>
              <w:t>API/Database Systems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C2F" w:rsidRDefault="003C1C2F">
            <w:r>
              <w:t>SQL Injection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C2F" w:rsidRDefault="003C1C2F">
            <w:r>
              <w:t>Unpatched CVEs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C2F" w:rsidRDefault="003C1C2F">
            <w:r>
              <w:t>$6M</w:t>
            </w:r>
          </w:p>
        </w:tc>
      </w:tr>
      <w:tr w:rsidR="003C1C2F" w:rsidTr="003C1C2F">
        <w:trPr>
          <w:trHeight w:val="44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C2F" w:rsidRDefault="003C1C2F">
            <w:r>
              <w:t>Employee Credentials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C2F" w:rsidRDefault="003C1C2F">
            <w:r>
              <w:t>Phishing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C2F" w:rsidRDefault="003C1C2F">
            <w:r>
              <w:t>Weak passwords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C2F" w:rsidRDefault="003C1C2F">
            <w:r>
              <w:t>$3M</w:t>
            </w:r>
          </w:p>
        </w:tc>
      </w:tr>
      <w:tr w:rsidR="003C1C2F" w:rsidTr="003C1C2F">
        <w:trPr>
          <w:trHeight w:val="45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C2F" w:rsidRDefault="003C1C2F">
            <w:r>
              <w:lastRenderedPageBreak/>
              <w:t>Internal Servers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C2F" w:rsidRDefault="003C1C2F">
            <w:r>
              <w:t>Ransomware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C2F" w:rsidRDefault="003C1C2F">
            <w:r>
              <w:t>No air-gapped backups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C2F" w:rsidRDefault="003C1C2F">
            <w:r>
              <w:t>$1.05M</w:t>
            </w:r>
          </w:p>
        </w:tc>
      </w:tr>
    </w:tbl>
    <w:p w:rsidR="003C1C2F" w:rsidRPr="003C1C2F" w:rsidRDefault="003C1C2F" w:rsidP="003C1C2F">
      <w:pPr>
        <w:pStyle w:val="Heading3"/>
        <w:rPr>
          <w:rFonts w:ascii="Times New Roman" w:hAnsi="Times New Roman" w:cs="Times New Roman"/>
          <w:color w:val="auto"/>
        </w:rPr>
      </w:pPr>
      <w:bookmarkStart w:id="18" w:name="_Toc194490823"/>
      <w:r w:rsidRPr="003C1C2F">
        <w:rPr>
          <w:rStyle w:val="Strong"/>
          <w:rFonts w:ascii="Times New Roman" w:hAnsi="Times New Roman" w:cs="Times New Roman"/>
          <w:bCs w:val="0"/>
          <w:color w:val="auto"/>
        </w:rPr>
        <w:t>B. Risk Matrix (Likelihood vs. Impact)</w:t>
      </w:r>
      <w:bookmarkEnd w:id="18"/>
    </w:p>
    <w:tbl>
      <w:tblPr>
        <w:tblW w:w="7913" w:type="dxa"/>
        <w:tblCellSpacing w:w="15" w:type="dxa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2268"/>
        <w:gridCol w:w="1575"/>
        <w:gridCol w:w="2174"/>
      </w:tblGrid>
      <w:tr w:rsidR="003C1C2F" w:rsidTr="003C1C2F">
        <w:trPr>
          <w:trHeight w:val="363"/>
          <w:tblHeader/>
          <w:tblCellSpacing w:w="15" w:type="dxa"/>
        </w:trPr>
        <w:tc>
          <w:tcPr>
            <w:tcW w:w="1851" w:type="dxa"/>
            <w:vAlign w:val="center"/>
            <w:hideMark/>
          </w:tcPr>
          <w:p w:rsidR="003C1C2F" w:rsidRDefault="003C1C2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Threat</w:t>
            </w:r>
          </w:p>
        </w:tc>
        <w:tc>
          <w:tcPr>
            <w:tcW w:w="0" w:type="auto"/>
            <w:vAlign w:val="center"/>
            <w:hideMark/>
          </w:tcPr>
          <w:p w:rsidR="003C1C2F" w:rsidRDefault="003C1C2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:rsidR="003C1C2F" w:rsidRDefault="003C1C2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3C1C2F" w:rsidRDefault="003C1C2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Risk Level</w:t>
            </w:r>
          </w:p>
        </w:tc>
      </w:tr>
      <w:tr w:rsidR="003C1C2F" w:rsidTr="003C1C2F">
        <w:trPr>
          <w:trHeight w:val="351"/>
          <w:tblCellSpacing w:w="15" w:type="dxa"/>
        </w:trPr>
        <w:tc>
          <w:tcPr>
            <w:tcW w:w="1851" w:type="dxa"/>
            <w:vAlign w:val="center"/>
            <w:hideMark/>
          </w:tcPr>
          <w:p w:rsidR="003C1C2F" w:rsidRDefault="003C1C2F">
            <w:r>
              <w:t>Insider Threat</w:t>
            </w:r>
          </w:p>
        </w:tc>
        <w:tc>
          <w:tcPr>
            <w:tcW w:w="0" w:type="auto"/>
            <w:vAlign w:val="center"/>
            <w:hideMark/>
          </w:tcPr>
          <w:p w:rsidR="003C1C2F" w:rsidRDefault="003C1C2F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:rsidR="003C1C2F" w:rsidRDefault="003C1C2F">
            <w:r>
              <w:t>Critical</w:t>
            </w:r>
          </w:p>
        </w:tc>
        <w:tc>
          <w:tcPr>
            <w:tcW w:w="0" w:type="auto"/>
            <w:vAlign w:val="center"/>
            <w:hideMark/>
          </w:tcPr>
          <w:p w:rsidR="003C1C2F" w:rsidRDefault="003C1C2F">
            <w:r>
              <w:rPr>
                <w:rStyle w:val="Strong"/>
              </w:rPr>
              <w:t>High</w:t>
            </w:r>
          </w:p>
        </w:tc>
      </w:tr>
      <w:tr w:rsidR="003C1C2F" w:rsidTr="003C1C2F">
        <w:trPr>
          <w:trHeight w:val="351"/>
          <w:tblCellSpacing w:w="15" w:type="dxa"/>
        </w:trPr>
        <w:tc>
          <w:tcPr>
            <w:tcW w:w="1851" w:type="dxa"/>
            <w:vAlign w:val="center"/>
            <w:hideMark/>
          </w:tcPr>
          <w:p w:rsidR="003C1C2F" w:rsidRDefault="003C1C2F">
            <w:r>
              <w:t>Phishing</w:t>
            </w:r>
          </w:p>
        </w:tc>
        <w:tc>
          <w:tcPr>
            <w:tcW w:w="0" w:type="auto"/>
            <w:vAlign w:val="center"/>
            <w:hideMark/>
          </w:tcPr>
          <w:p w:rsidR="003C1C2F" w:rsidRDefault="003C1C2F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3C1C2F" w:rsidRDefault="003C1C2F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3C1C2F" w:rsidRDefault="003C1C2F">
            <w:r>
              <w:rPr>
                <w:rStyle w:val="Strong"/>
              </w:rPr>
              <w:t>High</w:t>
            </w:r>
          </w:p>
        </w:tc>
      </w:tr>
      <w:tr w:rsidR="003C1C2F" w:rsidTr="003C1C2F">
        <w:trPr>
          <w:trHeight w:val="339"/>
          <w:tblCellSpacing w:w="15" w:type="dxa"/>
        </w:trPr>
        <w:tc>
          <w:tcPr>
            <w:tcW w:w="1851" w:type="dxa"/>
            <w:vAlign w:val="center"/>
            <w:hideMark/>
          </w:tcPr>
          <w:p w:rsidR="003C1C2F" w:rsidRDefault="003C1C2F">
            <w:r>
              <w:t>SQL Injection</w:t>
            </w:r>
          </w:p>
        </w:tc>
        <w:tc>
          <w:tcPr>
            <w:tcW w:w="0" w:type="auto"/>
            <w:vAlign w:val="center"/>
            <w:hideMark/>
          </w:tcPr>
          <w:p w:rsidR="003C1C2F" w:rsidRDefault="003C1C2F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:rsidR="003C1C2F" w:rsidRDefault="003C1C2F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3C1C2F" w:rsidRDefault="003C1C2F">
            <w:r>
              <w:rPr>
                <w:rStyle w:val="Strong"/>
              </w:rPr>
              <w:t>Medium</w:t>
            </w:r>
          </w:p>
        </w:tc>
      </w:tr>
      <w:tr w:rsidR="003C1C2F" w:rsidTr="003C1C2F">
        <w:trPr>
          <w:trHeight w:val="363"/>
          <w:tblCellSpacing w:w="15" w:type="dxa"/>
        </w:trPr>
        <w:tc>
          <w:tcPr>
            <w:tcW w:w="1851" w:type="dxa"/>
            <w:vAlign w:val="center"/>
            <w:hideMark/>
          </w:tcPr>
          <w:p w:rsidR="003C1C2F" w:rsidRDefault="003C1C2F">
            <w:r>
              <w:t>Ransomware</w:t>
            </w:r>
          </w:p>
        </w:tc>
        <w:tc>
          <w:tcPr>
            <w:tcW w:w="0" w:type="auto"/>
            <w:vAlign w:val="center"/>
            <w:hideMark/>
          </w:tcPr>
          <w:p w:rsidR="003C1C2F" w:rsidRDefault="003C1C2F">
            <w:r>
              <w:t>Low</w:t>
            </w:r>
          </w:p>
        </w:tc>
        <w:tc>
          <w:tcPr>
            <w:tcW w:w="0" w:type="auto"/>
            <w:vAlign w:val="center"/>
            <w:hideMark/>
          </w:tcPr>
          <w:p w:rsidR="003C1C2F" w:rsidRDefault="003C1C2F">
            <w:r>
              <w:t>Critical</w:t>
            </w:r>
          </w:p>
        </w:tc>
        <w:tc>
          <w:tcPr>
            <w:tcW w:w="0" w:type="auto"/>
            <w:vAlign w:val="center"/>
            <w:hideMark/>
          </w:tcPr>
          <w:p w:rsidR="003C1C2F" w:rsidRDefault="003C1C2F">
            <w:r>
              <w:rPr>
                <w:rStyle w:val="Strong"/>
              </w:rPr>
              <w:t>Medium</w:t>
            </w:r>
          </w:p>
        </w:tc>
      </w:tr>
    </w:tbl>
    <w:p w:rsidR="003C1C2F" w:rsidRDefault="003C1C2F" w:rsidP="003C1C2F"/>
    <w:p w:rsidR="003C1C2F" w:rsidRPr="003C1C2F" w:rsidRDefault="003C1C2F" w:rsidP="003C1C2F">
      <w:pPr>
        <w:pStyle w:val="Heading2"/>
        <w:rPr>
          <w:rFonts w:ascii="Times New Roman" w:hAnsi="Times New Roman" w:cs="Times New Roman"/>
          <w:color w:val="auto"/>
        </w:rPr>
      </w:pPr>
      <w:bookmarkStart w:id="19" w:name="_Toc194490824"/>
      <w:r w:rsidRPr="003C1C2F">
        <w:rPr>
          <w:rStyle w:val="Strong"/>
          <w:rFonts w:ascii="Times New Roman" w:hAnsi="Times New Roman" w:cs="Times New Roman"/>
          <w:bCs w:val="0"/>
          <w:color w:val="auto"/>
        </w:rPr>
        <w:t>3. Recommended Risk Control Strategies</w:t>
      </w:r>
      <w:bookmarkEnd w:id="19"/>
    </w:p>
    <w:p w:rsidR="003C1C2F" w:rsidRPr="003C1C2F" w:rsidRDefault="003C1C2F" w:rsidP="003C1C2F">
      <w:pPr>
        <w:pStyle w:val="Heading3"/>
        <w:rPr>
          <w:rFonts w:ascii="Times New Roman" w:hAnsi="Times New Roman" w:cs="Times New Roman"/>
          <w:color w:val="auto"/>
        </w:rPr>
      </w:pPr>
      <w:bookmarkStart w:id="20" w:name="_Toc194490825"/>
      <w:r w:rsidRPr="003C1C2F">
        <w:rPr>
          <w:rStyle w:val="Strong"/>
          <w:rFonts w:ascii="Times New Roman" w:hAnsi="Times New Roman" w:cs="Times New Roman"/>
          <w:bCs w:val="0"/>
          <w:color w:val="auto"/>
        </w:rPr>
        <w:t>A. Approved Controls (CBA &gt; 1)</w:t>
      </w:r>
      <w:bookmarkEnd w:id="20"/>
    </w:p>
    <w:tbl>
      <w:tblPr>
        <w:tblW w:w="7920" w:type="dxa"/>
        <w:tblCellSpacing w:w="15" w:type="dxa"/>
        <w:tblInd w:w="1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540"/>
        <w:gridCol w:w="5045"/>
      </w:tblGrid>
      <w:tr w:rsidR="003C1C2F" w:rsidTr="003C1C2F">
        <w:trPr>
          <w:trHeight w:val="38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1C2F" w:rsidRDefault="003C1C2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3C1C2F" w:rsidRDefault="003C1C2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CBA</w:t>
            </w:r>
          </w:p>
        </w:tc>
        <w:tc>
          <w:tcPr>
            <w:tcW w:w="0" w:type="auto"/>
            <w:vAlign w:val="center"/>
            <w:hideMark/>
          </w:tcPr>
          <w:p w:rsidR="003C1C2F" w:rsidRDefault="003C1C2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Justification</w:t>
            </w:r>
          </w:p>
        </w:tc>
      </w:tr>
      <w:tr w:rsidR="003C1C2F" w:rsidTr="003C1C2F">
        <w:trPr>
          <w:trHeight w:val="367"/>
          <w:tblCellSpacing w:w="15" w:type="dxa"/>
        </w:trPr>
        <w:tc>
          <w:tcPr>
            <w:tcW w:w="0" w:type="auto"/>
            <w:vAlign w:val="center"/>
            <w:hideMark/>
          </w:tcPr>
          <w:p w:rsidR="003C1C2F" w:rsidRDefault="003C1C2F">
            <w:r>
              <w:rPr>
                <w:rStyle w:val="Strong"/>
              </w:rPr>
              <w:t>MFA for Client Data</w:t>
            </w:r>
          </w:p>
        </w:tc>
        <w:tc>
          <w:tcPr>
            <w:tcW w:w="0" w:type="auto"/>
            <w:vAlign w:val="center"/>
            <w:hideMark/>
          </w:tcPr>
          <w:p w:rsidR="003C1C2F" w:rsidRDefault="003C1C2F">
            <w:r>
              <w:t>280</w:t>
            </w:r>
          </w:p>
        </w:tc>
        <w:tc>
          <w:tcPr>
            <w:tcW w:w="0" w:type="auto"/>
            <w:vAlign w:val="center"/>
            <w:hideMark/>
          </w:tcPr>
          <w:p w:rsidR="003C1C2F" w:rsidRDefault="003C1C2F">
            <w:r>
              <w:t>Prevents 70% of phishing-related breaches.</w:t>
            </w:r>
          </w:p>
        </w:tc>
      </w:tr>
      <w:tr w:rsidR="003C1C2F" w:rsidTr="003C1C2F">
        <w:trPr>
          <w:trHeight w:val="367"/>
          <w:tblCellSpacing w:w="15" w:type="dxa"/>
        </w:trPr>
        <w:tc>
          <w:tcPr>
            <w:tcW w:w="0" w:type="auto"/>
            <w:vAlign w:val="center"/>
            <w:hideMark/>
          </w:tcPr>
          <w:p w:rsidR="003C1C2F" w:rsidRDefault="003C1C2F">
            <w:r>
              <w:rPr>
                <w:rStyle w:val="Strong"/>
              </w:rPr>
              <w:t>DLP for Source Code</w:t>
            </w:r>
          </w:p>
        </w:tc>
        <w:tc>
          <w:tcPr>
            <w:tcW w:w="0" w:type="auto"/>
            <w:vAlign w:val="center"/>
            <w:hideMark/>
          </w:tcPr>
          <w:p w:rsidR="003C1C2F" w:rsidRDefault="003C1C2F">
            <w:r>
              <w:t>150</w:t>
            </w:r>
          </w:p>
        </w:tc>
        <w:tc>
          <w:tcPr>
            <w:tcW w:w="0" w:type="auto"/>
            <w:vAlign w:val="center"/>
            <w:hideMark/>
          </w:tcPr>
          <w:p w:rsidR="003C1C2F" w:rsidRDefault="003C1C2F">
            <w:r>
              <w:t>Reduces insider theft risk by 60%.</w:t>
            </w:r>
          </w:p>
        </w:tc>
      </w:tr>
      <w:tr w:rsidR="003C1C2F" w:rsidTr="003C1C2F">
        <w:trPr>
          <w:trHeight w:val="367"/>
          <w:tblCellSpacing w:w="15" w:type="dxa"/>
        </w:trPr>
        <w:tc>
          <w:tcPr>
            <w:tcW w:w="0" w:type="auto"/>
            <w:vAlign w:val="center"/>
            <w:hideMark/>
          </w:tcPr>
          <w:p w:rsidR="003C1C2F" w:rsidRDefault="003C1C2F">
            <w:r>
              <w:rPr>
                <w:rStyle w:val="Strong"/>
              </w:rPr>
              <w:t>SOC Monitoring</w:t>
            </w:r>
          </w:p>
        </w:tc>
        <w:tc>
          <w:tcPr>
            <w:tcW w:w="0" w:type="auto"/>
            <w:vAlign w:val="center"/>
            <w:hideMark/>
          </w:tcPr>
          <w:p w:rsidR="003C1C2F" w:rsidRDefault="003C1C2F"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3C1C2F" w:rsidRDefault="003C1C2F">
            <w:r>
              <w:t>Cuts credential misuse response time by 80%.</w:t>
            </w:r>
          </w:p>
        </w:tc>
      </w:tr>
    </w:tbl>
    <w:p w:rsidR="003C1C2F" w:rsidRPr="003C1C2F" w:rsidRDefault="003C1C2F" w:rsidP="003C1C2F">
      <w:pPr>
        <w:pStyle w:val="Heading3"/>
        <w:rPr>
          <w:rFonts w:ascii="Times New Roman" w:hAnsi="Times New Roman" w:cs="Times New Roman"/>
        </w:rPr>
      </w:pPr>
      <w:bookmarkStart w:id="21" w:name="_Toc194490826"/>
      <w:r w:rsidRPr="003C1C2F">
        <w:rPr>
          <w:rStyle w:val="Strong"/>
          <w:rFonts w:ascii="Times New Roman" w:hAnsi="Times New Roman" w:cs="Times New Roman"/>
          <w:bCs w:val="0"/>
          <w:color w:val="auto"/>
        </w:rPr>
        <w:t>B. Rejected Controls (CBA ≤ 1)</w:t>
      </w:r>
      <w:bookmarkEnd w:id="21"/>
    </w:p>
    <w:tbl>
      <w:tblPr>
        <w:tblW w:w="7973" w:type="dxa"/>
        <w:tblCellSpacing w:w="15" w:type="dxa"/>
        <w:tblInd w:w="1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0"/>
        <w:gridCol w:w="493"/>
        <w:gridCol w:w="4490"/>
      </w:tblGrid>
      <w:tr w:rsidR="003C1C2F" w:rsidTr="003C1C2F">
        <w:trPr>
          <w:trHeight w:val="44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1C2F" w:rsidRDefault="003C1C2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3C1C2F" w:rsidRDefault="003C1C2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CBA</w:t>
            </w:r>
          </w:p>
        </w:tc>
        <w:tc>
          <w:tcPr>
            <w:tcW w:w="0" w:type="auto"/>
            <w:vAlign w:val="center"/>
            <w:hideMark/>
          </w:tcPr>
          <w:p w:rsidR="003C1C2F" w:rsidRDefault="003C1C2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Reason for Rejection</w:t>
            </w:r>
          </w:p>
        </w:tc>
      </w:tr>
      <w:tr w:rsidR="003C1C2F" w:rsidTr="003C1C2F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:rsidR="003C1C2F" w:rsidRDefault="003C1C2F">
            <w:r>
              <w:t>Biometric Server Access</w:t>
            </w:r>
          </w:p>
        </w:tc>
        <w:tc>
          <w:tcPr>
            <w:tcW w:w="0" w:type="auto"/>
            <w:vAlign w:val="center"/>
            <w:hideMark/>
          </w:tcPr>
          <w:p w:rsidR="003C1C2F" w:rsidRDefault="003C1C2F">
            <w:r>
              <w:t>0.8</w:t>
            </w:r>
          </w:p>
        </w:tc>
        <w:tc>
          <w:tcPr>
            <w:tcW w:w="0" w:type="auto"/>
            <w:vAlign w:val="center"/>
            <w:hideMark/>
          </w:tcPr>
          <w:p w:rsidR="003C1C2F" w:rsidRDefault="003C1C2F">
            <w:r>
              <w:t>High cost ($100K) for minimal ALE reduction.</w:t>
            </w:r>
          </w:p>
        </w:tc>
      </w:tr>
      <w:tr w:rsidR="003C1C2F" w:rsidTr="003C1C2F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:rsidR="003C1C2F" w:rsidRDefault="003C1C2F">
            <w:r>
              <w:t>Cyber Insurance (Standalone)</w:t>
            </w:r>
          </w:p>
        </w:tc>
        <w:tc>
          <w:tcPr>
            <w:tcW w:w="0" w:type="auto"/>
            <w:vAlign w:val="center"/>
            <w:hideMark/>
          </w:tcPr>
          <w:p w:rsidR="003C1C2F" w:rsidRDefault="003C1C2F">
            <w:r>
              <w:t>N/A</w:t>
            </w:r>
          </w:p>
        </w:tc>
        <w:tc>
          <w:tcPr>
            <w:tcW w:w="0" w:type="auto"/>
            <w:vAlign w:val="center"/>
            <w:hideMark/>
          </w:tcPr>
          <w:p w:rsidR="003C1C2F" w:rsidRDefault="003C1C2F">
            <w:r>
              <w:t xml:space="preserve">Only viable as </w:t>
            </w:r>
            <w:r>
              <w:rPr>
                <w:rStyle w:val="Strong"/>
              </w:rPr>
              <w:t>supplement</w:t>
            </w:r>
            <w:r>
              <w:t xml:space="preserve"> to MFA/DLP.</w:t>
            </w:r>
          </w:p>
        </w:tc>
      </w:tr>
    </w:tbl>
    <w:p w:rsidR="003C1C2F" w:rsidRDefault="003C1C2F" w:rsidP="003C1C2F"/>
    <w:p w:rsidR="003C1C2F" w:rsidRPr="002A6656" w:rsidRDefault="003C1C2F" w:rsidP="003C1C2F">
      <w:pPr>
        <w:pStyle w:val="Heading2"/>
        <w:rPr>
          <w:rFonts w:ascii="Times New Roman" w:hAnsi="Times New Roman" w:cs="Times New Roman"/>
          <w:color w:val="auto"/>
        </w:rPr>
      </w:pPr>
      <w:bookmarkStart w:id="22" w:name="_Toc194490827"/>
      <w:r w:rsidRPr="002A6656">
        <w:rPr>
          <w:rStyle w:val="Strong"/>
          <w:rFonts w:ascii="Times New Roman" w:hAnsi="Times New Roman" w:cs="Times New Roman"/>
          <w:bCs w:val="0"/>
          <w:color w:val="auto"/>
        </w:rPr>
        <w:t>4. Cost-Benefit Analysis (CBA) Highlights</w:t>
      </w:r>
      <w:bookmarkEnd w:id="22"/>
    </w:p>
    <w:p w:rsidR="003C1C2F" w:rsidRPr="002A6656" w:rsidRDefault="003C1C2F" w:rsidP="003C1C2F">
      <w:pPr>
        <w:pStyle w:val="Heading3"/>
        <w:rPr>
          <w:rFonts w:ascii="Times New Roman" w:hAnsi="Times New Roman" w:cs="Times New Roman"/>
          <w:color w:val="auto"/>
        </w:rPr>
      </w:pPr>
      <w:bookmarkStart w:id="23" w:name="_Toc194490828"/>
      <w:r w:rsidRPr="002A6656">
        <w:rPr>
          <w:rStyle w:val="Strong"/>
          <w:rFonts w:ascii="Times New Roman" w:hAnsi="Times New Roman" w:cs="Times New Roman"/>
          <w:bCs w:val="0"/>
          <w:color w:val="auto"/>
        </w:rPr>
        <w:t>MFA Implementation Example</w:t>
      </w:r>
      <w:bookmarkEnd w:id="23"/>
    </w:p>
    <w:p w:rsidR="003C1C2F" w:rsidRDefault="003C1C2F" w:rsidP="003C1C2F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ALE Reduction:</w:t>
      </w:r>
      <w:r>
        <w:t xml:space="preserve"> $10M → $3M (70% improvement).</w:t>
      </w:r>
    </w:p>
    <w:p w:rsidR="003C1C2F" w:rsidRDefault="003C1C2F" w:rsidP="003C1C2F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ACS:</w:t>
      </w:r>
      <w:r>
        <w:t xml:space="preserve"> $25K/year (Duo Security + labor).</w:t>
      </w:r>
    </w:p>
    <w:p w:rsidR="003C1C2F" w:rsidRDefault="003C1C2F" w:rsidP="003C1C2F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CBA:</w:t>
      </w:r>
      <w:r>
        <w:t xml:space="preserve"> </w:t>
      </w:r>
      <w:r>
        <w:rPr>
          <w:rStyle w:val="Strong"/>
          <w:rFonts w:eastAsiaTheme="majorEastAsia"/>
        </w:rPr>
        <w:t>280</w:t>
      </w:r>
      <w:r>
        <w:t xml:space="preserve"> – Every $1 spent saves $280.</w:t>
      </w:r>
    </w:p>
    <w:p w:rsidR="00C34731" w:rsidRPr="00C34731" w:rsidRDefault="00C34731" w:rsidP="003C1C2F">
      <w:pPr>
        <w:rPr>
          <w:rFonts w:ascii="Times New Roman" w:hAnsi="Times New Roman" w:cs="Times New Roman"/>
          <w:sz w:val="24"/>
          <w:szCs w:val="24"/>
        </w:rPr>
      </w:pPr>
      <w:bookmarkStart w:id="24" w:name="_GoBack"/>
      <w:bookmarkEnd w:id="24"/>
    </w:p>
    <w:sectPr w:rsidR="00C34731" w:rsidRPr="00C34731" w:rsidSect="00E468D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FB2" w:rsidRDefault="00332FB2" w:rsidP="00E468D7">
      <w:pPr>
        <w:spacing w:after="0" w:line="240" w:lineRule="auto"/>
      </w:pPr>
      <w:r>
        <w:separator/>
      </w:r>
    </w:p>
  </w:endnote>
  <w:endnote w:type="continuationSeparator" w:id="0">
    <w:p w:rsidR="00332FB2" w:rsidRDefault="00332FB2" w:rsidP="00E4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385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8D7" w:rsidRDefault="00E468D7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07E354" wp14:editId="65A8DE7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D444BB4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separate"/>
    </w:r>
    <w:r w:rsidRPr="00E468D7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FB2" w:rsidRDefault="00332FB2" w:rsidP="00E468D7">
      <w:pPr>
        <w:spacing w:after="0" w:line="240" w:lineRule="auto"/>
      </w:pPr>
      <w:r>
        <w:separator/>
      </w:r>
    </w:p>
  </w:footnote>
  <w:footnote w:type="continuationSeparator" w:id="0">
    <w:p w:rsidR="00332FB2" w:rsidRDefault="00332FB2" w:rsidP="00E46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8D7" w:rsidRDefault="00E468D7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>Risk Assessment Reports</w:t>
    </w:r>
  </w:p>
  <w:p w:rsidR="00E468D7" w:rsidRDefault="00E46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30D3"/>
    <w:multiLevelType w:val="multilevel"/>
    <w:tmpl w:val="30AE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51E86"/>
    <w:multiLevelType w:val="multilevel"/>
    <w:tmpl w:val="72AE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35A6E"/>
    <w:multiLevelType w:val="multilevel"/>
    <w:tmpl w:val="30AE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77654"/>
    <w:multiLevelType w:val="multilevel"/>
    <w:tmpl w:val="AF16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24248"/>
    <w:multiLevelType w:val="multilevel"/>
    <w:tmpl w:val="2832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865D1"/>
    <w:multiLevelType w:val="multilevel"/>
    <w:tmpl w:val="7BD6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564D6"/>
    <w:multiLevelType w:val="multilevel"/>
    <w:tmpl w:val="30AE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357A8"/>
    <w:multiLevelType w:val="multilevel"/>
    <w:tmpl w:val="30AE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64154"/>
    <w:multiLevelType w:val="multilevel"/>
    <w:tmpl w:val="30AE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A4996"/>
    <w:multiLevelType w:val="multilevel"/>
    <w:tmpl w:val="30AE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A71A37"/>
    <w:multiLevelType w:val="multilevel"/>
    <w:tmpl w:val="30AE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3037D3"/>
    <w:multiLevelType w:val="multilevel"/>
    <w:tmpl w:val="30AE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1C5CAB"/>
    <w:multiLevelType w:val="multilevel"/>
    <w:tmpl w:val="86E8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A3F6F"/>
    <w:multiLevelType w:val="multilevel"/>
    <w:tmpl w:val="776C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E05DF2"/>
    <w:multiLevelType w:val="hybridMultilevel"/>
    <w:tmpl w:val="B1242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E76AB"/>
    <w:multiLevelType w:val="multilevel"/>
    <w:tmpl w:val="BC3A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9340FE"/>
    <w:multiLevelType w:val="multilevel"/>
    <w:tmpl w:val="30AE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B1226F"/>
    <w:multiLevelType w:val="multilevel"/>
    <w:tmpl w:val="30AE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B82935"/>
    <w:multiLevelType w:val="multilevel"/>
    <w:tmpl w:val="30AE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B14722"/>
    <w:multiLevelType w:val="multilevel"/>
    <w:tmpl w:val="30AE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D3446B"/>
    <w:multiLevelType w:val="multilevel"/>
    <w:tmpl w:val="20F8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0F3BDB"/>
    <w:multiLevelType w:val="multilevel"/>
    <w:tmpl w:val="1278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E15F62"/>
    <w:multiLevelType w:val="multilevel"/>
    <w:tmpl w:val="EA20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615A22"/>
    <w:multiLevelType w:val="multilevel"/>
    <w:tmpl w:val="30AE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AC623F"/>
    <w:multiLevelType w:val="multilevel"/>
    <w:tmpl w:val="C9CC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DA3145"/>
    <w:multiLevelType w:val="multilevel"/>
    <w:tmpl w:val="30AE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4C241D"/>
    <w:multiLevelType w:val="multilevel"/>
    <w:tmpl w:val="6F4A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1B721E"/>
    <w:multiLevelType w:val="multilevel"/>
    <w:tmpl w:val="7CF67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3C3BA1"/>
    <w:multiLevelType w:val="multilevel"/>
    <w:tmpl w:val="7D8E3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784270"/>
    <w:multiLevelType w:val="multilevel"/>
    <w:tmpl w:val="0AEA2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7"/>
  </w:num>
  <w:num w:numId="3">
    <w:abstractNumId w:val="24"/>
  </w:num>
  <w:num w:numId="4">
    <w:abstractNumId w:val="1"/>
  </w:num>
  <w:num w:numId="5">
    <w:abstractNumId w:val="28"/>
  </w:num>
  <w:num w:numId="6">
    <w:abstractNumId w:val="5"/>
  </w:num>
  <w:num w:numId="7">
    <w:abstractNumId w:val="12"/>
  </w:num>
  <w:num w:numId="8">
    <w:abstractNumId w:val="13"/>
  </w:num>
  <w:num w:numId="9">
    <w:abstractNumId w:val="29"/>
  </w:num>
  <w:num w:numId="10">
    <w:abstractNumId w:val="22"/>
  </w:num>
  <w:num w:numId="11">
    <w:abstractNumId w:val="21"/>
  </w:num>
  <w:num w:numId="12">
    <w:abstractNumId w:val="26"/>
  </w:num>
  <w:num w:numId="13">
    <w:abstractNumId w:val="3"/>
  </w:num>
  <w:num w:numId="14">
    <w:abstractNumId w:val="23"/>
  </w:num>
  <w:num w:numId="15">
    <w:abstractNumId w:val="4"/>
  </w:num>
  <w:num w:numId="16">
    <w:abstractNumId w:val="20"/>
  </w:num>
  <w:num w:numId="17">
    <w:abstractNumId w:val="2"/>
  </w:num>
  <w:num w:numId="18">
    <w:abstractNumId w:val="25"/>
  </w:num>
  <w:num w:numId="19">
    <w:abstractNumId w:val="17"/>
  </w:num>
  <w:num w:numId="20">
    <w:abstractNumId w:val="8"/>
  </w:num>
  <w:num w:numId="21">
    <w:abstractNumId w:val="15"/>
  </w:num>
  <w:num w:numId="22">
    <w:abstractNumId w:val="7"/>
  </w:num>
  <w:num w:numId="23">
    <w:abstractNumId w:val="11"/>
  </w:num>
  <w:num w:numId="24">
    <w:abstractNumId w:val="0"/>
  </w:num>
  <w:num w:numId="25">
    <w:abstractNumId w:val="16"/>
  </w:num>
  <w:num w:numId="26">
    <w:abstractNumId w:val="6"/>
  </w:num>
  <w:num w:numId="27">
    <w:abstractNumId w:val="10"/>
  </w:num>
  <w:num w:numId="28">
    <w:abstractNumId w:val="19"/>
  </w:num>
  <w:num w:numId="29">
    <w:abstractNumId w:val="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31"/>
    <w:rsid w:val="000317C1"/>
    <w:rsid w:val="00255430"/>
    <w:rsid w:val="002A6656"/>
    <w:rsid w:val="00332FB2"/>
    <w:rsid w:val="003C1C2F"/>
    <w:rsid w:val="0081003D"/>
    <w:rsid w:val="008F51AE"/>
    <w:rsid w:val="00C34731"/>
    <w:rsid w:val="00E4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2321"/>
  <w15:chartTrackingRefBased/>
  <w15:docId w15:val="{96EE6A96-9B00-435B-AFB4-B784B13C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731"/>
    <w:pPr>
      <w:suppressAutoHyphens/>
      <w:spacing w:line="254" w:lineRule="auto"/>
    </w:pPr>
    <w:rPr>
      <w:rFonts w:ascii="Calibri" w:eastAsia="Calibri" w:hAnsi="Calibri" w:cs="font385"/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0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731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47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347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731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paragraph" w:styleId="NormalWeb">
    <w:name w:val="Normal (Web)"/>
    <w:basedOn w:val="Normal"/>
    <w:uiPriority w:val="99"/>
    <w:unhideWhenUsed/>
    <w:rsid w:val="00C3473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3473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1AE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8F51A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1003D"/>
    <w:rPr>
      <w:rFonts w:asciiTheme="majorHAnsi" w:eastAsiaTheme="majorEastAsia" w:hAnsiTheme="majorHAnsi" w:cstheme="majorBidi"/>
      <w:i/>
      <w:iCs/>
      <w:color w:val="2E74B5" w:themeColor="accent1" w:themeShade="BF"/>
      <w:kern w:val="2"/>
    </w:rPr>
  </w:style>
  <w:style w:type="character" w:customStyle="1" w:styleId="katex">
    <w:name w:val="katex"/>
    <w:basedOn w:val="DefaultParagraphFont"/>
    <w:rsid w:val="0081003D"/>
  </w:style>
  <w:style w:type="paragraph" w:styleId="TOCHeading">
    <w:name w:val="TOC Heading"/>
    <w:basedOn w:val="Heading1"/>
    <w:next w:val="Normal"/>
    <w:uiPriority w:val="39"/>
    <w:unhideWhenUsed/>
    <w:qFormat/>
    <w:rsid w:val="002A6656"/>
    <w:pPr>
      <w:suppressAutoHyphens w:val="0"/>
      <w:spacing w:line="259" w:lineRule="auto"/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2A66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665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A665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A665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6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8D7"/>
    <w:rPr>
      <w:rFonts w:ascii="Calibri" w:eastAsia="Calibri" w:hAnsi="Calibri" w:cs="font385"/>
      <w:kern w:val="2"/>
    </w:rPr>
  </w:style>
  <w:style w:type="paragraph" w:styleId="Footer">
    <w:name w:val="footer"/>
    <w:basedOn w:val="Normal"/>
    <w:link w:val="FooterChar"/>
    <w:uiPriority w:val="99"/>
    <w:unhideWhenUsed/>
    <w:rsid w:val="00E46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8D7"/>
    <w:rPr>
      <w:rFonts w:ascii="Calibri" w:eastAsia="Calibri" w:hAnsi="Calibri" w:cs="font385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385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A5"/>
    <w:rsid w:val="008907A5"/>
    <w:rsid w:val="008E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B4D13E81E64C7D92ADB6AE977B9053">
    <w:name w:val="F3B4D13E81E64C7D92ADB6AE977B9053"/>
    <w:rsid w:val="008907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1865</Words>
  <Characters>10632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</dc:creator>
  <cp:keywords/>
  <dc:description/>
  <cp:lastModifiedBy>Hafeez</cp:lastModifiedBy>
  <cp:revision>3</cp:revision>
  <dcterms:created xsi:type="dcterms:W3CDTF">2025-04-02T07:08:00Z</dcterms:created>
  <dcterms:modified xsi:type="dcterms:W3CDTF">2025-04-02T07:54:00Z</dcterms:modified>
</cp:coreProperties>
</file>