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28"/>
        </w:rPr>
        <w:t>LTIMINDTREE</w:t>
      </w:r>
    </w:p>
    <w:p>
      <w:pPr>
        <w:spacing w:before="360"/>
        <w:jc w:val="center"/>
      </w:pPr>
      <w:r>
        <w:rPr>
          <w:b/>
          <w:color w:val="005A9E"/>
          <w:sz w:val="60"/>
        </w:rPr>
        <w:t>RFP Analysis &amp; Win Strategy Report</w:t>
      </w:r>
    </w:p>
    <w:p>
      <w:pPr>
        <w:jc w:val="center"/>
      </w:pPr>
      <w:r>
        <w:rPr>
          <w:color w:val="606060"/>
          <w:sz w:val="26"/>
        </w:rPr>
        <w:t>Oracle Fusion Manufacturing — Intelligent RFP Delivery</w:t>
      </w:r>
    </w:p>
    <w:p>
      <w:pPr>
        <w:pBdr>
          <w:bottom w:val="single" w:sz="18" w:space="4" w:color="0078D4"/>
        </w:pBdr>
        <w:spacing w:before="280"/>
      </w:pP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LTIMindtree — RFP Delivery AI Platform</w:t>
            </w:r>
          </w:p>
        </w:tc>
      </w:tr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Source document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State_Mfg_RFP.pdf</w:t>
            </w:r>
          </w:p>
        </w:tc>
      </w:tr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Date generated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30 June 2026, 04:14</w:t>
            </w:r>
          </w:p>
        </w:tc>
      </w:tr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Report reference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20260630_120000_abc123</w:t>
            </w:r>
          </w:p>
        </w:tc>
      </w:tr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Analysis runtime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42.5 seconds</w:t>
            </w:r>
          </w:p>
        </w:tc>
      </w:tr>
      <w:tr>
        <w:tc>
          <w:tcPr>
            <w:tcW w:type="dxa" w:w="3168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76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color w:val="202020"/>
                <w:sz w:val="20"/>
              </w:rPr>
              <w:t>Confidential — For Official Use</w:t>
            </w:r>
          </w:p>
        </w:tc>
      </w:tr>
    </w:tbl>
    <w:p>
      <w:r>
        <w:br w:type="page"/>
      </w:r>
    </w:p>
    <w:p>
      <w:pPr>
        <w:pBdr>
          <w:bottom w:val="single" w:sz="12" w:space="4" w:color="0078D4"/>
        </w:pBdr>
        <w:spacing w:after="120"/>
      </w:pPr>
      <w:r>
        <w:rPr>
          <w:b/>
          <w:color w:val="005A9E"/>
          <w:sz w:val="36"/>
        </w:rPr>
        <w:t>Table of Contents</w:t>
      </w:r>
    </w:p>
    <w:p>
      <w:pPr>
        <w:spacing w:after="80"/>
      </w:pPr>
    </w:p>
    <w:p>
      <w:pPr>
        <w:spacing w:after="120"/>
      </w:pPr>
      <w:r>
        <w:rPr>
          <w:b/>
          <w:color w:val="0078D4"/>
          <w:sz w:val="22"/>
        </w:rPr>
        <w:t xml:space="preserve">1.  </w:t>
      </w:r>
      <w:r>
        <w:rPr>
          <w:color w:val="202020"/>
          <w:sz w:val="22"/>
        </w:rPr>
        <w:t>RFP Understanding &amp; Summary</w:t>
      </w:r>
    </w:p>
    <w:p>
      <w:pPr>
        <w:spacing w:after="120"/>
      </w:pPr>
      <w:r>
        <w:rPr>
          <w:b/>
          <w:color w:val="0078D4"/>
          <w:sz w:val="22"/>
        </w:rPr>
        <w:t xml:space="preserve">2.  </w:t>
      </w:r>
      <w:r>
        <w:rPr>
          <w:color w:val="202020"/>
          <w:sz w:val="22"/>
        </w:rPr>
        <w:t>Oracle Fusion Manufacturing Capability Analysis</w:t>
      </w:r>
    </w:p>
    <w:p>
      <w:pPr>
        <w:spacing w:after="120"/>
      </w:pPr>
      <w:r>
        <w:rPr>
          <w:b/>
          <w:color w:val="0078D4"/>
          <w:sz w:val="22"/>
        </w:rPr>
        <w:t xml:space="preserve">3.  </w:t>
      </w:r>
      <w:r>
        <w:rPr>
          <w:color w:val="202020"/>
          <w:sz w:val="22"/>
        </w:rPr>
        <w:t>Competitor Intelligence</w:t>
      </w:r>
    </w:p>
    <w:p>
      <w:pPr>
        <w:spacing w:after="120"/>
      </w:pPr>
      <w:r>
        <w:rPr>
          <w:b/>
          <w:color w:val="0078D4"/>
          <w:sz w:val="22"/>
        </w:rPr>
        <w:t xml:space="preserve">4.  </w:t>
      </w:r>
      <w:r>
        <w:rPr>
          <w:color w:val="202020"/>
          <w:sz w:val="22"/>
        </w:rPr>
        <w:t>Competitive Battlecards</w:t>
      </w:r>
    </w:p>
    <w:p>
      <w:pPr>
        <w:spacing w:after="120"/>
      </w:pPr>
      <w:r>
        <w:rPr>
          <w:b/>
          <w:color w:val="0078D4"/>
          <w:sz w:val="22"/>
        </w:rPr>
        <w:t xml:space="preserve">5.  </w:t>
      </w:r>
      <w:r>
        <w:rPr>
          <w:color w:val="202020"/>
          <w:sz w:val="22"/>
        </w:rPr>
        <w:t>Positioning &amp; Messaging Narratives</w:t>
      </w:r>
    </w:p>
    <w:p>
      <w:pPr>
        <w:spacing w:after="120"/>
      </w:pPr>
      <w:r>
        <w:rPr>
          <w:b/>
          <w:color w:val="0078D4"/>
          <w:sz w:val="22"/>
        </w:rPr>
        <w:t xml:space="preserve">6.  </w:t>
      </w:r>
      <w:r>
        <w:rPr>
          <w:color w:val="202020"/>
          <w:sz w:val="22"/>
        </w:rPr>
        <w:t>GO / No-Go Assessment</w:t>
      </w:r>
    </w:p>
    <w:p>
      <w:pPr>
        <w:spacing w:after="120"/>
      </w:pPr>
      <w:r>
        <w:rPr>
          <w:b/>
          <w:color w:val="0078D4"/>
          <w:sz w:val="22"/>
        </w:rPr>
        <w:t xml:space="preserve">7.  </w:t>
      </w:r>
      <w:r>
        <w:rPr>
          <w:color w:val="202020"/>
          <w:sz w:val="22"/>
        </w:rPr>
        <w:t>Strategic Recommendation &amp; Outcomes</w:t>
      </w:r>
    </w:p>
    <w:p>
      <w:pPr>
        <w:spacing w:before="280"/>
      </w:pPr>
      <w:r>
        <w:rPr>
          <w:i/>
          <w:color w:val="606060"/>
          <w:sz w:val="19"/>
        </w:rPr>
        <w:t>This report consolidates the complete output of all analysis stages into a single document. Each section below contains the full detail and checklist produced for that stage.</w:t>
      </w: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1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RFP Understanding &amp; Summary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1. RFP Title &amp; Issuing Organization</w:t>
      </w:r>
    </w:p>
    <w:p>
      <w:pPr>
        <w:spacing w:after="120" w:lineRule="auto" w:line="276"/>
      </w:pPr>
      <w:r>
        <w:rPr>
          <w:rFonts w:ascii="Calibri" w:hAnsi="Calibri"/>
          <w:b/>
          <w:i w:val="0"/>
          <w:color w:val="202020"/>
          <w:sz w:val="22"/>
        </w:rPr>
        <w:t>Title:</w:t>
      </w:r>
      <w:r>
        <w:rPr>
          <w:rFonts w:ascii="Calibri" w:hAnsi="Calibri"/>
          <w:b w:val="0"/>
          <w:i w:val="0"/>
          <w:color w:val="202020"/>
          <w:sz w:val="22"/>
        </w:rPr>
        <w:t xml:space="preserve"> Implementation of Oracle Fusion Cloud Manufacturing </w:t>
      </w:r>
      <w:r>
        <w:rPr>
          <w:rFonts w:ascii="Calibri" w:hAnsi="Calibri"/>
          <w:b/>
          <w:i w:val="0"/>
          <w:color w:val="202020"/>
          <w:sz w:val="22"/>
        </w:rPr>
        <w:t>Issuing Organization:</w:t>
      </w:r>
      <w:r>
        <w:rPr>
          <w:rFonts w:ascii="Calibri" w:hAnsi="Calibri"/>
          <w:b w:val="0"/>
          <w:i w:val="0"/>
          <w:color w:val="202020"/>
          <w:sz w:val="22"/>
        </w:rPr>
        <w:t xml:space="preserve"> State Department of Industrial Development</w:t>
      </w: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2. Scope of Work</w:t>
      </w:r>
    </w:p>
    <w:p>
      <w:pPr>
        <w:spacing w:after="120" w:lineRule="auto" w:line="276"/>
      </w:pPr>
      <w:r>
        <w:rPr>
          <w:rFonts w:ascii="Calibri" w:hAnsi="Calibri"/>
          <w:b w:val="0"/>
          <w:i w:val="0"/>
          <w:color w:val="202020"/>
          <w:sz w:val="22"/>
        </w:rPr>
        <w:t>The scope covers end-to-end implementation including: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Discrete and process manufacturing modules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Integration with existing ERP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Data migration from legacy systems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Training and change management</w:t>
      </w: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3. Key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Work order management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Functional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High</w:t>
            </w:r>
          </w:p>
        </w:tc>
      </w:tr>
      <w:tr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Real-time IoT integration</w:t>
            </w:r>
          </w:p>
        </w:tc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Technical</w:t>
            </w:r>
          </w:p>
        </w:tc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High</w:t>
            </w:r>
          </w:p>
        </w:tc>
      </w:tr>
      <w:tr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Statutory compliance reporting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Compliance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Critical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Critical Success Factors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On-time go-live within 9 months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Zero data loss during migration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202020"/>
          <w:sz w:val="22"/>
        </w:rPr>
        <w:t>95% user adoption</w:t>
      </w:r>
      <w:r>
        <w:rPr>
          <w:rFonts w:ascii="Calibri" w:hAnsi="Calibri"/>
          <w:b w:val="0"/>
          <w:i w:val="0"/>
          <w:color w:val="202020"/>
          <w:sz w:val="22"/>
        </w:rPr>
        <w:t xml:space="preserve"> within first quarter</w:t>
      </w: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2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Oracle Fusion Manufacturing Capability Analysis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Oracle Capability Mapping</w:t>
      </w:r>
    </w:p>
    <w:p>
      <w:pPr>
        <w:spacing w:after="120" w:lineRule="auto" w:line="276"/>
      </w:pPr>
      <w:r>
        <w:rPr>
          <w:rFonts w:ascii="Calibri" w:hAnsi="Calibri"/>
          <w:b w:val="0"/>
          <w:i w:val="0"/>
          <w:color w:val="202020"/>
          <w:sz w:val="22"/>
        </w:rPr>
        <w:t xml:space="preserve">Oracle Fusion Manufacturing </w:t>
      </w:r>
      <w:r>
        <w:rPr>
          <w:rFonts w:ascii="Calibri" w:hAnsi="Calibri"/>
          <w:b w:val="0"/>
          <w:i/>
          <w:color w:val="202020"/>
          <w:sz w:val="22"/>
        </w:rPr>
        <w:t>strongly aligns</w:t>
      </w:r>
      <w:r>
        <w:rPr>
          <w:rFonts w:ascii="Calibri" w:hAnsi="Calibri"/>
          <w:b w:val="0"/>
          <w:i w:val="0"/>
          <w:color w:val="202020"/>
          <w:sz w:val="22"/>
        </w:rPr>
        <w:t xml:space="preserve"> with the stated requirements.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202020"/>
          <w:sz w:val="22"/>
        </w:rPr>
        <w:t>Work Definitions</w:t>
      </w:r>
      <w:r>
        <w:rPr>
          <w:rFonts w:ascii="Calibri" w:hAnsi="Calibri"/>
          <w:b w:val="0"/>
          <w:i w:val="0"/>
          <w:color w:val="202020"/>
          <w:sz w:val="22"/>
        </w:rPr>
        <w:t>: Fully supported out of the box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202020"/>
          <w:sz w:val="22"/>
        </w:rPr>
        <w:t>Production Scheduling</w:t>
      </w:r>
      <w:r>
        <w:rPr>
          <w:rFonts w:ascii="Calibri" w:hAnsi="Calibri"/>
          <w:b w:val="0"/>
          <w:i w:val="0"/>
          <w:color w:val="202020"/>
          <w:sz w:val="22"/>
        </w:rPr>
        <w:t>: Supported via Oracle Planning Central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202020"/>
          <w:sz w:val="22"/>
        </w:rPr>
        <w:t>Quality Management</w:t>
      </w:r>
      <w:r>
        <w:rPr>
          <w:rFonts w:ascii="Calibri" w:hAnsi="Calibri"/>
          <w:b w:val="0"/>
          <w:i w:val="0"/>
          <w:color w:val="202020"/>
          <w:sz w:val="22"/>
        </w:rPr>
        <w:t>: Native integration available</w:t>
      </w:r>
    </w:p>
    <w:p>
      <w:pPr>
        <w:keepNext/>
        <w:spacing w:before="120" w:after="80"/>
      </w:pPr>
      <w:r>
        <w:rPr>
          <w:rFonts w:ascii="Calibri" w:hAnsi="Calibri"/>
          <w:b/>
          <w:color w:val="0078D4"/>
          <w:sz w:val="25"/>
        </w:rPr>
        <w:t>Fit Assessment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Fit</w:t>
            </w:r>
          </w:p>
        </w:tc>
        <w:tc>
          <w:tcPr>
            <w:tcW w:type="dxa" w:w="312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Discrete Mfg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High</w:t>
            </w:r>
          </w:p>
        </w:tc>
        <w:tc>
          <w:tcPr>
            <w:tcW w:type="dxa" w:w="312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None</w:t>
            </w:r>
          </w:p>
        </w:tc>
      </w:tr>
      <w:tr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Process Mfg</w:t>
            </w:r>
          </w:p>
        </w:tc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Medium</w:t>
            </w:r>
          </w:p>
        </w:tc>
        <w:tc>
          <w:tcPr>
            <w:tcW w:type="dxa" w:w="312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Minor configuration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3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Competitor Intelligence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Competitor Landscape</w:t>
      </w:r>
    </w:p>
    <w:p>
      <w:pPr>
        <w:spacing w:after="120" w:lineRule="auto" w:line="276"/>
      </w:pPr>
      <w:r>
        <w:rPr>
          <w:rFonts w:ascii="Calibri" w:hAnsi="Calibri"/>
          <w:b w:val="0"/>
          <w:i w:val="0"/>
          <w:color w:val="202020"/>
          <w:sz w:val="22"/>
        </w:rPr>
        <w:t>Key competitors include SAP S/4HANA and Microsoft Dynamics.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SAP: Strong in process industries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Microsoft: Competitive pricing</w:t>
      </w: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4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Competitive Battlecards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Battlecard: Oracle vs SAP</w:t>
      </w:r>
    </w:p>
    <w:p>
      <w:pPr>
        <w:spacing w:after="120" w:lineRule="auto" w:line="276"/>
      </w:pPr>
      <w:r>
        <w:rPr>
          <w:rFonts w:ascii="Calibri" w:hAnsi="Calibri"/>
          <w:b/>
          <w:i w:val="0"/>
          <w:color w:val="202020"/>
          <w:sz w:val="22"/>
        </w:rPr>
        <w:t>Our Strengths: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Faster implementation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Lower TCO</w:t>
      </w:r>
    </w:p>
    <w:p>
      <w:pPr>
        <w:spacing w:after="120" w:lineRule="auto" w:line="276"/>
      </w:pPr>
      <w:r>
        <w:rPr>
          <w:rFonts w:ascii="Calibri" w:hAnsi="Calibri"/>
          <w:b/>
          <w:i w:val="0"/>
          <w:color w:val="202020"/>
          <w:sz w:val="22"/>
        </w:rPr>
        <w:t>Counter their claims:</w:t>
      </w:r>
      <w:r>
        <w:rPr>
          <w:rFonts w:ascii="Calibri" w:hAnsi="Calibri"/>
          <w:b w:val="0"/>
          <w:i w:val="0"/>
          <w:color w:val="202020"/>
          <w:sz w:val="22"/>
        </w:rPr>
        <w:t xml:space="preserve"> SAP positions on scale; we counter with agility.</w:t>
      </w: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5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Positioning &amp; Messaging Narratives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Positioning Narrative</w:t>
      </w:r>
    </w:p>
    <w:p>
      <w:pPr>
        <w:spacing w:after="120" w:lineRule="auto" w:line="276"/>
      </w:pPr>
      <w:r>
        <w:rPr>
          <w:rFonts w:ascii="Calibri" w:hAnsi="Calibri"/>
          <w:b w:val="0"/>
          <w:i w:val="0"/>
          <w:color w:val="202020"/>
          <w:sz w:val="22"/>
        </w:rPr>
        <w:t xml:space="preserve">We position Oracle Fusion as the </w:t>
      </w:r>
      <w:r>
        <w:rPr>
          <w:rFonts w:ascii="Calibri" w:hAnsi="Calibri"/>
          <w:b w:val="0"/>
          <w:i/>
          <w:color w:val="202020"/>
          <w:sz w:val="22"/>
        </w:rPr>
        <w:t>modern, cloud-native</w:t>
      </w:r>
      <w:r>
        <w:rPr>
          <w:rFonts w:ascii="Calibri" w:hAnsi="Calibri"/>
          <w:b w:val="0"/>
          <w:i w:val="0"/>
          <w:color w:val="202020"/>
          <w:sz w:val="22"/>
        </w:rPr>
        <w:t xml:space="preserve"> manufacturing backbone for the digital factory.</w:t>
      </w: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6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GO / No-Go Assessment</w:t>
      </w:r>
    </w:p>
    <w:p>
      <w:pPr>
        <w:spacing w:after="40"/>
      </w:pPr>
    </w:p>
    <w:p>
      <w:pPr>
        <w:spacing w:after="120" w:lineRule="auto" w:line="276"/>
      </w:pPr>
      <w:r>
        <w:rPr>
          <w:rFonts w:ascii="Calibri" w:hAnsi="Calibri"/>
          <w:b/>
          <w:i w:val="0"/>
          <w:color w:val="202020"/>
          <w:sz w:val="22"/>
        </w:rPr>
        <w:t>Recommendation: 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4680"/>
            <w:shd w:val="clear" w:color="auto" w:fill="005A9E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Strategic fit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9/10</w:t>
            </w:r>
          </w:p>
        </w:tc>
      </w:tr>
      <w:tr>
        <w:tc>
          <w:tcPr>
            <w:tcW w:type="dxa" w:w="468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Win probability</w:t>
            </w:r>
          </w:p>
        </w:tc>
        <w:tc>
          <w:tcPr>
            <w:tcW w:type="dxa" w:w="4680"/>
            <w:shd w:val="clear" w:color="auto" w:fill="EAF2FB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7/10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b/>
          <w:color w:val="0078D4"/>
          <w:sz w:val="20"/>
        </w:rPr>
        <w:t>Section 7</w:t>
      </w:r>
    </w:p>
    <w:p>
      <w:pPr>
        <w:pBdr>
          <w:bottom w:val="single" w:sz="14" w:space="4" w:color="0078D4"/>
        </w:pBdr>
        <w:spacing w:after="160"/>
      </w:pPr>
      <w:r>
        <w:rPr>
          <w:b/>
          <w:color w:val="005A9E"/>
          <w:sz w:val="36"/>
        </w:rPr>
        <w:t>Strategic Recommendation &amp; Outcomes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005A9E"/>
          <w:sz w:val="28"/>
        </w:rPr>
        <w:t>Strategic Recommendation</w:t>
      </w:r>
    </w:p>
    <w:p>
      <w:pPr>
        <w:spacing w:after="120" w:lineRule="auto" w:line="276"/>
      </w:pPr>
      <w:r>
        <w:rPr>
          <w:rFonts w:ascii="Calibri" w:hAnsi="Calibri"/>
          <w:b w:val="0"/>
          <w:i w:val="0"/>
          <w:color w:val="202020"/>
          <w:sz w:val="22"/>
        </w:rPr>
        <w:t>Proceed with the bid. Emphasize: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Proven manufacturing references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Local delivery presence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02020"/>
          <w:sz w:val="22"/>
        </w:rPr>
        <w:t>Phased rollout to de-risk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06060"/>
        <w:sz w:val="16"/>
      </w:rPr>
      <w:t xml:space="preserve">Page </w:t>
    </w:r>
    <w:r>
      <w:rPr>
        <w:color w:val="606060"/>
        <w:sz w:val="16"/>
      </w:rPr>
      <w:fldChar w:fldCharType="begin"/>
      <w:instrText xml:space="preserve">PAGE</w:instrText>
      <w:fldChar w:fldCharType="end"/>
    </w:r>
    <w:r>
      <w:rPr>
        <w:color w:val="606060"/>
        <w:sz w:val="16"/>
      </w:rPr>
      <w:t xml:space="preserve"> of </w:t>
    </w:r>
    <w:r>
      <w:rPr>
        <w:color w:val="606060"/>
        <w:sz w:val="16"/>
      </w:rPr>
      <w:fldChar w:fldCharType="begin"/>
      <w:instrText xml:space="preserve">NUMPAGES</w:instrText>
      <w:fldChar w:fldCharType="end"/>
    </w:r>
    <w:r>
      <w:rPr>
        <w:color w:val="606060"/>
        <w:sz w:val="16"/>
      </w:rPr>
      <w:t xml:space="preserve">    |    Run ID: 20260630_120000_abc123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CCCCC"/>
      </w:pBdr>
      <w:jc w:val="right"/>
    </w:pPr>
    <w:r/>
    <w:r>
      <w:rPr>
        <w:color w:val="606060"/>
        <w:sz w:val="16"/>
      </w:rPr>
      <w:t>RFP Analysis &amp; Win Strategy Report  •  LTIMindtree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