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360"/>
      </w:pPr>
      <w:r>
        <w:rPr>
          <w:b/>
          <w:color w:val="0D9488"/>
          <w:sz w:val="22"/>
        </w:rPr>
        <w:t>ABCD EDU HUB — ENTERPRISE PRODUCT &amp; CAPABILITIES DOSSIER</w:t>
      </w:r>
    </w:p>
    <w:p>
      <w:pPr>
        <w:spacing w:after="280" w:line="264" w:lineRule="auto"/>
      </w:pPr>
      <w:r>
        <w:rPr>
          <w:b/>
          <w:color w:val="065F46"/>
          <w:sz w:val="64"/>
        </w:rPr>
        <w:t>Complete Platform Features</w:t>
        <w:br/>
        <w:t>&amp; Capabilities Catalog</w:t>
      </w:r>
    </w:p>
    <w:p>
      <w:pPr>
        <w:spacing w:after="800"/>
      </w:pPr>
      <w:r>
        <w:rPr>
          <w:color w:val="64748B"/>
          <w:sz w:val="28"/>
        </w:rPr>
        <w:t>The Technical &amp; Operational Blueprint for Enterprise Education Hubs, Multi-Branch Franchise Networks, and Accredited National Boards</w:t>
      </w:r>
    </w:p>
    <w:tbl>
      <w:tblPr>
        <w:tblW w:type="auto" w:w="0"/>
        <w:jc w:val="center"/>
        <w:tblLook w:firstColumn="1" w:firstRow="1" w:lastColumn="0" w:lastRow="0" w:noHBand="0" w:noVBand="1" w:val="04A0"/>
      </w:tblPr>
      <w:tblGrid>
        <w:gridCol w:w="9360"/>
      </w:tblGrid>
      <w:tr>
        <w:tc>
          <w:tcPr>
            <w:tcW w:type="dxa" w:w="9360"/>
            <w:shd w:val="clear" w:color="auto" w:fill="F0FDF4"/>
            <w:tcMar>
              <w:top w:w="160" w:type="dxa"/>
              <w:bottom w:w="160" w:type="dxa"/>
              <w:left w:w="180" w:type="dxa"/>
              <w:right w:w="180" w:type="dxa"/>
            </w:tcMar>
            <w:tcBorders>
              <w:left w:val="single" w:sz="24" w:space="0" w:color="065F46"/>
              <w:top w:val="none"/>
              <w:bottom w:val="none"/>
              <w:right w:val="none"/>
            </w:tcBorders>
          </w:tcPr>
          <w:p>
            <w:pPr>
              <w:spacing w:after="160"/>
            </w:pPr>
            <w:r>
              <w:rPr>
                <w:b/>
                <w:color w:val="065F46"/>
                <w:sz w:val="20"/>
              </w:rPr>
              <w:t>EXECUTIVE PLATFORM HIGHLIGHTS AT A GLANCE:</w:t>
            </w:r>
          </w:p>
          <w:p>
            <w:pPr>
              <w:spacing w:after="60" w:before="20"/>
            </w:pPr>
            <w:r>
              <w:rPr>
                <w:b/>
                <w:color w:val="0D9488"/>
              </w:rPr>
              <w:t xml:space="preserve">✔ </w:t>
            </w:r>
            <w:r>
              <w:rPr>
                <w:color w:val="1E293B"/>
                <w:sz w:val="19"/>
              </w:rPr>
              <w:t>Multi-Tenant Dual-Routing Engine (Seamless Subdomain &amp; Subdirectory Modes)</w:t>
            </w:r>
          </w:p>
          <w:p>
            <w:pPr>
              <w:spacing w:after="60" w:before="20"/>
            </w:pPr>
            <w:r>
              <w:rPr>
                <w:b/>
                <w:color w:val="0D9488"/>
              </w:rPr>
              <w:t xml:space="preserve">✔ </w:t>
            </w:r>
            <w:r>
              <w:rPr>
                <w:color w:val="1E293B"/>
                <w:sz w:val="19"/>
              </w:rPr>
              <w:t>Hardware-Level Biometric Passkeys (Face ID, Fingerprint, Windows Hello, Touch ID)</w:t>
            </w:r>
          </w:p>
          <w:p>
            <w:pPr>
              <w:spacing w:after="60" w:before="20"/>
            </w:pPr>
            <w:r>
              <w:rPr>
                <w:b/>
                <w:color w:val="0D9488"/>
              </w:rPr>
              <w:t xml:space="preserve">✔ </w:t>
            </w:r>
            <w:r>
              <w:rPr>
                <w:color w:val="1E293B"/>
                <w:sz w:val="19"/>
              </w:rPr>
              <w:t>Central Board Command Center: Franchise Licensing, Impersonation &amp; Audit</w:t>
            </w:r>
          </w:p>
          <w:p>
            <w:pPr>
              <w:spacing w:after="60" w:before="20"/>
            </w:pPr>
            <w:r>
              <w:rPr>
                <w:b/>
                <w:color w:val="0D9488"/>
              </w:rPr>
              <w:t xml:space="preserve">✔ </w:t>
            </w:r>
            <w:r>
              <w:rPr>
                <w:color w:val="1E293B"/>
                <w:sz w:val="19"/>
              </w:rPr>
              <w:t>Dynamic Course Pricing &amp; Multi-Tier Installment (EMI) Billing Engine</w:t>
            </w:r>
          </w:p>
          <w:p>
            <w:pPr>
              <w:spacing w:after="60" w:before="20"/>
            </w:pPr>
            <w:r>
              <w:rPr>
                <w:b/>
                <w:color w:val="0D9488"/>
              </w:rPr>
              <w:t xml:space="preserve">✔ </w:t>
            </w:r>
            <w:r>
              <w:rPr>
                <w:color w:val="1E293B"/>
                <w:sz w:val="19"/>
              </w:rPr>
              <w:t>Customizable Online Admission Form Builder with Dynamic Custom Questions</w:t>
            </w:r>
          </w:p>
          <w:p>
            <w:pPr>
              <w:spacing w:after="60" w:before="20"/>
            </w:pPr>
            <w:r>
              <w:rPr>
                <w:b/>
                <w:color w:val="0D9488"/>
              </w:rPr>
              <w:t xml:space="preserve">✔ </w:t>
            </w:r>
            <w:r>
              <w:rPr>
                <w:color w:val="1E293B"/>
                <w:sz w:val="19"/>
              </w:rPr>
              <w:t>One-Click Student Enrollment &amp; Automated Standardized Accreditation Numbering</w:t>
            </w:r>
          </w:p>
          <w:p>
            <w:pPr>
              <w:spacing w:after="60" w:before="20"/>
            </w:pPr>
            <w:r>
              <w:rPr>
                <w:b/>
                <w:color w:val="0D9488"/>
              </w:rPr>
              <w:t xml:space="preserve">✔ </w:t>
            </w:r>
            <w:r>
              <w:rPr>
                <w:color w:val="1E293B"/>
                <w:sz w:val="19"/>
              </w:rPr>
              <w:t>Fees Management: Cash Collections, Print Receipts &amp; Online Student UPI Slip Audits</w:t>
            </w:r>
          </w:p>
          <w:p>
            <w:pPr>
              <w:spacing w:after="60" w:before="20"/>
            </w:pPr>
            <w:r>
              <w:rPr>
                <w:b/>
                <w:color w:val="0D9488"/>
              </w:rPr>
              <w:t xml:space="preserve">✔ </w:t>
            </w:r>
            <w:r>
              <w:rPr>
                <w:color w:val="1E293B"/>
                <w:sz w:val="19"/>
              </w:rPr>
              <w:t>Classroom Attendance Register with 4-State Tracking &amp; Monthly Percentage Reports</w:t>
            </w:r>
          </w:p>
          <w:p>
            <w:pPr>
              <w:spacing w:after="60" w:before="20"/>
            </w:pPr>
            <w:r>
              <w:rPr>
                <w:b/>
                <w:color w:val="0D9488"/>
              </w:rPr>
              <w:t xml:space="preserve">✔ </w:t>
            </w:r>
            <w:r>
              <w:rPr>
                <w:color w:val="1E293B"/>
                <w:sz w:val="19"/>
              </w:rPr>
              <w:t>Visual Document Designer for PVC ID Cards, Accredited Certificates &amp; Marksheets</w:t>
            </w:r>
          </w:p>
          <w:p>
            <w:pPr>
              <w:spacing w:after="60" w:before="20"/>
            </w:pPr>
            <w:r>
              <w:rPr>
                <w:b/>
                <w:color w:val="0D9488"/>
              </w:rPr>
              <w:t xml:space="preserve">✔ </w:t>
            </w:r>
            <w:r>
              <w:rPr>
                <w:color w:val="1E293B"/>
                <w:sz w:val="19"/>
              </w:rPr>
              <w:t>Public Instant Verification Engine with Tamper-Proof Anti-Counterfeit QR Codes</w:t>
            </w:r>
          </w:p>
          <w:p>
            <w:pPr>
              <w:spacing w:after="60" w:before="20"/>
            </w:pPr>
            <w:r>
              <w:rPr>
                <w:b/>
                <w:color w:val="0D9488"/>
              </w:rPr>
              <w:t xml:space="preserve">✔ </w:t>
            </w:r>
            <w:r>
              <w:rPr>
                <w:color w:val="1E293B"/>
                <w:sz w:val="19"/>
              </w:rPr>
              <w:t>Dedicated Mobile-First Student Portal with Syllabus &amp; Financial Ledgers</w:t>
            </w:r>
          </w:p>
          <w:p>
            <w:pPr>
              <w:spacing w:after="60" w:before="20"/>
            </w:pPr>
            <w:r>
              <w:rPr>
                <w:b/>
                <w:color w:val="0D9488"/>
              </w:rPr>
              <w:t xml:space="preserve">✔ </w:t>
            </w:r>
            <w:r>
              <w:rPr>
                <w:color w:val="1E293B"/>
                <w:sz w:val="19"/>
              </w:rPr>
              <w:t>Pre-Paid Internal Token Economy for Central Service Automation</w:t>
            </w:r>
          </w:p>
        </w:tc>
      </w:tr>
    </w:tbl>
    <w:p>
      <w:pPr>
        <w:spacing w:after="800"/>
      </w:pPr>
    </w:p>
    <w:tbl>
      <w:tblPr>
        <w:tblW w:type="auto" w:w="0"/>
        <w:jc w:val="center"/>
        <w:tblLook w:firstColumn="1" w:firstRow="1" w:lastColumn="0" w:lastRow="0" w:noHBand="0" w:noVBand="1" w:val="04A0"/>
      </w:tblPr>
      <w:tblGrid>
        <w:gridCol w:w="4680"/>
        <w:gridCol w:w="4680"/>
      </w:tblGrid>
      <w:tr>
        <w:tc>
          <w:tcPr>
            <w:tcW w:type="dxa" w:w="4680"/>
          </w:tcPr>
          <w:p>
            <w:r>
              <w:rPr>
                <w:sz w:val="18"/>
              </w:rPr>
              <w:t>Edition: Client Presentation &amp; RFP Edition</w:t>
            </w:r>
          </w:p>
        </w:tc>
        <w:tc>
          <w:tcPr>
            <w:tcW w:type="dxa" w:w="4680"/>
          </w:tcPr>
          <w:p>
            <w:r>
              <w:rPr>
                <w:sz w:val="18"/>
              </w:rPr>
              <w:t>Platform Release: Academic Year 2026-2027</w:t>
            </w:r>
          </w:p>
        </w:tc>
      </w:tr>
      <w:tr>
        <w:tc>
          <w:tcPr>
            <w:tcW w:type="dxa" w:w="4680"/>
          </w:tcPr>
          <w:p>
            <w:r>
              <w:rPr>
                <w:sz w:val="18"/>
              </w:rPr>
              <w:t>Target Audience: Investors, Boards &amp; Franchisees</w:t>
            </w:r>
          </w:p>
        </w:tc>
        <w:tc>
          <w:tcPr>
            <w:tcW w:type="dxa" w:w="4680"/>
          </w:tcPr>
          <w:p>
            <w:r>
              <w:rPr>
                <w:sz w:val="18"/>
              </w:rPr>
              <w:t>Security Rating: Enterprise Grade (Zero-Trust)</w:t>
            </w:r>
          </w:p>
        </w:tc>
      </w:tr>
    </w:tbl>
    <w:p>
      <w:r>
        <w:br w:type="page"/>
      </w:r>
    </w:p>
    <w:p>
      <w:pPr>
        <w:spacing w:before="360" w:after="160"/>
      </w:pPr>
      <w:r>
        <w:rPr>
          <w:b/>
          <w:color w:val="065F46"/>
          <w:sz w:val="40"/>
        </w:rPr>
        <w:t>ABCD Edu Hub — Complete Platform Features &amp; Capabilities Catalog</w:t>
      </w:r>
    </w:p>
    <w:p>
      <w:pPr>
        <w:spacing w:before="320" w:after="120"/>
      </w:pPr>
      <w:r>
        <w:rPr>
          <w:b/>
          <w:color w:val="065F46"/>
          <w:sz w:val="32"/>
        </w:rPr>
        <w:t>Chapter 1: Executive Overview &amp; Multi-Tenant Architecture</w:t>
      </w:r>
    </w:p>
    <w:p>
      <w:pPr>
        <w:spacing w:before="240" w:after="80"/>
      </w:pPr>
      <w:r>
        <w:rPr>
          <w:b/>
          <w:color w:val="0D9488"/>
          <w:sz w:val="26"/>
        </w:rPr>
        <w:t>1.1 Product Mission &amp; Executive Summary</w:t>
      </w:r>
    </w:p>
    <w:p>
      <w:pPr>
        <w:spacing w:after="120" w:before="0" w:line="276" w:lineRule="auto"/>
      </w:pPr>
      <w:r>
        <w:rPr>
          <w:b/>
          <w:color w:val="065F46"/>
        </w:rPr>
        <w:t>ABCD Edu Hub (RGYCSP Platform)</w:t>
      </w:r>
      <w:r>
        <w:rPr>
          <w:color w:val="1E293B"/>
        </w:rPr>
        <w:t xml:space="preserve"> is an enterprise-grade, cloud-native educational management and multi-tenant franchise ecosystem. It is engineered specifically for educational boards, national vocational councils, coaching networks, computer academies, and multi-branch university systems.</w:t>
      </w:r>
    </w:p>
    <w:p>
      <w:pPr>
        <w:spacing w:after="120" w:before="0" w:line="276" w:lineRule="auto"/>
      </w:pPr>
      <w:r>
        <w:rPr>
          <w:color w:val="1E293B"/>
        </w:rPr>
        <w:t>The platform unifies three traditionally fragmented software domains into one seamless ecosystem:</w:t>
      </w:r>
    </w:p>
    <w:p>
      <w:pPr>
        <w:pStyle w:val="ListNumber"/>
        <w:spacing w:after="60" w:before="20" w:line="276" w:lineRule="auto"/>
      </w:pPr>
      <w:r>
        <w:rPr>
          <w:b/>
          <w:color w:val="065F46"/>
        </w:rPr>
        <w:t>Central Board / Super Admin Command Center</w:t>
      </w:r>
      <w:r>
        <w:rPr>
          <w:color w:val="1E293B"/>
        </w:rPr>
        <w:t>: Centralized franchise licensing, accredited curriculum governance, student registration card verification, and a tokenized service economy.</w:t>
      </w:r>
    </w:p>
    <w:p>
      <w:pPr>
        <w:pStyle w:val="ListNumber"/>
        <w:spacing w:after="60" w:before="20" w:line="276" w:lineRule="auto"/>
      </w:pPr>
      <w:r>
        <w:rPr>
          <w:b/>
          <w:color w:val="065F46"/>
        </w:rPr>
        <w:t>Autonomous Franchise / Study Center Portals</w:t>
      </w:r>
      <w:r>
        <w:rPr>
          <w:color w:val="1E293B"/>
        </w:rPr>
        <w:t>: Individual school/branch administration including public website customization, flexible course fee pricing, dynamic admission forms, fee collection ledgers, daily attendance registers, and staff management.</w:t>
      </w:r>
    </w:p>
    <w:p>
      <w:pPr>
        <w:pStyle w:val="ListNumber"/>
        <w:spacing w:after="60" w:before="20" w:line="276" w:lineRule="auto"/>
      </w:pPr>
      <w:r>
        <w:rPr>
          <w:b/>
          <w:color w:val="065F46"/>
        </w:rPr>
        <w:t>Dedicated Student &amp; Learner Portals</w:t>
      </w:r>
      <w:r>
        <w:rPr>
          <w:color w:val="1E293B"/>
        </w:rPr>
        <w:t>: Personal digital student workspaces for real-time syllabus tracking, attendance percentages, fee installment payments, PVC ID cards, and tamper-proof accredited certificates.</w:t>
      </w:r>
    </w:p>
    <w:p>
      <w:pPr>
        <w:spacing w:after="120"/>
      </w:pPr>
    </w:p>
    <w:p>
      <w:pPr>
        <w:spacing w:before="240" w:after="80"/>
      </w:pPr>
      <w:r>
        <w:rPr>
          <w:b/>
          <w:color w:val="0D9488"/>
          <w:sz w:val="26"/>
        </w:rPr>
        <w:t>1.2 Enterprise Multi-Tenant Architecture</w:t>
      </w:r>
    </w:p>
    <w:p>
      <w:pPr>
        <w:spacing w:after="120" w:before="0" w:line="276" w:lineRule="auto"/>
      </w:pPr>
      <w:r>
        <w:rPr>
          <w:color w:val="1E293B"/>
        </w:rPr>
        <w:t>The platform is built on modern multi-tenancy principles ensuring complete isolation, sovereign branding, and unmatched scalability.</w:t>
      </w:r>
    </w:p>
    <w:p>
      <w:pPr>
        <w:spacing w:before="200" w:after="60"/>
      </w:pPr>
      <w:r>
        <w:rPr>
          <w:b/>
          <w:color w:val="0F172A"/>
          <w:sz w:val="22"/>
        </w:rPr>
        <w:t>1. Dual-Routing Architecture (Industry First)</w:t>
      </w:r>
    </w:p>
    <w:p>
      <w:pPr>
        <w:spacing w:after="120" w:before="0" w:line="276" w:lineRule="auto"/>
      </w:pPr>
      <w:r>
        <w:rPr>
          <w:color w:val="1E293B"/>
        </w:rPr>
        <w:t>Every franchise center operates simultaneously across two concurrent URL routing topologies:</w:t>
      </w:r>
    </w:p>
    <w:p>
      <w:pPr>
        <w:pStyle w:val="ListBullet"/>
        <w:spacing w:after="60" w:before="20" w:line="276" w:lineRule="auto"/>
      </w:pPr>
      <w:r>
        <w:rPr>
          <w:b/>
          <w:color w:val="065F46"/>
        </w:rPr>
        <w:t>Subdomain Mode</w:t>
      </w:r>
      <w:r>
        <w:rPr>
          <w:color w:val="1E293B"/>
        </w:rPr>
        <w:t xml:space="preserve">: </w:t>
      </w:r>
      <w:r>
        <w:rPr>
          <w:rFonts w:ascii="Consolas" w:hAnsi="Consolas"/>
          <w:color w:val="0D9488"/>
          <w:sz w:val="19"/>
        </w:rPr>
        <w:t>https://{center-code}.abcdeduhub.com</w:t>
      </w:r>
    </w:p>
    <w:p>
      <w:pPr>
        <w:spacing w:after="120" w:before="0" w:line="276" w:lineRule="auto"/>
      </w:pPr>
      <w:r>
        <w:rPr>
          <w:i/>
        </w:rPr>
        <w:t>(Example: `https://wb-002.abcdeduhub.com`)</w:t>
      </w:r>
    </w:p>
    <w:p>
      <w:pPr>
        <w:pStyle w:val="ListBullet"/>
        <w:spacing w:after="60" w:before="20" w:line="276" w:lineRule="auto"/>
      </w:pPr>
      <w:r>
        <w:rPr>
          <w:b/>
          <w:color w:val="065F46"/>
        </w:rPr>
        <w:t>Subdirectory Mode</w:t>
      </w:r>
      <w:r>
        <w:rPr>
          <w:color w:val="1E293B"/>
        </w:rPr>
        <w:t xml:space="preserve">: </w:t>
      </w:r>
      <w:r>
        <w:rPr>
          <w:rFonts w:ascii="Consolas" w:hAnsi="Consolas"/>
          <w:color w:val="0D9488"/>
          <w:sz w:val="19"/>
        </w:rPr>
        <w:t>https://abcdeduhub.com/app/{center-code}</w:t>
      </w:r>
    </w:p>
    <w:p>
      <w:pPr>
        <w:spacing w:after="120" w:before="0" w:line="276" w:lineRule="auto"/>
      </w:pPr>
      <w:r>
        <w:rPr>
          <w:i/>
        </w:rPr>
        <w:t>(Example: `https://abcdeduhub.com/app/wb-002`)</w:t>
      </w:r>
    </w:p>
    <w:p>
      <w:pPr>
        <w:pStyle w:val="ListBullet"/>
        <w:spacing w:after="60" w:before="20" w:line="276" w:lineRule="auto"/>
      </w:pPr>
      <w:r>
        <w:rPr>
          <w:b/>
          <w:color w:val="065F46"/>
        </w:rPr>
        <w:t>Next.js Edge Proxy</w:t>
      </w:r>
      <w:r>
        <w:rPr>
          <w:color w:val="1E293B"/>
        </w:rPr>
        <w:t>: Intelligent proxy routing detects headers and renders the center's isolated context without page reloads or domain conflicts.</w:t>
      </w:r>
    </w:p>
    <w:p>
      <w:pPr>
        <w:spacing w:before="200" w:after="60"/>
      </w:pPr>
      <w:r>
        <w:rPr>
          <w:b/>
          <w:color w:val="0F172A"/>
          <w:sz w:val="22"/>
        </w:rPr>
        <w:t>2. Strict Data Isolation &amp; Sovereign Tenants</w:t>
      </w:r>
    </w:p>
    <w:p>
      <w:pPr>
        <w:pStyle w:val="ListBullet"/>
        <w:spacing w:after="60" w:before="20" w:line="276" w:lineRule="auto"/>
      </w:pPr>
      <w:r>
        <w:rPr>
          <w:color w:val="1E293B"/>
        </w:rPr>
        <w:t>Every database query enforces strict multi-tenant isolation through workspace keys.</w:t>
      </w:r>
    </w:p>
    <w:p>
      <w:pPr>
        <w:pStyle w:val="ListBullet"/>
        <w:spacing w:after="60" w:before="20" w:line="276" w:lineRule="auto"/>
      </w:pPr>
      <w:r>
        <w:rPr>
          <w:color w:val="1E293B"/>
        </w:rPr>
        <w:t>Franchise centers cannot view, modify, or access records belonging to peer centers.</w:t>
      </w:r>
    </w:p>
    <w:p>
      <w:pPr>
        <w:pStyle w:val="ListBullet"/>
        <w:spacing w:after="60" w:before="20" w:line="276" w:lineRule="auto"/>
      </w:pPr>
      <w:r>
        <w:rPr>
          <w:color w:val="1E293B"/>
        </w:rPr>
        <w:t>The Super Administrator retains global, read-write oversight across all network data.</w:t>
      </w:r>
    </w:p>
    <w:p>
      <w:pPr>
        <w:spacing w:before="200" w:after="60"/>
      </w:pPr>
      <w:r>
        <w:rPr>
          <w:b/>
          <w:color w:val="0F172A"/>
          <w:sz w:val="22"/>
        </w:rPr>
        <w:t>3. Dynamic Center Branding Engine</w:t>
      </w:r>
    </w:p>
    <w:p>
      <w:pPr>
        <w:spacing w:after="120" w:before="0" w:line="276" w:lineRule="auto"/>
      </w:pPr>
      <w:r>
        <w:rPr>
          <w:color w:val="1E293B"/>
        </w:rPr>
        <w:t>Every franchise center can completely transform their public digital appearance in real time:</w:t>
      </w:r>
    </w:p>
    <w:p>
      <w:pPr>
        <w:pStyle w:val="ListBullet"/>
        <w:spacing w:after="60" w:before="20" w:line="276" w:lineRule="auto"/>
      </w:pPr>
      <w:r>
        <w:rPr>
          <w:color w:val="1E293B"/>
        </w:rPr>
        <w:t>Custom Institute Logo, Favicon, and Certificate Watermark.</w:t>
      </w:r>
    </w:p>
    <w:p>
      <w:pPr>
        <w:pStyle w:val="ListBullet"/>
        <w:spacing w:after="60" w:before="20" w:line="276" w:lineRule="auto"/>
      </w:pPr>
      <w:r>
        <w:rPr>
          <w:color w:val="1E293B"/>
        </w:rPr>
        <w:t>Dynamic Color Palette (Primary brand color, Secondary accents, Dark/Light modes).</w:t>
      </w:r>
    </w:p>
    <w:p>
      <w:pPr>
        <w:pStyle w:val="ListBullet"/>
        <w:spacing w:after="60" w:before="20" w:line="276" w:lineRule="auto"/>
      </w:pPr>
      <w:r>
        <w:rPr>
          <w:color w:val="1E293B"/>
        </w:rPr>
        <w:t>Dynamic Google Fonts typography mapping.</w:t>
      </w:r>
    </w:p>
    <w:p>
      <w:pPr>
        <w:pStyle w:val="ListBullet"/>
        <w:spacing w:after="60" w:before="20" w:line="276" w:lineRule="auto"/>
      </w:pPr>
      <w:r>
        <w:rPr>
          <w:color w:val="1E293B"/>
        </w:rPr>
        <w:t>Custom Hero Banners, Sliders, and Promotional Call-to-Actions.</w:t>
      </w:r>
    </w:p>
    <w:p>
      <w:pPr>
        <w:spacing w:after="120"/>
      </w:pPr>
    </w:p>
    <w:p>
      <w:pPr>
        <w:spacing w:before="240" w:after="80"/>
      </w:pPr>
      <w:r>
        <w:rPr>
          <w:b/>
          <w:color w:val="0D9488"/>
          <w:sz w:val="26"/>
        </w:rPr>
        <w:t>1.3 High-Level Technical Stack</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100" w:type="dxa"/>
              <w:bottom w:w="100" w:type="dxa"/>
              <w:left w:w="140" w:type="dxa"/>
              <w:right w:w="140" w:type="dxa"/>
            </w:tcMar>
            <w:shd w:val="clear" w:color="auto" w:fill="065F46"/>
          </w:tcPr>
          <w:p>
            <w:pPr>
              <w:spacing w:after="40" w:before="40"/>
            </w:pPr>
            <w:r>
              <w:rPr>
                <w:b/>
                <w:color w:val="FFFFFF"/>
                <w:sz w:val="19"/>
              </w:rPr>
              <w:t>Tier</w:t>
            </w:r>
          </w:p>
        </w:tc>
        <w:tc>
          <w:tcPr>
            <w:tcW w:type="dxa" w:w="3120"/>
            <w:vAlign w:val="center"/>
            <w:tcMar>
              <w:top w:w="100" w:type="dxa"/>
              <w:bottom w:w="100" w:type="dxa"/>
              <w:left w:w="140" w:type="dxa"/>
              <w:right w:w="140" w:type="dxa"/>
            </w:tcMar>
            <w:shd w:val="clear" w:color="auto" w:fill="065F46"/>
          </w:tcPr>
          <w:p>
            <w:pPr>
              <w:spacing w:after="40" w:before="40"/>
            </w:pPr>
            <w:r>
              <w:rPr>
                <w:b/>
                <w:color w:val="FFFFFF"/>
                <w:sz w:val="19"/>
              </w:rPr>
              <w:t>Technology Employed</w:t>
            </w:r>
          </w:p>
        </w:tc>
        <w:tc>
          <w:tcPr>
            <w:tcW w:type="dxa" w:w="3120"/>
            <w:vAlign w:val="center"/>
            <w:tcMar>
              <w:top w:w="100" w:type="dxa"/>
              <w:bottom w:w="100" w:type="dxa"/>
              <w:left w:w="140" w:type="dxa"/>
              <w:right w:w="140" w:type="dxa"/>
            </w:tcMar>
            <w:shd w:val="clear" w:color="auto" w:fill="065F46"/>
          </w:tcPr>
          <w:p>
            <w:pPr>
              <w:spacing w:after="40" w:before="40"/>
            </w:pPr>
            <w:r>
              <w:rPr>
                <w:b/>
                <w:color w:val="FFFFFF"/>
                <w:sz w:val="19"/>
              </w:rPr>
              <w:t>Key Architectural Advantage</w:t>
            </w:r>
          </w:p>
        </w:tc>
      </w:tr>
      <w:tr>
        <w:tc>
          <w:tcPr>
            <w:tcW w:type="dxa" w:w="3120"/>
            <w:vAlign w:val="center"/>
            <w:tcMar>
              <w:top w:w="100" w:type="dxa"/>
              <w:bottom w:w="100" w:type="dxa"/>
              <w:left w:w="140" w:type="dxa"/>
              <w:right w:w="140" w:type="dxa"/>
            </w:tcMar>
            <w:shd w:val="clear" w:color="auto" w:fill="F0FDF4"/>
          </w:tcPr>
          <w:p>
            <w:pPr>
              <w:spacing w:after="40" w:before="40"/>
            </w:pPr>
            <w:r>
              <w:rPr>
                <w:b/>
                <w:color w:val="065F46"/>
                <w:sz w:val="19"/>
              </w:rPr>
              <w:t>Frontend Framework</w:t>
            </w:r>
          </w:p>
        </w:tc>
        <w:tc>
          <w:tcPr>
            <w:tcW w:type="dxa" w:w="3120"/>
            <w:vAlign w:val="center"/>
            <w:tcMar>
              <w:top w:w="100" w:type="dxa"/>
              <w:bottom w:w="100" w:type="dxa"/>
              <w:left w:w="140" w:type="dxa"/>
              <w:right w:w="140" w:type="dxa"/>
            </w:tcMar>
            <w:shd w:val="clear" w:color="auto" w:fill="F0FDF4"/>
          </w:tcPr>
          <w:p>
            <w:pPr>
              <w:spacing w:after="40" w:before="40"/>
            </w:pPr>
            <w:r>
              <w:rPr>
                <w:b/>
                <w:color w:val="065F46"/>
                <w:sz w:val="19"/>
              </w:rPr>
              <w:t>Next.js (App Router, Server Components)</w:t>
            </w:r>
          </w:p>
        </w:tc>
        <w:tc>
          <w:tcPr>
            <w:tcW w:type="dxa" w:w="3120"/>
            <w:vAlign w:val="center"/>
            <w:tcMar>
              <w:top w:w="100" w:type="dxa"/>
              <w:bottom w:w="100" w:type="dxa"/>
              <w:left w:w="140" w:type="dxa"/>
              <w:right w:w="140" w:type="dxa"/>
            </w:tcMar>
            <w:shd w:val="clear" w:color="auto" w:fill="F0FDF4"/>
          </w:tcPr>
          <w:p>
            <w:pPr>
              <w:spacing w:after="40" w:before="40"/>
            </w:pPr>
            <w:r>
              <w:rPr>
                <w:color w:val="1E293B"/>
                <w:sz w:val="19"/>
              </w:rPr>
              <w:t>Ultra-fast initial page loads, SEO optimization, and zero-bundle server logic.</w:t>
            </w:r>
          </w:p>
        </w:tc>
      </w:tr>
      <w:tr>
        <w:tc>
          <w:tcPr>
            <w:tcW w:type="dxa" w:w="3120"/>
            <w:vAlign w:val="center"/>
            <w:tcMar>
              <w:top w:w="100" w:type="dxa"/>
              <w:bottom w:w="100" w:type="dxa"/>
              <w:left w:w="140" w:type="dxa"/>
              <w:right w:w="140" w:type="dxa"/>
            </w:tcMar>
            <w:shd w:val="clear" w:color="auto" w:fill="FFFFFF"/>
          </w:tcPr>
          <w:p>
            <w:pPr>
              <w:spacing w:after="40" w:before="40"/>
            </w:pPr>
            <w:r>
              <w:rPr>
                <w:b/>
                <w:color w:val="065F46"/>
                <w:sz w:val="19"/>
              </w:rPr>
              <w:t>Styling &amp; Design System</w:t>
            </w:r>
          </w:p>
        </w:tc>
        <w:tc>
          <w:tcPr>
            <w:tcW w:type="dxa" w:w="3120"/>
            <w:vAlign w:val="center"/>
            <w:tcMar>
              <w:top w:w="100" w:type="dxa"/>
              <w:bottom w:w="100" w:type="dxa"/>
              <w:left w:w="140" w:type="dxa"/>
              <w:right w:w="140" w:type="dxa"/>
            </w:tcMar>
            <w:shd w:val="clear" w:color="auto" w:fill="FFFFFF"/>
          </w:tcPr>
          <w:p>
            <w:pPr>
              <w:spacing w:after="40" w:before="40"/>
            </w:pPr>
            <w:r>
              <w:rPr>
                <w:b/>
                <w:color w:val="065F46"/>
                <w:sz w:val="19"/>
              </w:rPr>
              <w:t>Tailwind CSS + shadcn/ui</w:t>
            </w:r>
          </w:p>
        </w:tc>
        <w:tc>
          <w:tcPr>
            <w:tcW w:type="dxa" w:w="3120"/>
            <w:vAlign w:val="center"/>
            <w:tcMar>
              <w:top w:w="100" w:type="dxa"/>
              <w:bottom w:w="100" w:type="dxa"/>
              <w:left w:w="140" w:type="dxa"/>
              <w:right w:w="140" w:type="dxa"/>
            </w:tcMar>
            <w:shd w:val="clear" w:color="auto" w:fill="FFFFFF"/>
          </w:tcPr>
          <w:p>
            <w:pPr>
              <w:spacing w:after="40" w:before="40"/>
            </w:pPr>
            <w:r>
              <w:rPr>
                <w:color w:val="1E293B"/>
                <w:sz w:val="19"/>
              </w:rPr>
              <w:t>Clean, accessible, modern aesthetic with native Light &amp; Dark mode support.</w:t>
            </w:r>
          </w:p>
        </w:tc>
      </w:tr>
      <w:tr>
        <w:tc>
          <w:tcPr>
            <w:tcW w:type="dxa" w:w="3120"/>
            <w:vAlign w:val="center"/>
            <w:tcMar>
              <w:top w:w="100" w:type="dxa"/>
              <w:bottom w:w="100" w:type="dxa"/>
              <w:left w:w="140" w:type="dxa"/>
              <w:right w:w="140" w:type="dxa"/>
            </w:tcMar>
            <w:shd w:val="clear" w:color="auto" w:fill="F0FDF4"/>
          </w:tcPr>
          <w:p>
            <w:pPr>
              <w:spacing w:after="40" w:before="40"/>
            </w:pPr>
            <w:r>
              <w:rPr>
                <w:b/>
                <w:color w:val="065F46"/>
                <w:sz w:val="19"/>
              </w:rPr>
              <w:t>Backend &amp; APIs</w:t>
            </w:r>
          </w:p>
        </w:tc>
        <w:tc>
          <w:tcPr>
            <w:tcW w:type="dxa" w:w="3120"/>
            <w:vAlign w:val="center"/>
            <w:tcMar>
              <w:top w:w="100" w:type="dxa"/>
              <w:bottom w:w="100" w:type="dxa"/>
              <w:left w:w="140" w:type="dxa"/>
              <w:right w:w="140" w:type="dxa"/>
            </w:tcMar>
            <w:shd w:val="clear" w:color="auto" w:fill="F0FDF4"/>
          </w:tcPr>
          <w:p>
            <w:pPr>
              <w:spacing w:after="40" w:before="40"/>
            </w:pPr>
            <w:r>
              <w:rPr>
                <w:b/>
                <w:color w:val="065F46"/>
                <w:sz w:val="19"/>
              </w:rPr>
              <w:t>Next.js Server Actions &amp; Route Handlers</w:t>
            </w:r>
          </w:p>
        </w:tc>
        <w:tc>
          <w:tcPr>
            <w:tcW w:type="dxa" w:w="3120"/>
            <w:vAlign w:val="center"/>
            <w:tcMar>
              <w:top w:w="100" w:type="dxa"/>
              <w:bottom w:w="100" w:type="dxa"/>
              <w:left w:w="140" w:type="dxa"/>
              <w:right w:w="140" w:type="dxa"/>
            </w:tcMar>
            <w:shd w:val="clear" w:color="auto" w:fill="F0FDF4"/>
          </w:tcPr>
          <w:p>
            <w:pPr>
              <w:spacing w:after="40" w:before="40"/>
            </w:pPr>
            <w:r>
              <w:rPr>
                <w:color w:val="1E293B"/>
                <w:sz w:val="19"/>
              </w:rPr>
              <w:t>High-security type-safe mutations without exposed REST endpoints.</w:t>
            </w:r>
          </w:p>
        </w:tc>
      </w:tr>
      <w:tr>
        <w:tc>
          <w:tcPr>
            <w:tcW w:type="dxa" w:w="3120"/>
            <w:vAlign w:val="center"/>
            <w:tcMar>
              <w:top w:w="100" w:type="dxa"/>
              <w:bottom w:w="100" w:type="dxa"/>
              <w:left w:w="140" w:type="dxa"/>
              <w:right w:w="140" w:type="dxa"/>
            </w:tcMar>
            <w:shd w:val="clear" w:color="auto" w:fill="FFFFFF"/>
          </w:tcPr>
          <w:p>
            <w:pPr>
              <w:spacing w:after="40" w:before="40"/>
            </w:pPr>
            <w:r>
              <w:rPr>
                <w:b/>
                <w:color w:val="065F46"/>
                <w:sz w:val="19"/>
              </w:rPr>
              <w:t>Database ORM</w:t>
            </w:r>
          </w:p>
        </w:tc>
        <w:tc>
          <w:tcPr>
            <w:tcW w:type="dxa" w:w="3120"/>
            <w:vAlign w:val="center"/>
            <w:tcMar>
              <w:top w:w="100" w:type="dxa"/>
              <w:bottom w:w="100" w:type="dxa"/>
              <w:left w:w="140" w:type="dxa"/>
              <w:right w:w="140" w:type="dxa"/>
            </w:tcMar>
            <w:shd w:val="clear" w:color="auto" w:fill="FFFFFF"/>
          </w:tcPr>
          <w:p>
            <w:pPr>
              <w:spacing w:after="40" w:before="40"/>
            </w:pPr>
            <w:r>
              <w:rPr>
                <w:b/>
                <w:color w:val="065F46"/>
                <w:sz w:val="19"/>
              </w:rPr>
              <w:t>Prisma ORM</w:t>
            </w:r>
          </w:p>
        </w:tc>
        <w:tc>
          <w:tcPr>
            <w:tcW w:type="dxa" w:w="3120"/>
            <w:vAlign w:val="center"/>
            <w:tcMar>
              <w:top w:w="100" w:type="dxa"/>
              <w:bottom w:w="100" w:type="dxa"/>
              <w:left w:w="140" w:type="dxa"/>
              <w:right w:w="140" w:type="dxa"/>
            </w:tcMar>
            <w:shd w:val="clear" w:color="auto" w:fill="FFFFFF"/>
          </w:tcPr>
          <w:p>
            <w:pPr>
              <w:spacing w:after="40" w:before="40"/>
            </w:pPr>
            <w:r>
              <w:rPr>
                <w:color w:val="1E293B"/>
                <w:sz w:val="19"/>
              </w:rPr>
              <w:t>Strictly typed schemas and migration safety.</w:t>
            </w:r>
          </w:p>
        </w:tc>
      </w:tr>
      <w:tr>
        <w:tc>
          <w:tcPr>
            <w:tcW w:type="dxa" w:w="3120"/>
            <w:vAlign w:val="center"/>
            <w:tcMar>
              <w:top w:w="100" w:type="dxa"/>
              <w:bottom w:w="100" w:type="dxa"/>
              <w:left w:w="140" w:type="dxa"/>
              <w:right w:w="140" w:type="dxa"/>
            </w:tcMar>
            <w:shd w:val="clear" w:color="auto" w:fill="F0FDF4"/>
          </w:tcPr>
          <w:p>
            <w:pPr>
              <w:spacing w:after="40" w:before="40"/>
            </w:pPr>
            <w:r>
              <w:rPr>
                <w:b/>
                <w:color w:val="065F46"/>
                <w:sz w:val="19"/>
              </w:rPr>
              <w:t>Database Infrastructure</w:t>
            </w:r>
          </w:p>
        </w:tc>
        <w:tc>
          <w:tcPr>
            <w:tcW w:type="dxa" w:w="3120"/>
            <w:vAlign w:val="center"/>
            <w:tcMar>
              <w:top w:w="100" w:type="dxa"/>
              <w:bottom w:w="100" w:type="dxa"/>
              <w:left w:w="140" w:type="dxa"/>
              <w:right w:w="140" w:type="dxa"/>
            </w:tcMar>
            <w:shd w:val="clear" w:color="auto" w:fill="F0FDF4"/>
          </w:tcPr>
          <w:p>
            <w:pPr>
              <w:spacing w:after="40" w:before="40"/>
            </w:pPr>
            <w:r>
              <w:rPr>
                <w:b/>
                <w:color w:val="065F46"/>
                <w:sz w:val="19"/>
              </w:rPr>
              <w:t>Neon Serverless PostgreSQL</w:t>
            </w:r>
          </w:p>
        </w:tc>
        <w:tc>
          <w:tcPr>
            <w:tcW w:type="dxa" w:w="3120"/>
            <w:vAlign w:val="center"/>
            <w:tcMar>
              <w:top w:w="100" w:type="dxa"/>
              <w:bottom w:w="100" w:type="dxa"/>
              <w:left w:w="140" w:type="dxa"/>
              <w:right w:w="140" w:type="dxa"/>
            </w:tcMar>
            <w:shd w:val="clear" w:color="auto" w:fill="F0FDF4"/>
          </w:tcPr>
          <w:p>
            <w:pPr>
              <w:spacing w:after="40" w:before="40"/>
            </w:pPr>
            <w:r>
              <w:rPr>
                <w:color w:val="1E293B"/>
                <w:sz w:val="19"/>
              </w:rPr>
              <w:t>Cloud-native scaling with connection pooling and high concurrency.</w:t>
            </w:r>
          </w:p>
        </w:tc>
      </w:tr>
      <w:tr>
        <w:tc>
          <w:tcPr>
            <w:tcW w:type="dxa" w:w="3120"/>
            <w:vAlign w:val="center"/>
            <w:tcMar>
              <w:top w:w="100" w:type="dxa"/>
              <w:bottom w:w="100" w:type="dxa"/>
              <w:left w:w="140" w:type="dxa"/>
              <w:right w:w="140" w:type="dxa"/>
            </w:tcMar>
            <w:shd w:val="clear" w:color="auto" w:fill="FFFFFF"/>
          </w:tcPr>
          <w:p>
            <w:pPr>
              <w:spacing w:after="40" w:before="40"/>
            </w:pPr>
            <w:r>
              <w:rPr>
                <w:b/>
                <w:color w:val="065F46"/>
                <w:sz w:val="19"/>
              </w:rPr>
              <w:t>Authentication Engine</w:t>
            </w:r>
          </w:p>
        </w:tc>
        <w:tc>
          <w:tcPr>
            <w:tcW w:type="dxa" w:w="3120"/>
            <w:vAlign w:val="center"/>
            <w:tcMar>
              <w:top w:w="100" w:type="dxa"/>
              <w:bottom w:w="100" w:type="dxa"/>
              <w:left w:w="140" w:type="dxa"/>
              <w:right w:w="140" w:type="dxa"/>
            </w:tcMar>
            <w:shd w:val="clear" w:color="auto" w:fill="FFFFFF"/>
          </w:tcPr>
          <w:p>
            <w:pPr>
              <w:spacing w:after="40" w:before="40"/>
            </w:pPr>
            <w:r>
              <w:rPr>
                <w:b/>
                <w:color w:val="065F46"/>
                <w:sz w:val="19"/>
              </w:rPr>
              <w:t>NextAuth.js v5 + WebAuthn Passkeys</w:t>
            </w:r>
          </w:p>
        </w:tc>
        <w:tc>
          <w:tcPr>
            <w:tcW w:type="dxa" w:w="3120"/>
            <w:vAlign w:val="center"/>
            <w:tcMar>
              <w:top w:w="100" w:type="dxa"/>
              <w:bottom w:w="100" w:type="dxa"/>
              <w:left w:w="140" w:type="dxa"/>
              <w:right w:w="140" w:type="dxa"/>
            </w:tcMar>
            <w:shd w:val="clear" w:color="auto" w:fill="FFFFFF"/>
          </w:tcPr>
          <w:p>
            <w:pPr>
              <w:spacing w:after="40" w:before="40"/>
            </w:pPr>
            <w:r>
              <w:rPr>
                <w:color w:val="1E293B"/>
                <w:sz w:val="19"/>
              </w:rPr>
              <w:t>Hardware-level biometric authentication and bcrypt cryptographic security.</w:t>
            </w:r>
          </w:p>
        </w:tc>
      </w:tr>
      <w:tr>
        <w:tc>
          <w:tcPr>
            <w:tcW w:type="dxa" w:w="3120"/>
            <w:vAlign w:val="center"/>
            <w:tcMar>
              <w:top w:w="100" w:type="dxa"/>
              <w:bottom w:w="100" w:type="dxa"/>
              <w:left w:w="140" w:type="dxa"/>
              <w:right w:w="140" w:type="dxa"/>
            </w:tcMar>
            <w:shd w:val="clear" w:color="auto" w:fill="F0FDF4"/>
          </w:tcPr>
          <w:p>
            <w:pPr>
              <w:spacing w:after="40" w:before="40"/>
            </w:pPr>
            <w:r>
              <w:rPr>
                <w:b/>
                <w:color w:val="065F46"/>
                <w:sz w:val="19"/>
              </w:rPr>
              <w:t>AI Integration</w:t>
            </w:r>
          </w:p>
        </w:tc>
        <w:tc>
          <w:tcPr>
            <w:tcW w:type="dxa" w:w="3120"/>
            <w:vAlign w:val="center"/>
            <w:tcMar>
              <w:top w:w="100" w:type="dxa"/>
              <w:bottom w:w="100" w:type="dxa"/>
              <w:left w:w="140" w:type="dxa"/>
              <w:right w:w="140" w:type="dxa"/>
            </w:tcMar>
            <w:shd w:val="clear" w:color="auto" w:fill="F0FDF4"/>
          </w:tcPr>
          <w:p>
            <w:pPr>
              <w:spacing w:after="40" w:before="40"/>
            </w:pPr>
            <w:r>
              <w:rPr>
                <w:b/>
                <w:color w:val="065F46"/>
                <w:sz w:val="19"/>
              </w:rPr>
              <w:t>Google Gemini Enterprise API</w:t>
            </w:r>
          </w:p>
        </w:tc>
        <w:tc>
          <w:tcPr>
            <w:tcW w:type="dxa" w:w="3120"/>
            <w:vAlign w:val="center"/>
            <w:tcMar>
              <w:top w:w="100" w:type="dxa"/>
              <w:bottom w:w="100" w:type="dxa"/>
              <w:left w:w="140" w:type="dxa"/>
              <w:right w:w="140" w:type="dxa"/>
            </w:tcMar>
            <w:shd w:val="clear" w:color="auto" w:fill="F0FDF4"/>
          </w:tcPr>
          <w:p>
            <w:pPr>
              <w:spacing w:after="40" w:before="40"/>
            </w:pPr>
            <w:r>
              <w:rPr>
                <w:color w:val="1E293B"/>
                <w:sz w:val="19"/>
              </w:rPr>
              <w:t>AI-driven exam paper generation and automatic assessment workflows.</w:t>
            </w:r>
          </w:p>
        </w:tc>
      </w:tr>
      <w:tr>
        <w:tc>
          <w:tcPr>
            <w:tcW w:type="dxa" w:w="3120"/>
            <w:vAlign w:val="center"/>
            <w:tcMar>
              <w:top w:w="100" w:type="dxa"/>
              <w:bottom w:w="100" w:type="dxa"/>
              <w:left w:w="140" w:type="dxa"/>
              <w:right w:w="140" w:type="dxa"/>
            </w:tcMar>
            <w:shd w:val="clear" w:color="auto" w:fill="FFFFFF"/>
          </w:tcPr>
          <w:p>
            <w:pPr>
              <w:spacing w:after="40" w:before="40"/>
            </w:pPr>
            <w:r>
              <w:rPr>
                <w:b/>
                <w:color w:val="065F46"/>
                <w:sz w:val="19"/>
              </w:rPr>
              <w:t>Document Compilation</w:t>
            </w:r>
          </w:p>
        </w:tc>
        <w:tc>
          <w:tcPr>
            <w:tcW w:type="dxa" w:w="3120"/>
            <w:vAlign w:val="center"/>
            <w:tcMar>
              <w:top w:w="100" w:type="dxa"/>
              <w:bottom w:w="100" w:type="dxa"/>
              <w:left w:w="140" w:type="dxa"/>
              <w:right w:w="140" w:type="dxa"/>
            </w:tcMar>
            <w:shd w:val="clear" w:color="auto" w:fill="FFFFFF"/>
          </w:tcPr>
          <w:p>
            <w:pPr>
              <w:spacing w:after="40" w:before="40"/>
            </w:pPr>
            <w:r>
              <w:rPr>
                <w:b/>
                <w:color w:val="065F46"/>
                <w:sz w:val="19"/>
              </w:rPr>
              <w:t>Python DOCX Engine</w:t>
            </w:r>
          </w:p>
        </w:tc>
        <w:tc>
          <w:tcPr>
            <w:tcW w:type="dxa" w:w="3120"/>
            <w:vAlign w:val="center"/>
            <w:tcMar>
              <w:top w:w="100" w:type="dxa"/>
              <w:bottom w:w="100" w:type="dxa"/>
              <w:left w:w="140" w:type="dxa"/>
              <w:right w:w="140" w:type="dxa"/>
            </w:tcMar>
            <w:shd w:val="clear" w:color="auto" w:fill="FFFFFF"/>
          </w:tcPr>
          <w:p>
            <w:pPr>
              <w:spacing w:after="40" w:before="40"/>
            </w:pPr>
            <w:r>
              <w:rPr>
                <w:color w:val="1E293B"/>
                <w:sz w:val="19"/>
              </w:rPr>
              <w:t>Instant automated compilation of all operational manuals and client catalogs.</w:t>
            </w:r>
          </w:p>
        </w:tc>
      </w:tr>
    </w:tbl>
    <w:p>
      <w:pPr>
        <w:spacing w:after="120"/>
      </w:pPr>
    </w:p>
    <w:p>
      <w:r>
        <w:br w:type="page"/>
      </w:r>
    </w:p>
    <w:p>
      <w:pPr>
        <w:spacing w:before="320" w:after="120"/>
      </w:pPr>
      <w:r>
        <w:rPr>
          <w:b/>
          <w:color w:val="065F46"/>
          <w:sz w:val="32"/>
        </w:rPr>
        <w:t>Chapter 2: Security &amp; Authentication Suite</w:t>
      </w:r>
    </w:p>
    <w:p>
      <w:pPr>
        <w:spacing w:before="240" w:after="80"/>
      </w:pPr>
      <w:r>
        <w:rPr>
          <w:b/>
          <w:color w:val="0D9488"/>
          <w:sz w:val="26"/>
        </w:rPr>
        <w:t>2.1 Multi-Tier Authentication Engine</w:t>
      </w:r>
    </w:p>
    <w:p>
      <w:pPr>
        <w:spacing w:after="120" w:before="0" w:line="276" w:lineRule="auto"/>
      </w:pPr>
      <w:r>
        <w:rPr>
          <w:color w:val="1E293B"/>
        </w:rPr>
        <w:t>Security in ABCD Edu Hub is built on zero-trust principles, combining modern cryptographic standards with seamless hardware biometric capabilities.</w:t>
      </w:r>
    </w:p>
    <w:p>
      <w:pPr>
        <w:spacing w:after="120"/>
      </w:pPr>
    </w:p>
    <w:p>
      <w:pPr>
        <w:spacing w:before="240" w:after="80"/>
      </w:pPr>
      <w:r>
        <w:rPr>
          <w:b/>
          <w:color w:val="0D9488"/>
          <w:sz w:val="26"/>
        </w:rPr>
        <w:t>2.2 Supported Authentication Methods</w:t>
      </w:r>
    </w:p>
    <w:p>
      <w:pPr>
        <w:spacing w:before="200" w:after="60"/>
      </w:pPr>
      <w:r>
        <w:rPr>
          <w:b/>
          <w:color w:val="0F172A"/>
          <w:sz w:val="22"/>
        </w:rPr>
        <w:t>1. Standard Cryptographic Credentials (Password-Based)</w:t>
      </w:r>
    </w:p>
    <w:p>
      <w:pPr>
        <w:pStyle w:val="ListBullet"/>
        <w:spacing w:after="60" w:before="20" w:line="276" w:lineRule="auto"/>
      </w:pPr>
      <w:r>
        <w:rPr>
          <w:b/>
          <w:color w:val="065F46"/>
        </w:rPr>
        <w:t>High-Entropy Hashing</w:t>
      </w:r>
      <w:r>
        <w:rPr>
          <w:color w:val="1E293B"/>
        </w:rPr>
        <w:t xml:space="preserve">: Passwords are encrypted using </w:t>
      </w:r>
      <w:r>
        <w:rPr>
          <w:b/>
          <w:color w:val="065F46"/>
        </w:rPr>
        <w:t>bcrypt (salt rounds = 10)</w:t>
      </w:r>
      <w:r>
        <w:rPr>
          <w:color w:val="1E293B"/>
        </w:rPr>
        <w:t>, ensuring zero plain-text exposure even in database backups.</w:t>
      </w:r>
    </w:p>
    <w:p>
      <w:pPr>
        <w:pStyle w:val="ListBullet"/>
        <w:spacing w:after="60" w:before="20" w:line="276" w:lineRule="auto"/>
      </w:pPr>
      <w:r>
        <w:rPr>
          <w:b/>
          <w:color w:val="065F46"/>
        </w:rPr>
        <w:t>Intelligent Username Resolution</w:t>
      </w:r>
      <w:r>
        <w:rPr>
          <w:color w:val="1E293B"/>
        </w:rPr>
        <w:t>:</w:t>
      </w:r>
    </w:p>
    <w:p>
      <w:pPr>
        <w:pStyle w:val="ListBullet"/>
        <w:spacing w:after="60" w:before="20" w:line="276" w:lineRule="auto"/>
      </w:pPr>
      <w:r>
        <w:rPr>
          <w:color w:val="1E293B"/>
        </w:rPr>
        <w:t>Super Admins log in using their Master Email or Admin ID.</w:t>
      </w:r>
    </w:p>
    <w:p>
      <w:pPr>
        <w:pStyle w:val="ListBullet"/>
        <w:spacing w:after="60" w:before="20" w:line="276" w:lineRule="auto"/>
      </w:pPr>
      <w:r>
        <w:rPr>
          <w:color w:val="1E293B"/>
        </w:rPr>
        <w:t>Franchise Admins and Faculty log in using their registered center email.</w:t>
      </w:r>
    </w:p>
    <w:p>
      <w:pPr>
        <w:pStyle w:val="ListBullet"/>
        <w:spacing w:after="60" w:before="20" w:line="276" w:lineRule="auto"/>
      </w:pPr>
      <w:r>
        <w:rPr>
          <w:color w:val="1E293B"/>
        </w:rPr>
        <w:t xml:space="preserve">Students log in using their unique, accredited </w:t>
      </w:r>
      <w:r>
        <w:rPr>
          <w:b/>
          <w:color w:val="065F46"/>
        </w:rPr>
        <w:t>Enrollment Number</w:t>
      </w:r>
      <w:r>
        <w:rPr>
          <w:color w:val="1E293B"/>
        </w:rPr>
        <w:t xml:space="preserve"> (e.g., </w:t>
      </w:r>
      <w:r>
        <w:rPr>
          <w:rFonts w:ascii="Consolas" w:hAnsi="Consolas"/>
          <w:color w:val="0D9488"/>
          <w:sz w:val="19"/>
        </w:rPr>
        <w:t>WB002-2026-0042</w:t>
      </w:r>
      <w:r>
        <w:rPr>
          <w:color w:val="1E293B"/>
        </w:rPr>
        <w:t>) or mobile number.</w:t>
      </w:r>
    </w:p>
    <w:p>
      <w:pPr>
        <w:pStyle w:val="ListBullet"/>
        <w:spacing w:after="60" w:before="20" w:line="276" w:lineRule="auto"/>
      </w:pPr>
      <w:r>
        <w:rPr>
          <w:b/>
          <w:color w:val="065F46"/>
        </w:rPr>
        <w:t>Brute-Force &amp; Credential Stuffing Protection</w:t>
      </w:r>
      <w:r>
        <w:rPr>
          <w:color w:val="1E293B"/>
        </w:rPr>
        <w:t>: Built-in rate limiting and failed attempt monitoring prevent automated attacks.</w:t>
      </w:r>
    </w:p>
    <w:p>
      <w:pPr>
        <w:spacing w:before="200" w:after="60"/>
      </w:pPr>
      <w:r>
        <w:rPr>
          <w:b/>
          <w:color w:val="0F172A"/>
          <w:sz w:val="22"/>
        </w:rPr>
        <w:t>2. Hardware-Level Biometric Passkeys (W3C WebAuthn Standard)</w:t>
      </w:r>
    </w:p>
    <w:p>
      <w:pPr>
        <w:spacing w:after="120" w:before="0" w:line="276" w:lineRule="auto"/>
      </w:pPr>
      <w:r>
        <w:rPr>
          <w:color w:val="1E293B"/>
        </w:rPr>
        <w:t xml:space="preserve">ABCD Edu Hub is one of the few educational platforms equipped with native </w:t>
      </w:r>
      <w:r>
        <w:rPr>
          <w:b/>
          <w:color w:val="065F46"/>
        </w:rPr>
        <w:t>Passwordless Biometric Passkeys</w:t>
      </w:r>
      <w:r>
        <w:rPr>
          <w:color w:val="1E293B"/>
        </w:rPr>
        <w:t>:</w:t>
      </w:r>
    </w:p>
    <w:p>
      <w:pPr>
        <w:pStyle w:val="ListBullet"/>
        <w:spacing w:after="60" w:before="20" w:line="276" w:lineRule="auto"/>
      </w:pPr>
      <w:r>
        <w:rPr>
          <w:b/>
          <w:color w:val="065F46"/>
        </w:rPr>
        <w:t>Supported Biometric Modalities</w:t>
      </w:r>
      <w:r>
        <w:rPr>
          <w:color w:val="1E293B"/>
        </w:rPr>
        <w:t>:</w:t>
      </w:r>
    </w:p>
    <w:p>
      <w:pPr>
        <w:pStyle w:val="ListBullet"/>
        <w:spacing w:after="60" w:before="20" w:line="276" w:lineRule="auto"/>
      </w:pPr>
      <w:r>
        <w:rPr>
          <w:b/>
          <w:color w:val="065F46"/>
        </w:rPr>
        <w:t>Face ID</w:t>
      </w:r>
      <w:r>
        <w:rPr>
          <w:color w:val="1E293B"/>
        </w:rPr>
        <w:t xml:space="preserve"> on Apple iPhones, iPads, and MacBooks.</w:t>
      </w:r>
    </w:p>
    <w:p>
      <w:pPr>
        <w:pStyle w:val="ListBullet"/>
        <w:spacing w:after="60" w:before="20" w:line="276" w:lineRule="auto"/>
      </w:pPr>
      <w:r>
        <w:rPr>
          <w:b/>
          <w:color w:val="065F46"/>
        </w:rPr>
        <w:t>Fingerprint Recognition</w:t>
      </w:r>
      <w:r>
        <w:rPr>
          <w:color w:val="1E293B"/>
        </w:rPr>
        <w:t xml:space="preserve"> on Android smartphones and laptops.</w:t>
      </w:r>
    </w:p>
    <w:p>
      <w:pPr>
        <w:pStyle w:val="ListBullet"/>
        <w:spacing w:after="60" w:before="20" w:line="276" w:lineRule="auto"/>
      </w:pPr>
      <w:r>
        <w:rPr>
          <w:b/>
          <w:color w:val="065F46"/>
        </w:rPr>
        <w:t>Windows Hello</w:t>
      </w:r>
      <w:r>
        <w:rPr>
          <w:color w:val="1E293B"/>
        </w:rPr>
        <w:t xml:space="preserve"> (Facial recognition, fingerprint sensors, hardware PIN) on Windows 10/11 PCs.</w:t>
      </w:r>
    </w:p>
    <w:p>
      <w:pPr>
        <w:pStyle w:val="ListBullet"/>
        <w:spacing w:after="60" w:before="20" w:line="276" w:lineRule="auto"/>
      </w:pPr>
      <w:r>
        <w:rPr>
          <w:b/>
          <w:color w:val="065F46"/>
        </w:rPr>
        <w:t>Apple Touch ID</w:t>
      </w:r>
      <w:r>
        <w:rPr>
          <w:color w:val="1E293B"/>
        </w:rPr>
        <w:t xml:space="preserve"> on macOS devices.</w:t>
      </w:r>
    </w:p>
    <w:p>
      <w:pPr>
        <w:pStyle w:val="ListBullet"/>
        <w:spacing w:after="60" w:before="20" w:line="276" w:lineRule="auto"/>
      </w:pPr>
      <w:r>
        <w:rPr>
          <w:b/>
          <w:color w:val="065F46"/>
        </w:rPr>
        <w:t>How It Works</w:t>
      </w:r>
      <w:r>
        <w:rPr>
          <w:color w:val="1E293B"/>
        </w:rPr>
        <w:t>:</w:t>
      </w:r>
    </w:p>
    <w:p>
      <w:pPr>
        <w:pStyle w:val="ListBullet"/>
        <w:spacing w:after="60" w:before="20" w:line="276" w:lineRule="auto"/>
      </w:pPr>
      <w:r>
        <w:rPr>
          <w:color w:val="1E293B"/>
        </w:rPr>
        <w:t>Leverages device hardware cryptographic enclaves (Apple Secure Enclave, Android Titan chip, Windows TPM).</w:t>
      </w:r>
    </w:p>
    <w:p>
      <w:pPr>
        <w:pStyle w:val="ListBullet"/>
        <w:spacing w:after="60" w:before="20" w:line="276" w:lineRule="auto"/>
      </w:pPr>
      <w:r>
        <w:rPr>
          <w:color w:val="1E293B"/>
        </w:rPr>
        <w:t xml:space="preserve">Biometric data never travels over the internet; the device cryptographically signs a challenge and grants instant entry in </w:t>
      </w:r>
      <w:r>
        <w:rPr>
          <w:b/>
          <w:color w:val="065F46"/>
        </w:rPr>
        <w:t>under 1 second</w:t>
      </w:r>
      <w:r>
        <w:rPr>
          <w:color w:val="1E293B"/>
        </w:rPr>
        <w:t>.</w:t>
      </w:r>
    </w:p>
    <w:p>
      <w:pPr>
        <w:pStyle w:val="ListBullet"/>
        <w:spacing w:after="60" w:before="20" w:line="276" w:lineRule="auto"/>
      </w:pPr>
      <w:r>
        <w:rPr>
          <w:b/>
          <w:color w:val="065F46"/>
        </w:rPr>
        <w:t>Multi-Device Passkey Management</w:t>
      </w:r>
      <w:r>
        <w:rPr>
          <w:color w:val="1E293B"/>
        </w:rPr>
        <w:t>: Users can bind multiple devices (e.g., office PC and personal smartphone) and revoke lost devices anytime from their security profile.</w:t>
      </w:r>
    </w:p>
    <w:p>
      <w:pPr>
        <w:spacing w:after="120"/>
      </w:pPr>
    </w:p>
    <w:p>
      <w:pPr>
        <w:spacing w:before="240" w:after="80"/>
      </w:pPr>
      <w:r>
        <w:rPr>
          <w:b/>
          <w:color w:val="0D9488"/>
          <w:sz w:val="26"/>
        </w:rPr>
        <w:t>2.3 Comprehensive Role-Based Access Control (RBAC)</w:t>
      </w:r>
    </w:p>
    <w:p>
      <w:pPr>
        <w:spacing w:after="120" w:before="0" w:line="276" w:lineRule="auto"/>
      </w:pPr>
      <w:r>
        <w:rPr>
          <w:color w:val="1E293B"/>
        </w:rPr>
        <w:t>Every user is compartmentalized within a strictly enforced role hierarchy:</w:t>
      </w:r>
    </w:p>
    <w:p>
      <w:pPr>
        <w:spacing w:after="120" w:before="0" w:line="276" w:lineRule="auto"/>
      </w:pPr>
      <w:r>
        <w:rPr>
          <w:rFonts w:ascii="Consolas" w:hAnsi="Consolas"/>
          <w:color w:val="0D9488"/>
          <w:sz w:val="19"/>
        </w:rPr>
        <w:t>`</w:t>
      </w:r>
    </w:p>
    <w:p>
      <w:pPr>
        <w:spacing w:after="120" w:before="0" w:line="276" w:lineRule="auto"/>
      </w:pPr>
      <w:r>
        <w:rPr>
          <w:color w:val="1E293B"/>
        </w:rPr>
        <w:t>┌────────────────────────────────────────────────────────────────────────┐</w:t>
      </w:r>
    </w:p>
    <w:p>
      <w:pPr>
        <w:spacing w:after="120" w:before="0" w:line="276" w:lineRule="auto"/>
      </w:pPr>
      <w:r>
        <w:rPr>
          <w:color w:val="1E293B"/>
        </w:rPr>
        <w:t>│                        SUPER ADMINISTRATOR                             │</w:t>
      </w:r>
    </w:p>
    <w:p>
      <w:pPr>
        <w:spacing w:after="120" w:before="0" w:line="276" w:lineRule="auto"/>
      </w:pPr>
      <w:r>
        <w:rPr>
          <w:color w:val="1E293B"/>
        </w:rPr>
        <w:t>│       (Global Master Authority across all Centers, Curriculums, &amp; DB)  │</w:t>
      </w:r>
    </w:p>
    <w:p>
      <w:pPr>
        <w:spacing w:after="120" w:before="0" w:line="276" w:lineRule="auto"/>
      </w:pPr>
      <w:r>
        <w:rPr>
          <w:color w:val="1E293B"/>
        </w:rPr>
        <w:t>└──────────────────────────────────┬─────────────────────────────────────┘</w:t>
      </w:r>
    </w:p>
    <w:p>
      <w:pPr>
        <w:spacing w:after="120" w:before="0" w:line="276" w:lineRule="auto"/>
      </w:pPr>
      <w:r>
        <w:rPr>
          <w:color w:val="1E293B"/>
        </w:rPr>
        <w:t>│</w:t>
      </w:r>
    </w:p>
    <w:p>
      <w:pPr>
        <w:spacing w:after="120" w:before="0" w:line="276" w:lineRule="auto"/>
      </w:pPr>
      <w:r>
        <w:rPr>
          <w:color w:val="1E293B"/>
        </w:rPr>
        <w:t>┌─────────────────────────┴─────────────────────────┐</w:t>
      </w:r>
    </w:p>
    <w:p>
      <w:pPr>
        <w:spacing w:after="120" w:before="0" w:line="276" w:lineRule="auto"/>
      </w:pPr>
      <w:r>
        <w:rPr>
          <w:color w:val="1E293B"/>
        </w:rPr>
        <w:t>▼                                                   ▼</w:t>
      </w:r>
    </w:p>
    <w:p>
      <w:pPr>
        <w:spacing w:after="120" w:before="0" w:line="276" w:lineRule="auto"/>
      </w:pPr>
      <w:r>
        <w:rPr>
          <w:color w:val="1E293B"/>
        </w:rPr>
        <w:t>┌──────────────────────────────────┐        ┌──────────────────────────────────┐</w:t>
      </w:r>
    </w:p>
    <w:p>
      <w:pPr>
        <w:spacing w:after="120" w:before="0" w:line="276" w:lineRule="auto"/>
      </w:pPr>
      <w:r>
        <w:rPr>
          <w:color w:val="1E293B"/>
        </w:rPr>
        <w:t>│       SUPER ADMIN MANAGER        │        │          STATE MANAGER           │</w:t>
      </w:r>
    </w:p>
    <w:p>
      <w:pPr>
        <w:spacing w:after="120" w:before="0" w:line="276" w:lineRule="auto"/>
      </w:pPr>
      <w:r>
        <w:rPr>
          <w:color w:val="1E293B"/>
        </w:rPr>
        <w:t>│ (HQ Departmental Delegation:     │        │ (Regional Coordinator overseeing │</w:t>
      </w:r>
    </w:p>
    <w:p>
      <w:pPr>
        <w:spacing w:after="120" w:before="0" w:line="276" w:lineRule="auto"/>
      </w:pPr>
      <w:r>
        <w:rPr>
          <w:color w:val="1E293B"/>
        </w:rPr>
        <w:t>│  Wallet, Affiliations, Students) │        │  Franchises within a State)      │</w:t>
      </w:r>
    </w:p>
    <w:p>
      <w:pPr>
        <w:spacing w:after="120" w:before="0" w:line="276" w:lineRule="auto"/>
      </w:pPr>
      <w:r>
        <w:rPr>
          <w:color w:val="1E293B"/>
        </w:rPr>
        <w:t>└──────────────────────────────────┘        └────────────────┬─────────────────┘</w:t>
      </w:r>
    </w:p>
    <w:p>
      <w:pPr>
        <w:spacing w:after="120" w:before="0" w:line="276" w:lineRule="auto"/>
      </w:pPr>
      <w:r>
        <w:rPr>
          <w:color w:val="1E293B"/>
        </w:rPr>
        <w:t>│</w:t>
      </w:r>
    </w:p>
    <w:p>
      <w:pPr>
        <w:spacing w:after="120" w:before="0" w:line="276" w:lineRule="auto"/>
      </w:pPr>
      <w:r>
        <w:rPr>
          <w:color w:val="1E293B"/>
        </w:rPr>
        <w:t>┌─────────────────────────┘</w:t>
      </w:r>
    </w:p>
    <w:p>
      <w:pPr>
        <w:spacing w:after="120" w:before="0" w:line="276" w:lineRule="auto"/>
      </w:pPr>
      <w:r>
        <w:rPr>
          <w:color w:val="1E293B"/>
        </w:rPr>
        <w:t>▼</w:t>
      </w:r>
    </w:p>
    <w:p>
      <w:pPr>
        <w:spacing w:after="120" w:before="0" w:line="276" w:lineRule="auto"/>
      </w:pPr>
      <w:r>
        <w:rPr>
          <w:color w:val="1E293B"/>
        </w:rPr>
        <w:t>┌────────────────────────────────────────────────────────────────────────┐</w:t>
      </w:r>
    </w:p>
    <w:p>
      <w:pPr>
        <w:spacing w:after="120" w:before="0" w:line="276" w:lineRule="auto"/>
      </w:pPr>
      <w:r>
        <w:rPr>
          <w:color w:val="1E293B"/>
        </w:rPr>
        <w:t>│                      FRANCHISE ADMINISTRATOR                           │</w:t>
      </w:r>
    </w:p>
    <w:p>
      <w:pPr>
        <w:spacing w:after="120" w:before="0" w:line="276" w:lineRule="auto"/>
      </w:pPr>
      <w:r>
        <w:rPr>
          <w:color w:val="1E293B"/>
        </w:rPr>
        <w:t>│        (Autonomous Owner/Director of an Individual Study Center)       │</w:t>
      </w:r>
    </w:p>
    <w:p>
      <w:pPr>
        <w:spacing w:after="120" w:before="0" w:line="276" w:lineRule="auto"/>
      </w:pPr>
      <w:r>
        <w:rPr>
          <w:color w:val="1E293B"/>
        </w:rPr>
        <w:t>└──────────────────────────────────┬─────────────────────────────────────┘</w:t>
      </w:r>
    </w:p>
    <w:p>
      <w:pPr>
        <w:spacing w:after="120" w:before="0" w:line="276" w:lineRule="auto"/>
      </w:pPr>
      <w:r>
        <w:rPr>
          <w:color w:val="1E293B"/>
        </w:rPr>
        <w:t>│</w:t>
      </w:r>
    </w:p>
    <w:p>
      <w:pPr>
        <w:spacing w:after="120" w:before="0" w:line="276" w:lineRule="auto"/>
      </w:pPr>
      <w:r>
        <w:rPr>
          <w:color w:val="1E293B"/>
        </w:rPr>
        <w:t>┌─────────────────────────┴─────────────────────────┐</w:t>
      </w:r>
    </w:p>
    <w:p>
      <w:pPr>
        <w:spacing w:after="120" w:before="0" w:line="276" w:lineRule="auto"/>
      </w:pPr>
      <w:r>
        <w:rPr>
          <w:color w:val="1E293B"/>
        </w:rPr>
        <w:t>▼                                                   ▼</w:t>
      </w:r>
    </w:p>
    <w:p>
      <w:pPr>
        <w:spacing w:after="120" w:before="0" w:line="276" w:lineRule="auto"/>
      </w:pPr>
      <w:r>
        <w:rPr>
          <w:color w:val="1E293B"/>
        </w:rPr>
        <w:t>┌──────────────────────────────────┐        ┌──────────────────────────────────┐</w:t>
      </w:r>
    </w:p>
    <w:p>
      <w:pPr>
        <w:spacing w:after="120" w:before="0" w:line="276" w:lineRule="auto"/>
      </w:pPr>
      <w:r>
        <w:rPr>
          <w:color w:val="1E293B"/>
        </w:rPr>
        <w:t>│      STAFF / FACULTY MEMBER      │        │             STUDENT              │</w:t>
      </w:r>
    </w:p>
    <w:p>
      <w:pPr>
        <w:spacing w:after="120" w:before="0" w:line="276" w:lineRule="auto"/>
      </w:pPr>
      <w:r>
        <w:rPr>
          <w:color w:val="1E293B"/>
        </w:rPr>
        <w:t>│ (Granularly Delegated Modules:   │        │ (Personal Learner Workspace:     │</w:t>
      </w:r>
    </w:p>
    <w:p>
      <w:pPr>
        <w:spacing w:after="120" w:before="0" w:line="276" w:lineRule="auto"/>
      </w:pPr>
      <w:r>
        <w:rPr>
          <w:color w:val="1E293B"/>
        </w:rPr>
        <w:t>│  Admissions, Fees, Attendance)   │        │  Syllabus, Dues, ID Card, Exams) │</w:t>
      </w:r>
    </w:p>
    <w:p>
      <w:pPr>
        <w:spacing w:after="120" w:before="0" w:line="276" w:lineRule="auto"/>
      </w:pPr>
      <w:r>
        <w:rPr>
          <w:color w:val="1E293B"/>
        </w:rPr>
        <w:t>└──────────────────────────────────┘        └──────────────────────────────────┘</w:t>
      </w:r>
    </w:p>
    <w:p>
      <w:pPr>
        <w:spacing w:after="120" w:before="0" w:line="276" w:lineRule="auto"/>
      </w:pPr>
      <w:r>
        <w:rPr>
          <w:rFonts w:ascii="Consolas" w:hAnsi="Consolas"/>
          <w:color w:val="0D9488"/>
          <w:sz w:val="19"/>
        </w:rPr>
        <w:t>`</w:t>
      </w:r>
    </w:p>
    <w:p>
      <w:pPr>
        <w:spacing w:after="120"/>
      </w:pPr>
    </w:p>
    <w:p>
      <w:pPr>
        <w:spacing w:before="240" w:after="80"/>
      </w:pPr>
      <w:r>
        <w:rPr>
          <w:b/>
          <w:color w:val="0D9488"/>
          <w:sz w:val="26"/>
        </w:rPr>
        <w:t>2.4 Granular Permission Delegation Matrix</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Mar>
              <w:top w:w="100" w:type="dxa"/>
              <w:bottom w:w="100" w:type="dxa"/>
              <w:left w:w="140" w:type="dxa"/>
              <w:right w:w="140" w:type="dxa"/>
            </w:tcMar>
            <w:shd w:val="clear" w:color="auto" w:fill="065F46"/>
          </w:tcPr>
          <w:p>
            <w:pPr>
              <w:spacing w:after="40" w:before="40"/>
            </w:pPr>
            <w:r>
              <w:rPr>
                <w:b/>
                <w:color w:val="FFFFFF"/>
                <w:sz w:val="19"/>
              </w:rPr>
              <w:t>Module / Feature</w:t>
            </w:r>
          </w:p>
        </w:tc>
        <w:tc>
          <w:tcPr>
            <w:tcW w:type="dxa" w:w="1337"/>
            <w:vAlign w:val="center"/>
            <w:tcMar>
              <w:top w:w="100" w:type="dxa"/>
              <w:bottom w:w="100" w:type="dxa"/>
              <w:left w:w="140" w:type="dxa"/>
              <w:right w:w="140" w:type="dxa"/>
            </w:tcMar>
            <w:shd w:val="clear" w:color="auto" w:fill="065F46"/>
          </w:tcPr>
          <w:p>
            <w:pPr>
              <w:spacing w:after="40" w:before="40"/>
            </w:pPr>
            <w:r>
              <w:rPr>
                <w:b/>
                <w:color w:val="FFFFFF"/>
                <w:sz w:val="19"/>
              </w:rPr>
              <w:t>Super Admin</w:t>
            </w:r>
          </w:p>
        </w:tc>
        <w:tc>
          <w:tcPr>
            <w:tcW w:type="dxa" w:w="1337"/>
            <w:vAlign w:val="center"/>
            <w:tcMar>
              <w:top w:w="100" w:type="dxa"/>
              <w:bottom w:w="100" w:type="dxa"/>
              <w:left w:w="140" w:type="dxa"/>
              <w:right w:w="140" w:type="dxa"/>
            </w:tcMar>
            <w:shd w:val="clear" w:color="auto" w:fill="065F46"/>
          </w:tcPr>
          <w:p>
            <w:pPr>
              <w:spacing w:after="40" w:before="40"/>
            </w:pPr>
            <w:r>
              <w:rPr>
                <w:b/>
                <w:color w:val="FFFFFF"/>
                <w:sz w:val="19"/>
              </w:rPr>
              <w:t>Super Admin Mgr</w:t>
            </w:r>
          </w:p>
        </w:tc>
        <w:tc>
          <w:tcPr>
            <w:tcW w:type="dxa" w:w="1337"/>
            <w:vAlign w:val="center"/>
            <w:tcMar>
              <w:top w:w="100" w:type="dxa"/>
              <w:bottom w:w="100" w:type="dxa"/>
              <w:left w:w="140" w:type="dxa"/>
              <w:right w:w="140" w:type="dxa"/>
            </w:tcMar>
            <w:shd w:val="clear" w:color="auto" w:fill="065F46"/>
          </w:tcPr>
          <w:p>
            <w:pPr>
              <w:spacing w:after="40" w:before="40"/>
            </w:pPr>
            <w:r>
              <w:rPr>
                <w:b/>
                <w:color w:val="FFFFFF"/>
                <w:sz w:val="19"/>
              </w:rPr>
              <w:t>State Mgr</w:t>
            </w:r>
          </w:p>
        </w:tc>
        <w:tc>
          <w:tcPr>
            <w:tcW w:type="dxa" w:w="1337"/>
            <w:vAlign w:val="center"/>
            <w:tcMar>
              <w:top w:w="100" w:type="dxa"/>
              <w:bottom w:w="100" w:type="dxa"/>
              <w:left w:w="140" w:type="dxa"/>
              <w:right w:w="140" w:type="dxa"/>
            </w:tcMar>
            <w:shd w:val="clear" w:color="auto" w:fill="065F46"/>
          </w:tcPr>
          <w:p>
            <w:pPr>
              <w:spacing w:after="40" w:before="40"/>
            </w:pPr>
            <w:r>
              <w:rPr>
                <w:b/>
                <w:color w:val="FFFFFF"/>
                <w:sz w:val="19"/>
              </w:rPr>
              <w:t>Franchise Admin</w:t>
            </w:r>
          </w:p>
        </w:tc>
        <w:tc>
          <w:tcPr>
            <w:tcW w:type="dxa" w:w="1337"/>
            <w:vAlign w:val="center"/>
            <w:tcMar>
              <w:top w:w="100" w:type="dxa"/>
              <w:bottom w:w="100" w:type="dxa"/>
              <w:left w:w="140" w:type="dxa"/>
              <w:right w:w="140" w:type="dxa"/>
            </w:tcMar>
            <w:shd w:val="clear" w:color="auto" w:fill="065F46"/>
          </w:tcPr>
          <w:p>
            <w:pPr>
              <w:spacing w:after="40" w:before="40"/>
            </w:pPr>
            <w:r>
              <w:rPr>
                <w:b/>
                <w:color w:val="FFFFFF"/>
                <w:sz w:val="19"/>
              </w:rPr>
              <w:t>Staff (Delegated)</w:t>
            </w:r>
          </w:p>
        </w:tc>
        <w:tc>
          <w:tcPr>
            <w:tcW w:type="dxa" w:w="1337"/>
            <w:vAlign w:val="center"/>
            <w:tcMar>
              <w:top w:w="100" w:type="dxa"/>
              <w:bottom w:w="100" w:type="dxa"/>
              <w:left w:w="140" w:type="dxa"/>
              <w:right w:w="140" w:type="dxa"/>
            </w:tcMar>
            <w:shd w:val="clear" w:color="auto" w:fill="065F46"/>
          </w:tcPr>
          <w:p>
            <w:pPr>
              <w:spacing w:after="40" w:before="40"/>
            </w:pPr>
            <w:r>
              <w:rPr>
                <w:b/>
                <w:color w:val="FFFFFF"/>
                <w:sz w:val="19"/>
              </w:rPr>
              <w:t>Student</w:t>
            </w:r>
          </w:p>
        </w:tc>
      </w:tr>
      <w:tr>
        <w:tc>
          <w:tcPr>
            <w:tcW w:type="dxa" w:w="1337"/>
            <w:vAlign w:val="center"/>
            <w:tcMar>
              <w:top w:w="100" w:type="dxa"/>
              <w:bottom w:w="100" w:type="dxa"/>
              <w:left w:w="140" w:type="dxa"/>
              <w:right w:w="140" w:type="dxa"/>
            </w:tcMar>
            <w:shd w:val="clear" w:color="auto" w:fill="F0FDF4"/>
          </w:tcPr>
          <w:p>
            <w:pPr>
              <w:spacing w:after="40" w:before="40"/>
            </w:pPr>
            <w:r>
              <w:rPr>
                <w:b/>
                <w:color w:val="065F46"/>
                <w:sz w:val="19"/>
              </w:rPr>
              <w:t>Global Franchise Management</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Full</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Optional</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Read/Regional</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No</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No</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No</w:t>
            </w:r>
          </w:p>
        </w:tc>
      </w:tr>
      <w:tr>
        <w:tc>
          <w:tcPr>
            <w:tcW w:type="dxa" w:w="1337"/>
            <w:vAlign w:val="center"/>
            <w:tcMar>
              <w:top w:w="100" w:type="dxa"/>
              <w:bottom w:w="100" w:type="dxa"/>
              <w:left w:w="140" w:type="dxa"/>
              <w:right w:w="140" w:type="dxa"/>
            </w:tcMar>
            <w:shd w:val="clear" w:color="auto" w:fill="FFFFFF"/>
          </w:tcPr>
          <w:p>
            <w:pPr>
              <w:spacing w:after="40" w:before="40"/>
            </w:pPr>
            <w:r>
              <w:rPr>
                <w:b/>
                <w:color w:val="065F46"/>
                <w:sz w:val="19"/>
              </w:rPr>
              <w:t>Token Minting &amp; Top-Up Approvals</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Full</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Optional</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No</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Request Only</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No</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No</w:t>
            </w:r>
          </w:p>
        </w:tc>
      </w:tr>
      <w:tr>
        <w:tc>
          <w:tcPr>
            <w:tcW w:type="dxa" w:w="1337"/>
            <w:vAlign w:val="center"/>
            <w:tcMar>
              <w:top w:w="100" w:type="dxa"/>
              <w:bottom w:w="100" w:type="dxa"/>
              <w:left w:w="140" w:type="dxa"/>
              <w:right w:w="140" w:type="dxa"/>
            </w:tcMar>
            <w:shd w:val="clear" w:color="auto" w:fill="F0FDF4"/>
          </w:tcPr>
          <w:p>
            <w:pPr>
              <w:spacing w:after="40" w:before="40"/>
            </w:pPr>
            <w:r>
              <w:rPr>
                <w:b/>
                <w:color w:val="065F46"/>
                <w:sz w:val="19"/>
              </w:rPr>
              <w:t>Global Course Master &amp; Syllabi</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Full</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Optional</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Read</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Read / Override</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View</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View Enrolled</w:t>
            </w:r>
          </w:p>
        </w:tc>
      </w:tr>
      <w:tr>
        <w:tc>
          <w:tcPr>
            <w:tcW w:type="dxa" w:w="1337"/>
            <w:vAlign w:val="center"/>
            <w:tcMar>
              <w:top w:w="100" w:type="dxa"/>
              <w:bottom w:w="100" w:type="dxa"/>
              <w:left w:w="140" w:type="dxa"/>
              <w:right w:w="140" w:type="dxa"/>
            </w:tcMar>
            <w:shd w:val="clear" w:color="auto" w:fill="FFFFFF"/>
          </w:tcPr>
          <w:p>
            <w:pPr>
              <w:spacing w:after="40" w:before="40"/>
            </w:pPr>
            <w:r>
              <w:rPr>
                <w:b/>
                <w:color w:val="065F46"/>
                <w:sz w:val="19"/>
              </w:rPr>
              <w:t>Central Student Registry Verification</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Full</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Optional</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Read/Regional</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Center Only</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Center (If granted)</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Self Profile</w:t>
            </w:r>
          </w:p>
        </w:tc>
      </w:tr>
      <w:tr>
        <w:tc>
          <w:tcPr>
            <w:tcW w:type="dxa" w:w="1337"/>
            <w:vAlign w:val="center"/>
            <w:tcMar>
              <w:top w:w="100" w:type="dxa"/>
              <w:bottom w:w="100" w:type="dxa"/>
              <w:left w:w="140" w:type="dxa"/>
              <w:right w:w="140" w:type="dxa"/>
            </w:tcMar>
            <w:shd w:val="clear" w:color="auto" w:fill="F0FDF4"/>
          </w:tcPr>
          <w:p>
            <w:pPr>
              <w:spacing w:after="40" w:before="40"/>
            </w:pPr>
            <w:r>
              <w:rPr>
                <w:b/>
                <w:color w:val="065F46"/>
                <w:sz w:val="19"/>
              </w:rPr>
              <w:t>Document Designer (Certificates/IDs)</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Full</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Optional</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No</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Issue Only</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Issue (If granted)</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View / Download</w:t>
            </w:r>
          </w:p>
        </w:tc>
      </w:tr>
      <w:tr>
        <w:tc>
          <w:tcPr>
            <w:tcW w:type="dxa" w:w="1337"/>
            <w:vAlign w:val="center"/>
            <w:tcMar>
              <w:top w:w="100" w:type="dxa"/>
              <w:bottom w:w="100" w:type="dxa"/>
              <w:left w:w="140" w:type="dxa"/>
              <w:right w:w="140" w:type="dxa"/>
            </w:tcMar>
            <w:shd w:val="clear" w:color="auto" w:fill="FFFFFF"/>
          </w:tcPr>
          <w:p>
            <w:pPr>
              <w:spacing w:after="40" w:before="40"/>
            </w:pPr>
            <w:r>
              <w:rPr>
                <w:b/>
                <w:color w:val="065F46"/>
                <w:sz w:val="19"/>
              </w:rPr>
              <w:t>Local Admission Form Builder</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Full</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No</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No</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Full</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No</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No</w:t>
            </w:r>
          </w:p>
        </w:tc>
      </w:tr>
      <w:tr>
        <w:tc>
          <w:tcPr>
            <w:tcW w:type="dxa" w:w="1337"/>
            <w:vAlign w:val="center"/>
            <w:tcMar>
              <w:top w:w="100" w:type="dxa"/>
              <w:bottom w:w="100" w:type="dxa"/>
              <w:left w:w="140" w:type="dxa"/>
              <w:right w:w="140" w:type="dxa"/>
            </w:tcMar>
            <w:shd w:val="clear" w:color="auto" w:fill="F0FDF4"/>
          </w:tcPr>
          <w:p>
            <w:pPr>
              <w:spacing w:after="40" w:before="40"/>
            </w:pPr>
            <w:r>
              <w:rPr>
                <w:b/>
                <w:color w:val="065F46"/>
                <w:sz w:val="19"/>
              </w:rPr>
              <w:t>Local Fee Collection &amp; Receipts</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Audit</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No</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No</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Full</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Full (If granted)</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Pay / View Ledger</w:t>
            </w:r>
          </w:p>
        </w:tc>
      </w:tr>
      <w:tr>
        <w:tc>
          <w:tcPr>
            <w:tcW w:type="dxa" w:w="1337"/>
            <w:vAlign w:val="center"/>
            <w:tcMar>
              <w:top w:w="100" w:type="dxa"/>
              <w:bottom w:w="100" w:type="dxa"/>
              <w:left w:w="140" w:type="dxa"/>
              <w:right w:w="140" w:type="dxa"/>
            </w:tcMar>
            <w:shd w:val="clear" w:color="auto" w:fill="FFFFFF"/>
          </w:tcPr>
          <w:p>
            <w:pPr>
              <w:spacing w:after="40" w:before="40"/>
            </w:pPr>
            <w:r>
              <w:rPr>
                <w:b/>
                <w:color w:val="065F46"/>
                <w:sz w:val="19"/>
              </w:rPr>
              <w:t>Daily Batch Attendance Register</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Audit</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No</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No</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Full</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Full (If granted)</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View History</w:t>
            </w:r>
          </w:p>
        </w:tc>
      </w:tr>
      <w:tr>
        <w:tc>
          <w:tcPr>
            <w:tcW w:type="dxa" w:w="1337"/>
            <w:vAlign w:val="center"/>
            <w:tcMar>
              <w:top w:w="100" w:type="dxa"/>
              <w:bottom w:w="100" w:type="dxa"/>
              <w:left w:w="140" w:type="dxa"/>
              <w:right w:w="140" w:type="dxa"/>
            </w:tcMar>
            <w:shd w:val="clear" w:color="auto" w:fill="F0FDF4"/>
          </w:tcPr>
          <w:p>
            <w:pPr>
              <w:spacing w:after="40" w:before="40"/>
            </w:pPr>
            <w:r>
              <w:rPr>
                <w:b/>
                <w:color w:val="065F46"/>
                <w:sz w:val="19"/>
              </w:rPr>
              <w:t>Exam Zone &amp; Question Generator</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Full</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No</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No</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Full</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Full (If granted)</w:t>
            </w:r>
          </w:p>
        </w:tc>
        <w:tc>
          <w:tcPr>
            <w:tcW w:type="dxa" w:w="1337"/>
            <w:vAlign w:val="center"/>
            <w:tcMar>
              <w:top w:w="100" w:type="dxa"/>
              <w:bottom w:w="100" w:type="dxa"/>
              <w:left w:w="140" w:type="dxa"/>
              <w:right w:w="140" w:type="dxa"/>
            </w:tcMar>
            <w:shd w:val="clear" w:color="auto" w:fill="F0FDF4"/>
          </w:tcPr>
          <w:p>
            <w:pPr>
              <w:spacing w:after="40" w:before="40"/>
            </w:pPr>
            <w:r>
              <w:rPr>
                <w:color w:val="1E293B"/>
                <w:sz w:val="19"/>
              </w:rPr>
              <w:t>Take Exams</w:t>
            </w:r>
          </w:p>
        </w:tc>
      </w:tr>
      <w:tr>
        <w:tc>
          <w:tcPr>
            <w:tcW w:type="dxa" w:w="1337"/>
            <w:vAlign w:val="center"/>
            <w:tcMar>
              <w:top w:w="100" w:type="dxa"/>
              <w:bottom w:w="100" w:type="dxa"/>
              <w:left w:w="140" w:type="dxa"/>
              <w:right w:w="140" w:type="dxa"/>
            </w:tcMar>
            <w:shd w:val="clear" w:color="auto" w:fill="FFFFFF"/>
          </w:tcPr>
          <w:p>
            <w:pPr>
              <w:spacing w:after="40" w:before="40"/>
            </w:pPr>
            <w:r>
              <w:rPr>
                <w:b/>
                <w:color w:val="065F46"/>
                <w:sz w:val="19"/>
              </w:rPr>
              <w:t>System Security &amp; Audit Logs</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Full</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No</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No</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No</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No</w:t>
            </w:r>
          </w:p>
        </w:tc>
        <w:tc>
          <w:tcPr>
            <w:tcW w:type="dxa" w:w="1337"/>
            <w:vAlign w:val="center"/>
            <w:tcMar>
              <w:top w:w="100" w:type="dxa"/>
              <w:bottom w:w="100" w:type="dxa"/>
              <w:left w:w="140" w:type="dxa"/>
              <w:right w:w="140" w:type="dxa"/>
            </w:tcMar>
            <w:shd w:val="clear" w:color="auto" w:fill="FFFFFF"/>
          </w:tcPr>
          <w:p>
            <w:pPr>
              <w:spacing w:after="40" w:before="40"/>
            </w:pPr>
            <w:r>
              <w:rPr>
                <w:color w:val="1E293B"/>
                <w:sz w:val="19"/>
              </w:rPr>
              <w:t>No</w:t>
            </w:r>
          </w:p>
        </w:tc>
      </w:tr>
    </w:tbl>
    <w:p>
      <w:pPr>
        <w:spacing w:after="120"/>
      </w:pPr>
    </w:p>
    <w:p>
      <w:pPr>
        <w:spacing w:after="120"/>
      </w:pPr>
    </w:p>
    <w:p>
      <w:pPr>
        <w:spacing w:before="240" w:after="80"/>
      </w:pPr>
      <w:r>
        <w:rPr>
          <w:b/>
          <w:color w:val="0D9488"/>
          <w:sz w:val="26"/>
        </w:rPr>
        <w:t>2.5 Session Management &amp; Instant Account Actions</w:t>
      </w:r>
    </w:p>
    <w:p>
      <w:pPr>
        <w:pStyle w:val="ListBullet"/>
        <w:spacing w:after="60" w:before="20" w:line="276" w:lineRule="auto"/>
      </w:pPr>
      <w:r>
        <w:rPr>
          <w:b/>
          <w:color w:val="065F46"/>
        </w:rPr>
        <w:t>Secure HTTP-Only Cookies</w:t>
      </w:r>
      <w:r>
        <w:rPr>
          <w:color w:val="1E293B"/>
        </w:rPr>
        <w:t>: Tokens and session IDs are immune to cross-site scripting (XSS).</w:t>
      </w:r>
    </w:p>
    <w:p>
      <w:pPr>
        <w:pStyle w:val="ListBullet"/>
        <w:spacing w:after="60" w:before="20" w:line="276" w:lineRule="auto"/>
      </w:pPr>
      <w:r>
        <w:rPr>
          <w:b/>
          <w:color w:val="065F46"/>
        </w:rPr>
        <w:t>One-Click Account Suspension</w:t>
      </w:r>
      <w:r>
        <w:rPr>
          <w:color w:val="1E293B"/>
        </w:rPr>
        <w:t xml:space="preserve">: Super Admins or Franchise Owners can instantly toggle user accounts to </w:t>
      </w:r>
      <w:r>
        <w:rPr>
          <w:rFonts w:ascii="Consolas" w:hAnsi="Consolas"/>
          <w:color w:val="0D9488"/>
          <w:sz w:val="19"/>
        </w:rPr>
        <w:t>Suspended</w:t>
      </w:r>
      <w:r>
        <w:rPr>
          <w:color w:val="1E293B"/>
        </w:rPr>
        <w:t>, instantly terminating all active sessions.</w:t>
      </w:r>
    </w:p>
    <w:p>
      <w:pPr>
        <w:pStyle w:val="ListBullet"/>
        <w:spacing w:after="60" w:before="20" w:line="276" w:lineRule="auto"/>
      </w:pPr>
      <w:r>
        <w:rPr>
          <w:b/>
          <w:color w:val="065F46"/>
        </w:rPr>
        <w:t>Clean Logout Flow</w:t>
      </w:r>
      <w:r>
        <w:rPr>
          <w:color w:val="1E293B"/>
        </w:rPr>
        <w:t>: Wipes local storage tokens, purges active session cookies, and redirects safely to the home portal.</w:t>
      </w:r>
    </w:p>
    <w:p>
      <w:r>
        <w:br w:type="page"/>
      </w:r>
    </w:p>
    <w:p>
      <w:pPr>
        <w:spacing w:before="320" w:after="120"/>
      </w:pPr>
      <w:r>
        <w:rPr>
          <w:b/>
          <w:color w:val="065F46"/>
          <w:sz w:val="32"/>
        </w:rPr>
        <w:t>Chapter 3: Central Board &amp; Super Admin Suite</w:t>
      </w:r>
    </w:p>
    <w:p>
      <w:pPr>
        <w:spacing w:before="240" w:after="80"/>
      </w:pPr>
      <w:r>
        <w:rPr>
          <w:b/>
          <w:color w:val="0D9488"/>
          <w:sz w:val="26"/>
        </w:rPr>
        <w:t>3.1 Overview</w:t>
      </w:r>
    </w:p>
    <w:p>
      <w:pPr>
        <w:spacing w:after="120" w:before="0" w:line="276" w:lineRule="auto"/>
      </w:pPr>
      <w:r>
        <w:rPr>
          <w:color w:val="1E293B"/>
        </w:rPr>
        <w:t xml:space="preserve">The </w:t>
      </w:r>
      <w:r>
        <w:rPr>
          <w:b/>
          <w:color w:val="065F46"/>
        </w:rPr>
        <w:t>Super Administrator Command Center</w:t>
      </w:r>
      <w:r>
        <w:rPr>
          <w:color w:val="1E293B"/>
        </w:rPr>
        <w:t xml:space="preserve"> (</w:t>
      </w:r>
      <w:r>
        <w:rPr>
          <w:rFonts w:ascii="Consolas" w:hAnsi="Consolas"/>
          <w:color w:val="0D9488"/>
          <w:sz w:val="19"/>
        </w:rPr>
        <w:t>/super-admin</w:t>
      </w:r>
      <w:r>
        <w:rPr>
          <w:color w:val="1E293B"/>
        </w:rPr>
        <w:t>) is tailored for central educational trusts, national councils, and corporate franchisors to supervise hundreds of branches from a unified executive console.</w:t>
      </w:r>
    </w:p>
    <w:p>
      <w:pPr>
        <w:spacing w:after="120"/>
      </w:pPr>
    </w:p>
    <w:p>
      <w:pPr>
        <w:spacing w:before="240" w:after="80"/>
      </w:pPr>
      <w:r>
        <w:rPr>
          <w:b/>
          <w:color w:val="0D9488"/>
          <w:sz w:val="26"/>
        </w:rPr>
        <w:t>3.2 Core Super Admin Capabilities</w:t>
      </w:r>
    </w:p>
    <w:p>
      <w:pPr>
        <w:spacing w:before="200" w:after="60"/>
      </w:pPr>
      <w:r>
        <w:rPr>
          <w:b/>
          <w:color w:val="0F172A"/>
          <w:sz w:val="22"/>
        </w:rPr>
        <w:t>1. Franchise Center Management &amp; Provisioning</w:t>
      </w:r>
    </w:p>
    <w:p>
      <w:pPr>
        <w:pStyle w:val="ListBullet"/>
        <w:spacing w:after="60" w:before="20" w:line="276" w:lineRule="auto"/>
      </w:pPr>
      <w:r>
        <w:rPr>
          <w:b/>
          <w:color w:val="065F46"/>
        </w:rPr>
        <w:t>Online Affiliation Intake</w:t>
      </w:r>
      <w:r>
        <w:rPr>
          <w:color w:val="1E293B"/>
        </w:rPr>
        <w:t>: Review prospective franchise applications submitted via the public portal. Inspect center photos, infrastructure specifications, and director credentials before approval.</w:t>
      </w:r>
    </w:p>
    <w:p>
      <w:pPr>
        <w:pStyle w:val="ListBullet"/>
        <w:spacing w:after="60" w:before="20" w:line="276" w:lineRule="auto"/>
      </w:pPr>
      <w:r>
        <w:rPr>
          <w:b/>
          <w:color w:val="065F46"/>
        </w:rPr>
        <w:t>Manual Center Setup</w:t>
      </w:r>
      <w:r>
        <w:rPr>
          <w:color w:val="1E293B"/>
        </w:rPr>
        <w:t>: Instantly provision an accredited study center:</w:t>
      </w:r>
    </w:p>
    <w:p>
      <w:pPr>
        <w:pStyle w:val="ListBullet"/>
        <w:spacing w:after="60" w:before="20" w:line="276" w:lineRule="auto"/>
      </w:pPr>
      <w:r>
        <w:rPr>
          <w:color w:val="1E293B"/>
        </w:rPr>
        <w:t xml:space="preserve">Set official Center Code (e.g., </w:t>
      </w:r>
      <w:r>
        <w:rPr>
          <w:rFonts w:ascii="Consolas" w:hAnsi="Consolas"/>
          <w:color w:val="0D9488"/>
          <w:sz w:val="19"/>
        </w:rPr>
        <w:t>WB-002</w:t>
      </w:r>
      <w:r>
        <w:rPr>
          <w:color w:val="1E293B"/>
        </w:rPr>
        <w:t>) which is permanently embedded into student enrollment numbers.</w:t>
      </w:r>
    </w:p>
    <w:p>
      <w:pPr>
        <w:pStyle w:val="ListBullet"/>
        <w:spacing w:after="60" w:before="20" w:line="276" w:lineRule="auto"/>
      </w:pPr>
      <w:r>
        <w:rPr>
          <w:color w:val="1E293B"/>
        </w:rPr>
        <w:t xml:space="preserve">Assign custom Subdomain slug (e.g., </w:t>
      </w:r>
      <w:r>
        <w:rPr>
          <w:rFonts w:ascii="Consolas" w:hAnsi="Consolas"/>
          <w:color w:val="0D9488"/>
          <w:sz w:val="19"/>
        </w:rPr>
        <w:t>wb-002.abcdeduhub.com</w:t>
      </w:r>
      <w:r>
        <w:rPr>
          <w:color w:val="1E293B"/>
        </w:rPr>
        <w:t>).</w:t>
      </w:r>
    </w:p>
    <w:p>
      <w:pPr>
        <w:pStyle w:val="ListBullet"/>
        <w:spacing w:after="60" w:before="20" w:line="276" w:lineRule="auto"/>
      </w:pPr>
      <w:r>
        <w:rPr>
          <w:color w:val="1E293B"/>
        </w:rPr>
        <w:t>Set Director credentials and allocate welcome token credits.</w:t>
      </w:r>
    </w:p>
    <w:p>
      <w:pPr>
        <w:pStyle w:val="ListBullet"/>
        <w:spacing w:after="60" w:before="20" w:line="276" w:lineRule="auto"/>
      </w:pPr>
      <w:r>
        <w:rPr>
          <w:color w:val="1E293B"/>
        </w:rPr>
        <w:t xml:space="preserve">Set </w:t>
      </w:r>
      <w:r>
        <w:rPr>
          <w:b/>
          <w:color w:val="065F46"/>
        </w:rPr>
        <w:t>Document Authority</w:t>
      </w:r>
      <w:r>
        <w:rPr>
          <w:color w:val="1E293B"/>
        </w:rPr>
        <w:t>: Grant autonomous certification privileges or require central Head Office approval for every student certificate.</w:t>
      </w:r>
    </w:p>
    <w:p>
      <w:pPr>
        <w:pStyle w:val="ListBullet"/>
        <w:spacing w:after="60" w:before="20" w:line="276" w:lineRule="auto"/>
      </w:pPr>
      <w:r>
        <w:rPr>
          <w:b/>
          <w:color w:val="065F46"/>
        </w:rPr>
        <w:t>One-Click Direct Portal Access ("Jump to Franchise")</w:t>
      </w:r>
      <w:r>
        <w:rPr>
          <w:color w:val="1E293B"/>
        </w:rPr>
        <w:t>: Master administrators can enter any franchise's internal dashboard with a single click to troubleshoot, audit, or assist without needing local passwords.</w:t>
      </w:r>
    </w:p>
    <w:p>
      <w:pPr>
        <w:pStyle w:val="ListBullet"/>
        <w:spacing w:after="60" w:before="20" w:line="276" w:lineRule="auto"/>
      </w:pPr>
      <w:r>
        <w:rPr>
          <w:b/>
          <w:color w:val="065F46"/>
        </w:rPr>
        <w:t>Bulk CSV Onboarding</w:t>
      </w:r>
      <w:r>
        <w:rPr>
          <w:color w:val="1E293B"/>
        </w:rPr>
        <w:t>: Import hundreds of legacy centers simultaneously using standardized CSV templates.</w:t>
      </w:r>
    </w:p>
    <w:p>
      <w:pPr>
        <w:spacing w:before="200" w:after="60"/>
      </w:pPr>
      <w:r>
        <w:rPr>
          <w:b/>
          <w:color w:val="0F172A"/>
          <w:sz w:val="22"/>
        </w:rPr>
        <w:t>2. Global Student Registry &amp; Central Verification</w:t>
      </w:r>
    </w:p>
    <w:p>
      <w:pPr>
        <w:pStyle w:val="ListBullet"/>
        <w:spacing w:after="60" w:before="20" w:line="276" w:lineRule="auto"/>
      </w:pPr>
      <w:r>
        <w:rPr>
          <w:b/>
          <w:color w:val="065F46"/>
        </w:rPr>
        <w:t>Cross-Center Student Search</w:t>
      </w:r>
      <w:r>
        <w:rPr>
          <w:color w:val="1E293B"/>
        </w:rPr>
        <w:t>: Search learners across the entire national network by Enrollment Number, Name, Phone Number, Course, or State.</w:t>
      </w:r>
    </w:p>
    <w:p>
      <w:pPr>
        <w:pStyle w:val="ListBullet"/>
        <w:spacing w:after="60" w:before="20" w:line="276" w:lineRule="auto"/>
      </w:pPr>
      <w:r>
        <w:rPr>
          <w:b/>
          <w:color w:val="065F46"/>
        </w:rPr>
        <w:t>Accredited Registration Card Verification</w:t>
      </w:r>
      <w:r>
        <w:rPr>
          <w:color w:val="1E293B"/>
        </w:rPr>
        <w:t>: Centralized review of student details and passport photographs. Approving an application unlocks the official printable Registration Card with the central board seal.</w:t>
      </w:r>
    </w:p>
    <w:p>
      <w:pPr>
        <w:pStyle w:val="ListBullet"/>
        <w:spacing w:after="60" w:before="20" w:line="276" w:lineRule="auto"/>
      </w:pPr>
      <w:r>
        <w:rPr>
          <w:b/>
          <w:color w:val="065F46"/>
        </w:rPr>
        <w:t>Certificate Fraud Prevention</w:t>
      </w:r>
      <w:r>
        <w:rPr>
          <w:color w:val="1E293B"/>
        </w:rPr>
        <w:t>: Direct oversight of examination scores and attendance records prior to issuing accredited diplomas.</w:t>
      </w:r>
    </w:p>
    <w:p>
      <w:pPr>
        <w:spacing w:before="200" w:after="60"/>
      </w:pPr>
      <w:r>
        <w:rPr>
          <w:b/>
          <w:color w:val="0F172A"/>
          <w:sz w:val="22"/>
        </w:rPr>
        <w:t>3. Accredited Global Course Master</w:t>
      </w:r>
    </w:p>
    <w:p>
      <w:pPr>
        <w:pStyle w:val="ListBullet"/>
        <w:spacing w:after="60" w:before="20" w:line="276" w:lineRule="auto"/>
      </w:pPr>
      <w:r>
        <w:rPr>
          <w:b/>
          <w:color w:val="065F46"/>
        </w:rPr>
        <w:t>Standardized Curriculum Governance</w:t>
      </w:r>
      <w:r>
        <w:rPr>
          <w:color w:val="1E293B"/>
        </w:rPr>
        <w:t xml:space="preserve">: Super Admin authors accredited courses (e.g., </w:t>
      </w:r>
      <w:r>
        <w:rPr>
          <w:i/>
        </w:rPr>
        <w:t>ADCA</w:t>
      </w:r>
      <w:r>
        <w:rPr>
          <w:color w:val="1E293B"/>
        </w:rPr>
        <w:t xml:space="preserve">, </w:t>
      </w:r>
      <w:r>
        <w:rPr>
          <w:i/>
        </w:rPr>
        <w:t>DCA</w:t>
      </w:r>
      <w:r>
        <w:rPr>
          <w:color w:val="1E293B"/>
        </w:rPr>
        <w:t xml:space="preserve">, </w:t>
      </w:r>
      <w:r>
        <w:rPr>
          <w:i/>
        </w:rPr>
        <w:t>Tally Prime</w:t>
      </w:r>
      <w:r>
        <w:rPr>
          <w:color w:val="1E293B"/>
        </w:rPr>
        <w:t xml:space="preserve">, </w:t>
      </w:r>
      <w:r>
        <w:rPr>
          <w:i/>
        </w:rPr>
        <w:t>Python</w:t>
      </w:r>
      <w:r>
        <w:rPr>
          <w:color w:val="1E293B"/>
        </w:rPr>
        <w:t>), complete with structured module topics, practical hours, and recommended fee schedules.</w:t>
      </w:r>
    </w:p>
    <w:p>
      <w:pPr>
        <w:pStyle w:val="ListBullet"/>
        <w:spacing w:after="60" w:before="20" w:line="276" w:lineRule="auto"/>
      </w:pPr>
      <w:r>
        <w:rPr>
          <w:b/>
          <w:color w:val="065F46"/>
        </w:rPr>
        <w:t>Course Group Taxonomy</w:t>
      </w:r>
      <w:r>
        <w:rPr>
          <w:color w:val="1E293B"/>
        </w:rPr>
        <w:t>: Group programs into recognized categories (</w:t>
      </w:r>
      <w:r>
        <w:rPr>
          <w:i/>
        </w:rPr>
        <w:t>Diplomas</w:t>
      </w:r>
      <w:r>
        <w:rPr>
          <w:color w:val="1E293B"/>
        </w:rPr>
        <w:t xml:space="preserve">, </w:t>
      </w:r>
      <w:r>
        <w:rPr>
          <w:i/>
        </w:rPr>
        <w:t>Accounting</w:t>
      </w:r>
      <w:r>
        <w:rPr>
          <w:color w:val="1E293B"/>
        </w:rPr>
        <w:t xml:space="preserve">, </w:t>
      </w:r>
      <w:r>
        <w:rPr>
          <w:i/>
        </w:rPr>
        <w:t>Vocational</w:t>
      </w:r>
      <w:r>
        <w:rPr>
          <w:color w:val="1E293B"/>
        </w:rPr>
        <w:t xml:space="preserve">, </w:t>
      </w:r>
      <w:r>
        <w:rPr>
          <w:i/>
        </w:rPr>
        <w:t>Kids Computer</w:t>
      </w:r>
      <w:r>
        <w:rPr>
          <w:color w:val="1E293B"/>
        </w:rPr>
        <w:t>).</w:t>
      </w:r>
    </w:p>
    <w:p>
      <w:pPr>
        <w:pStyle w:val="ListBullet"/>
        <w:spacing w:after="60" w:before="20" w:line="276" w:lineRule="auto"/>
      </w:pPr>
      <w:r>
        <w:rPr>
          <w:b/>
          <w:color w:val="065F46"/>
        </w:rPr>
        <w:t>Network-Wide Propagation</w:t>
      </w:r>
      <w:r>
        <w:rPr>
          <w:color w:val="1E293B"/>
        </w:rPr>
        <w:t>: Changes made at Head Office instantly reflect across all affiliated centers without manual data entry.</w:t>
      </w:r>
    </w:p>
    <w:p>
      <w:pPr>
        <w:spacing w:before="200" w:after="60"/>
      </w:pPr>
      <w:r>
        <w:rPr>
          <w:b/>
          <w:color w:val="0F172A"/>
          <w:sz w:val="22"/>
        </w:rPr>
        <w:t>4. Token Economy &amp; Merchant Banking Operations</w:t>
      </w:r>
    </w:p>
    <w:p>
      <w:pPr>
        <w:pStyle w:val="ListBullet"/>
        <w:spacing w:after="60" w:before="20" w:line="276" w:lineRule="auto"/>
      </w:pPr>
      <w:r>
        <w:rPr>
          <w:b/>
          <w:color w:val="065F46"/>
        </w:rPr>
        <w:t>Pre-Paid Operational Currency</w:t>
      </w:r>
      <w:r>
        <w:rPr>
          <w:color w:val="1E293B"/>
        </w:rPr>
        <w:t>: Central services (AI exam paper generation, PVC ID card issuance, tamper-proof certificates) are billed via internal wallet tokens.</w:t>
      </w:r>
    </w:p>
    <w:p>
      <w:pPr>
        <w:pStyle w:val="ListBullet"/>
        <w:spacing w:after="60" w:before="20" w:line="276" w:lineRule="auto"/>
      </w:pPr>
      <w:r>
        <w:rPr>
          <w:b/>
          <w:color w:val="065F46"/>
        </w:rPr>
        <w:t>Central Payment Setup</w:t>
      </w:r>
      <w:r>
        <w:rPr>
          <w:color w:val="1E293B"/>
        </w:rPr>
        <w:t>: Configure Head Office UPI ID, Dynamic Merchant QR Codes, and official bank account details.</w:t>
      </w:r>
    </w:p>
    <w:p>
      <w:pPr>
        <w:pStyle w:val="ListBullet"/>
        <w:spacing w:after="60" w:before="20" w:line="276" w:lineRule="auto"/>
      </w:pPr>
      <w:r>
        <w:rPr>
          <w:b/>
          <w:color w:val="065F46"/>
        </w:rPr>
        <w:t>Recharge Request Reconciliation</w:t>
      </w:r>
      <w:r>
        <w:rPr>
          <w:color w:val="1E293B"/>
        </w:rPr>
        <w:t xml:space="preserve">: Franchise owners submit top-up requests with uploaded UPI/Bank transfer payment slips. Head Office verifies the UTR reference and approves requests with </w:t>
      </w:r>
      <w:r>
        <w:rPr>
          <w:b/>
          <w:color w:val="065F46"/>
        </w:rPr>
        <w:t>one-click token minting</w:t>
      </w:r>
      <w:r>
        <w:rPr>
          <w:color w:val="1E293B"/>
        </w:rPr>
        <w:t>.</w:t>
      </w:r>
    </w:p>
    <w:p>
      <w:pPr>
        <w:pStyle w:val="ListBullet"/>
        <w:spacing w:after="60" w:before="20" w:line="276" w:lineRule="auto"/>
      </w:pPr>
      <w:r>
        <w:rPr>
          <w:b/>
          <w:color w:val="065F46"/>
        </w:rPr>
        <w:t>Direct Wallet Adjustments</w:t>
      </w:r>
      <w:r>
        <w:rPr>
          <w:color w:val="1E293B"/>
        </w:rPr>
        <w:t>: Credit or debit franchise tokens manually with mandatory audit remarks.</w:t>
      </w:r>
    </w:p>
    <w:p>
      <w:pPr>
        <w:spacing w:before="200" w:after="60"/>
      </w:pPr>
      <w:r>
        <w:rPr>
          <w:b/>
          <w:color w:val="0F172A"/>
          <w:sz w:val="22"/>
        </w:rPr>
        <w:t>5. Visual Document Designer &amp; Professional Printing Layouts</w:t>
      </w:r>
    </w:p>
    <w:p>
      <w:pPr>
        <w:pStyle w:val="ListBullet"/>
        <w:spacing w:after="60" w:before="20" w:line="276" w:lineRule="auto"/>
      </w:pPr>
      <w:r>
        <w:rPr>
          <w:b/>
          <w:color w:val="065F46"/>
        </w:rPr>
        <w:t>Visual Template Builder</w:t>
      </w:r>
      <w:r>
        <w:rPr>
          <w:color w:val="1E293B"/>
        </w:rPr>
        <w:t xml:space="preserve">: Design standardized credentials for the entire network: Certificates of Excellence, Academic Marksheets, Student PVC ID Cards, and </w:t>
      </w:r>
      <w:r>
        <w:rPr>
          <w:b/>
          <w:color w:val="065F46"/>
        </w:rPr>
        <w:t>Examination Admit Cards (Hall Tickets)</w:t>
      </w:r>
      <w:r>
        <w:rPr>
          <w:color w:val="1E293B"/>
        </w:rPr>
        <w:t>.</w:t>
      </w:r>
    </w:p>
    <w:p>
      <w:pPr>
        <w:pStyle w:val="ListBullet"/>
        <w:spacing w:after="60" w:before="20" w:line="276" w:lineRule="auto"/>
      </w:pPr>
      <w:r>
        <w:rPr>
          <w:b/>
          <w:color w:val="065F46"/>
        </w:rPr>
        <w:t>Dynamic Variable Tokens</w:t>
      </w:r>
      <w:r>
        <w:rPr>
          <w:color w:val="1E293B"/>
        </w:rPr>
        <w:t xml:space="preserve">: Placeholders like </w:t>
      </w:r>
      <w:r>
        <w:rPr>
          <w:rFonts w:ascii="Consolas" w:hAnsi="Consolas"/>
          <w:color w:val="0D9488"/>
          <w:sz w:val="19"/>
        </w:rPr>
        <w:t>{student_name}</w:t>
      </w:r>
      <w:r>
        <w:rPr>
          <w:color w:val="1E293B"/>
        </w:rPr>
        <w:t xml:space="preserve">, </w:t>
      </w:r>
      <w:r>
        <w:rPr>
          <w:rFonts w:ascii="Consolas" w:hAnsi="Consolas"/>
          <w:color w:val="0D9488"/>
          <w:sz w:val="19"/>
        </w:rPr>
        <w:t>{enrollment_no}</w:t>
      </w:r>
      <w:r>
        <w:rPr>
          <w:color w:val="1E293B"/>
        </w:rPr>
        <w:t xml:space="preserve">, </w:t>
      </w:r>
      <w:r>
        <w:rPr>
          <w:rFonts w:ascii="Consolas" w:hAnsi="Consolas"/>
          <w:color w:val="0D9488"/>
          <w:sz w:val="19"/>
        </w:rPr>
        <w:t>{center_name}</w:t>
      </w:r>
      <w:r>
        <w:rPr>
          <w:color w:val="1E293B"/>
        </w:rPr>
        <w:t xml:space="preserve">, </w:t>
      </w:r>
      <w:r>
        <w:rPr>
          <w:rFonts w:ascii="Consolas" w:hAnsi="Consolas"/>
          <w:color w:val="0D9488"/>
          <w:sz w:val="19"/>
        </w:rPr>
        <w:t>{course_title}</w:t>
      </w:r>
      <w:r>
        <w:rPr>
          <w:color w:val="1E293B"/>
        </w:rPr>
        <w:t xml:space="preserve">, </w:t>
      </w:r>
      <w:r>
        <w:rPr>
          <w:rFonts w:ascii="Consolas" w:hAnsi="Consolas"/>
          <w:color w:val="0D9488"/>
          <w:sz w:val="19"/>
        </w:rPr>
        <w:t>{grade}</w:t>
      </w:r>
      <w:r>
        <w:rPr>
          <w:color w:val="1E293B"/>
        </w:rPr>
        <w:t xml:space="preserve">, </w:t>
      </w:r>
      <w:r>
        <w:rPr>
          <w:rFonts w:ascii="Consolas" w:hAnsi="Consolas"/>
          <w:color w:val="0D9488"/>
          <w:sz w:val="19"/>
        </w:rPr>
        <w:t>{exam_center}</w:t>
      </w:r>
      <w:r>
        <w:rPr>
          <w:color w:val="1E293B"/>
        </w:rPr>
        <w:t xml:space="preserve">, </w:t>
      </w:r>
      <w:r>
        <w:rPr>
          <w:rFonts w:ascii="Consolas" w:hAnsi="Consolas"/>
          <w:color w:val="0D9488"/>
          <w:sz w:val="19"/>
        </w:rPr>
        <w:t>{seat_no}</w:t>
      </w:r>
      <w:r>
        <w:rPr>
          <w:color w:val="1E293B"/>
        </w:rPr>
        <w:t xml:space="preserve">, and </w:t>
      </w:r>
      <w:r>
        <w:rPr>
          <w:rFonts w:ascii="Consolas" w:hAnsi="Consolas"/>
          <w:color w:val="0D9488"/>
          <w:sz w:val="19"/>
        </w:rPr>
        <w:t>{issue_date}</w:t>
      </w:r>
      <w:r>
        <w:rPr>
          <w:color w:val="1E293B"/>
        </w:rPr>
        <w:t xml:space="preserve"> automatically resolve upon generation.</w:t>
      </w:r>
    </w:p>
    <w:p>
      <w:pPr>
        <w:pStyle w:val="ListBullet"/>
        <w:spacing w:after="60" w:before="20" w:line="276" w:lineRule="auto"/>
      </w:pPr>
      <w:r>
        <w:rPr>
          <w:b/>
          <w:color w:val="065F46"/>
        </w:rPr>
        <w:t>Dual-Mode Industrial Print Layout Engine</w:t>
      </w:r>
      <w:r>
        <w:rPr>
          <w:color w:val="1E293B"/>
        </w:rPr>
        <w:t>:</w:t>
      </w:r>
    </w:p>
    <w:p>
      <w:pPr>
        <w:pStyle w:val="ListBullet"/>
        <w:spacing w:after="60" w:before="20" w:line="276" w:lineRule="auto"/>
      </w:pPr>
      <w:r>
        <w:rPr>
          <w:b/>
          <w:color w:val="065F46"/>
        </w:rPr>
        <w:t>Single Page Mode (Standard Desktop)</w:t>
      </w:r>
      <w:r>
        <w:rPr>
          <w:color w:val="1E293B"/>
        </w:rPr>
        <w:t>: Generates 1 document per page with exact dimensions and orientation (portrait ID cards or landscape certificates) for standard desktop laser and PVC card printers.</w:t>
      </w:r>
    </w:p>
    <w:p>
      <w:pPr>
        <w:pStyle w:val="ListBullet"/>
        <w:spacing w:after="60" w:before="20" w:line="276" w:lineRule="auto"/>
      </w:pPr>
      <w:r>
        <w:rPr>
          <w:b/>
          <w:color w:val="065F46"/>
        </w:rPr>
        <w:t>Double Page / Press Print Mode (18x12 Inch Commercial Offset Layout)</w:t>
      </w:r>
      <w:r>
        <w:rPr>
          <w:color w:val="1E293B"/>
        </w:rPr>
        <w:t>: Renders two documents per page positioned side-by-side with calibrated margins on standard 18x12 inch offset press sheets. This allows institutions and commercial printing presses to print and cut certificates, marksheets, or duplex ID cards in high volume with zero waste.</w:t>
      </w:r>
    </w:p>
    <w:p>
      <w:pPr>
        <w:pStyle w:val="ListBullet"/>
        <w:spacing w:after="60" w:before="20" w:line="276" w:lineRule="auto"/>
      </w:pPr>
      <w:r>
        <w:rPr>
          <w:b/>
          <w:color w:val="065F46"/>
        </w:rPr>
        <w:t>Dynamic Anti-Counterfeit QR Code</w:t>
      </w:r>
      <w:r>
        <w:rPr>
          <w:color w:val="1E293B"/>
        </w:rPr>
        <w:t>: Embeds an encrypted QR code linking directly to the central online verification portal (</w:t>
      </w:r>
      <w:r>
        <w:rPr>
          <w:rFonts w:ascii="Consolas" w:hAnsi="Consolas"/>
          <w:color w:val="0D9488"/>
          <w:sz w:val="19"/>
        </w:rPr>
        <w:t>/verify/certificate/{id}</w:t>
      </w:r>
      <w:r>
        <w:rPr>
          <w:color w:val="1E293B"/>
        </w:rPr>
        <w:t>).</w:t>
      </w:r>
    </w:p>
    <w:p>
      <w:pPr>
        <w:pStyle w:val="ListBullet"/>
        <w:spacing w:after="60" w:before="20" w:line="276" w:lineRule="auto"/>
      </w:pPr>
      <w:r>
        <w:rPr>
          <w:b/>
          <w:color w:val="065F46"/>
        </w:rPr>
        <w:t>PVC ID Card Formats</w:t>
      </w:r>
      <w:r>
        <w:rPr>
          <w:color w:val="1E293B"/>
        </w:rPr>
        <w:t>: Formats dual-sided CR80 standard ID cards ready for direct PVC thermal card printing.</w:t>
      </w:r>
    </w:p>
    <w:p>
      <w:pPr>
        <w:spacing w:before="200" w:after="60"/>
      </w:pPr>
      <w:r>
        <w:rPr>
          <w:b/>
          <w:color w:val="0F172A"/>
          <w:sz w:val="22"/>
        </w:rPr>
        <w:t>6. Regional State Manager Network</w:t>
      </w:r>
    </w:p>
    <w:p>
      <w:pPr>
        <w:pStyle w:val="ListBullet"/>
        <w:spacing w:after="60" w:before="20" w:line="276" w:lineRule="auto"/>
      </w:pPr>
      <w:r>
        <w:rPr>
          <w:b/>
          <w:color w:val="065F46"/>
        </w:rPr>
        <w:t>Territorial Jurisdiction</w:t>
      </w:r>
      <w:r>
        <w:rPr>
          <w:color w:val="1E293B"/>
        </w:rPr>
        <w:t>: Appoint regional educational coordinators for specific States and Districts.</w:t>
      </w:r>
    </w:p>
    <w:p>
      <w:pPr>
        <w:pStyle w:val="ListBullet"/>
        <w:spacing w:after="60" w:before="20" w:line="276" w:lineRule="auto"/>
      </w:pPr>
      <w:r>
        <w:rPr>
          <w:b/>
          <w:color w:val="065F46"/>
        </w:rPr>
        <w:t>Regional Performance Dashboards</w:t>
      </w:r>
      <w:r>
        <w:rPr>
          <w:color w:val="1E293B"/>
        </w:rPr>
        <w:t>: Track center growth, student intake quotas, and compliance inspection reports across geographical territories.</w:t>
      </w:r>
    </w:p>
    <w:p>
      <w:pPr>
        <w:spacing w:before="200" w:after="60"/>
      </w:pPr>
      <w:r>
        <w:rPr>
          <w:b/>
          <w:color w:val="0F172A"/>
          <w:sz w:val="22"/>
        </w:rPr>
        <w:t>7. Central Wholesale Store &amp; Merchandise Supply Chain</w:t>
      </w:r>
    </w:p>
    <w:p>
      <w:pPr>
        <w:pStyle w:val="ListBullet"/>
        <w:spacing w:after="60" w:before="20" w:line="276" w:lineRule="auto"/>
      </w:pPr>
      <w:r>
        <w:rPr>
          <w:b/>
          <w:color w:val="065F46"/>
        </w:rPr>
        <w:t>Wholesale Inventory Management</w:t>
      </w:r>
      <w:r>
        <w:rPr>
          <w:color w:val="1E293B"/>
        </w:rPr>
        <w:t>: Supply accredited printed textbooks, branded student laptop backpacks, uniform t-shirts, and computer hardware kits.</w:t>
      </w:r>
    </w:p>
    <w:p>
      <w:pPr>
        <w:pStyle w:val="ListBullet"/>
        <w:spacing w:after="60" w:before="20" w:line="276" w:lineRule="auto"/>
      </w:pPr>
      <w:r>
        <w:rPr>
          <w:b/>
          <w:color w:val="065F46"/>
        </w:rPr>
        <w:t>Bulk Order Fulfillment</w:t>
      </w:r>
      <w:r>
        <w:rPr>
          <w:color w:val="1E293B"/>
        </w:rPr>
        <w:t>: Review purchase orders from franchises, record logistics consignment numbers (Blue Dart, Delhivery, DTDC), and track delivery statuses.</w:t>
      </w:r>
    </w:p>
    <w:p>
      <w:pPr>
        <w:spacing w:before="200" w:after="60"/>
      </w:pPr>
      <w:r>
        <w:rPr>
          <w:b/>
          <w:color w:val="0F172A"/>
          <w:sz w:val="22"/>
        </w:rPr>
        <w:t>8. National Platform Governance &amp; System Logs</w:t>
      </w:r>
    </w:p>
    <w:p>
      <w:pPr>
        <w:pStyle w:val="ListBullet"/>
        <w:spacing w:after="60" w:before="20" w:line="276" w:lineRule="auto"/>
      </w:pPr>
      <w:r>
        <w:rPr>
          <w:b/>
          <w:color w:val="065F46"/>
        </w:rPr>
        <w:t>Main Landing Page Builder</w:t>
      </w:r>
      <w:r>
        <w:rPr>
          <w:color w:val="1E293B"/>
        </w:rPr>
        <w:t xml:space="preserve">: Customize </w:t>
      </w:r>
      <w:r>
        <w:rPr>
          <w:rFonts w:ascii="Consolas" w:hAnsi="Consolas"/>
          <w:color w:val="0D9488"/>
          <w:sz w:val="19"/>
        </w:rPr>
        <w:t>https://abcdeduhub.com</w:t>
      </w:r>
      <w:r>
        <w:rPr>
          <w:color w:val="1E293B"/>
        </w:rPr>
        <w:t xml:space="preserve"> with value propositions, trust badges, ISO certifications, and affiliation inquiry forms.</w:t>
      </w:r>
    </w:p>
    <w:p>
      <w:pPr>
        <w:pStyle w:val="ListBullet"/>
        <w:spacing w:after="60" w:before="20" w:line="276" w:lineRule="auto"/>
      </w:pPr>
      <w:r>
        <w:rPr>
          <w:b/>
          <w:color w:val="065F46"/>
        </w:rPr>
        <w:t>Immutable System Activity Logs</w:t>
      </w:r>
      <w:r>
        <w:rPr>
          <w:color w:val="1E293B"/>
        </w:rPr>
        <w:t>: Complete audit trail capturing every administrative action (who approved a center, who minted tokens, when, and from which IP address) with one-click CSV export.</w:t>
      </w:r>
    </w:p>
    <w:p>
      <w:r>
        <w:br w:type="page"/>
      </w:r>
    </w:p>
    <w:p>
      <w:pPr>
        <w:spacing w:before="320" w:after="120"/>
      </w:pPr>
      <w:r>
        <w:rPr>
          <w:b/>
          <w:color w:val="065F46"/>
          <w:sz w:val="32"/>
        </w:rPr>
        <w:t>Chapter 4: Franchise &amp; Study Center Operations Suite</w:t>
      </w:r>
    </w:p>
    <w:p>
      <w:pPr>
        <w:spacing w:before="240" w:after="80"/>
      </w:pPr>
      <w:r>
        <w:rPr>
          <w:b/>
          <w:color w:val="0D9488"/>
          <w:sz w:val="26"/>
        </w:rPr>
        <w:t>4.1 Overview</w:t>
      </w:r>
    </w:p>
    <w:p>
      <w:pPr>
        <w:spacing w:after="120" w:before="0" w:line="276" w:lineRule="auto"/>
      </w:pPr>
      <w:r>
        <w:rPr>
          <w:color w:val="1E293B"/>
        </w:rPr>
        <w:t xml:space="preserve">The </w:t>
      </w:r>
      <w:r>
        <w:rPr>
          <w:b/>
          <w:color w:val="065F46"/>
        </w:rPr>
        <w:t>Franchise Administration Suite</w:t>
      </w:r>
      <w:r>
        <w:rPr>
          <w:color w:val="1E293B"/>
        </w:rPr>
        <w:t xml:space="preserve"> (</w:t>
      </w:r>
      <w:r>
        <w:rPr>
          <w:rFonts w:ascii="Consolas" w:hAnsi="Consolas"/>
          <w:color w:val="0D9488"/>
          <w:sz w:val="19"/>
        </w:rPr>
        <w:t>/admin</w:t>
      </w:r>
      <w:r>
        <w:rPr>
          <w:color w:val="1E293B"/>
        </w:rPr>
        <w:t>) provides branch directors, school principals, and center managers with a turnkey operational dashboard to manage daily academics, admissions, and finances without relying on Head Office for routine tasks.</w:t>
      </w:r>
    </w:p>
    <w:p>
      <w:pPr>
        <w:spacing w:after="120"/>
      </w:pPr>
    </w:p>
    <w:p>
      <w:pPr>
        <w:spacing w:before="240" w:after="80"/>
      </w:pPr>
      <w:r>
        <w:rPr>
          <w:b/>
          <w:color w:val="0D9488"/>
          <w:sz w:val="26"/>
        </w:rPr>
        <w:t>4.2 Core Franchise Operations</w:t>
      </w:r>
    </w:p>
    <w:p>
      <w:pPr>
        <w:spacing w:before="200" w:after="60"/>
      </w:pPr>
      <w:r>
        <w:rPr>
          <w:b/>
          <w:color w:val="0F172A"/>
          <w:sz w:val="22"/>
        </w:rPr>
        <w:t>1. Dynamic Course Management &amp; Advanced Pricing Engine</w:t>
      </w:r>
    </w:p>
    <w:p>
      <w:pPr>
        <w:pStyle w:val="ListBullet"/>
        <w:spacing w:after="60" w:before="20" w:line="276" w:lineRule="auto"/>
      </w:pPr>
      <w:r>
        <w:rPr>
          <w:b/>
          <w:color w:val="065F46"/>
        </w:rPr>
        <w:t>Global Catalog vs Local Overrides</w:t>
      </w:r>
      <w:r>
        <w:rPr>
          <w:color w:val="1E293B"/>
        </w:rPr>
        <w:t>: Franchise centers can adopt central accredited courses or create their own proprietary local certifications.</w:t>
      </w:r>
    </w:p>
    <w:p>
      <w:pPr>
        <w:pStyle w:val="ListBullet"/>
        <w:spacing w:after="60" w:before="20" w:line="276" w:lineRule="auto"/>
      </w:pPr>
      <w:r>
        <w:rPr>
          <w:b/>
          <w:color w:val="065F46"/>
        </w:rPr>
        <w:t>Granular Fee Builder</w:t>
      </w:r>
      <w:r>
        <w:rPr>
          <w:color w:val="1E293B"/>
        </w:rPr>
        <w:t>: Break down course costs into itemized components:</w:t>
      </w:r>
    </w:p>
    <w:p>
      <w:pPr>
        <w:pStyle w:val="ListBullet"/>
        <w:spacing w:after="60" w:before="20" w:line="276" w:lineRule="auto"/>
      </w:pPr>
      <w:r>
        <w:rPr>
          <w:i/>
        </w:rPr>
        <w:t>Total Course Fee</w:t>
      </w:r>
    </w:p>
    <w:p>
      <w:pPr>
        <w:pStyle w:val="ListBullet"/>
        <w:spacing w:after="60" w:before="20" w:line="276" w:lineRule="auto"/>
      </w:pPr>
      <w:r>
        <w:rPr>
          <w:i/>
        </w:rPr>
        <w:t>Admission Fee</w:t>
      </w:r>
      <w:r>
        <w:rPr>
          <w:color w:val="1E293B"/>
        </w:rPr>
        <w:t xml:space="preserve"> (One-time joining fee)</w:t>
      </w:r>
    </w:p>
    <w:p>
      <w:pPr>
        <w:pStyle w:val="ListBullet"/>
        <w:spacing w:after="60" w:before="20" w:line="276" w:lineRule="auto"/>
      </w:pPr>
      <w:r>
        <w:rPr>
          <w:i/>
        </w:rPr>
        <w:t>Registration Fee</w:t>
      </w:r>
      <w:r>
        <w:rPr>
          <w:color w:val="1E293B"/>
        </w:rPr>
        <w:t xml:space="preserve"> (Board registration &amp; kit)</w:t>
      </w:r>
    </w:p>
    <w:p>
      <w:pPr>
        <w:pStyle w:val="ListBullet"/>
        <w:spacing w:after="60" w:before="20" w:line="276" w:lineRule="auto"/>
      </w:pPr>
      <w:r>
        <w:rPr>
          <w:i/>
        </w:rPr>
        <w:t>Exam Fee</w:t>
      </w:r>
      <w:r>
        <w:rPr>
          <w:color w:val="1E293B"/>
        </w:rPr>
        <w:t xml:space="preserve"> (Assessment &amp; evaluation)</w:t>
      </w:r>
    </w:p>
    <w:p>
      <w:pPr>
        <w:pStyle w:val="ListBullet"/>
        <w:spacing w:after="60" w:before="20" w:line="276" w:lineRule="auto"/>
      </w:pPr>
      <w:r>
        <w:rPr>
          <w:i/>
        </w:rPr>
        <w:t>Regular Tuition Fee</w:t>
      </w:r>
    </w:p>
    <w:p>
      <w:pPr>
        <w:pStyle w:val="ListBullet"/>
        <w:spacing w:after="60" w:before="20" w:line="276" w:lineRule="auto"/>
      </w:pPr>
      <w:r>
        <w:rPr>
          <w:b/>
          <w:color w:val="065F46"/>
        </w:rPr>
        <w:t>Display Pricing &amp; Promotional Badges</w:t>
      </w:r>
      <w:r>
        <w:rPr>
          <w:color w:val="1E293B"/>
        </w:rPr>
        <w:t xml:space="preserve">: Set custom marketing tags displayed on course cards (e.g., </w:t>
      </w:r>
      <w:r>
        <w:rPr>
          <w:rFonts w:ascii="Consolas" w:hAnsi="Consolas"/>
          <w:color w:val="0D9488"/>
          <w:sz w:val="19"/>
        </w:rPr>
        <w:t>Early Bird Offer: 20% Off</w:t>
      </w:r>
      <w:r>
        <w:rPr>
          <w:color w:val="1E293B"/>
        </w:rPr>
        <w:t xml:space="preserve">, </w:t>
      </w:r>
      <w:r>
        <w:rPr>
          <w:rFonts w:ascii="Consolas" w:hAnsi="Consolas"/>
          <w:color w:val="0D9488"/>
          <w:sz w:val="19"/>
        </w:rPr>
        <w:t>Festive Discount</w:t>
      </w:r>
      <w:r>
        <w:rPr>
          <w:color w:val="1E293B"/>
        </w:rPr>
        <w:t xml:space="preserve">, </w:t>
      </w:r>
      <w:r>
        <w:rPr>
          <w:rFonts w:ascii="Consolas" w:hAnsi="Consolas"/>
          <w:color w:val="0D9488"/>
          <w:sz w:val="19"/>
        </w:rPr>
        <w:t>Scholarship Eligible</w:t>
      </w:r>
      <w:r>
        <w:rPr>
          <w:color w:val="1E293B"/>
        </w:rPr>
        <w:t>).</w:t>
      </w:r>
    </w:p>
    <w:p>
      <w:pPr>
        <w:pStyle w:val="ListBullet"/>
        <w:spacing w:after="60" w:before="20" w:line="276" w:lineRule="auto"/>
      </w:pPr>
      <w:r>
        <w:rPr>
          <w:b/>
          <w:color w:val="065F46"/>
        </w:rPr>
        <w:t>Installment &amp; EMI Management</w:t>
      </w:r>
      <w:r>
        <w:rPr>
          <w:color w:val="1E293B"/>
        </w:rPr>
        <w:t>: Configure monthly installment payment plans (</w:t>
      </w:r>
      <w:r>
        <w:rPr>
          <w:i/>
        </w:rPr>
        <w:t>Installment Amount</w:t>
      </w:r>
      <w:r>
        <w:rPr>
          <w:color w:val="1E293B"/>
        </w:rPr>
        <w:t xml:space="preserve"> and </w:t>
      </w:r>
      <w:r>
        <w:rPr>
          <w:i/>
        </w:rPr>
        <w:t>Total Installments</w:t>
      </w:r>
      <w:r>
        <w:rPr>
          <w:color w:val="1E293B"/>
        </w:rPr>
        <w:t>). Enrolled students have scheduled installments generated automatically in their fee ledgers.</w:t>
      </w:r>
    </w:p>
    <w:p>
      <w:pPr>
        <w:pStyle w:val="ListBullet"/>
        <w:spacing w:after="60" w:before="20" w:line="276" w:lineRule="auto"/>
      </w:pPr>
      <w:r>
        <w:rPr>
          <w:b/>
          <w:color w:val="065F46"/>
        </w:rPr>
        <w:t>Show/Hide Fee Toggle</w:t>
      </w:r>
      <w:r>
        <w:rPr>
          <w:color w:val="1E293B"/>
        </w:rPr>
        <w:t xml:space="preserve">: Choose whether fees are displayed publicly on the website or shown as </w:t>
      </w:r>
      <w:r>
        <w:rPr>
          <w:i/>
        </w:rPr>
        <w:t>"Contact Center for Pricing"</w:t>
      </w:r>
      <w:r>
        <w:rPr>
          <w:color w:val="1E293B"/>
        </w:rPr>
        <w:t xml:space="preserve"> to generate offline inquiries.</w:t>
      </w:r>
    </w:p>
    <w:p>
      <w:pPr>
        <w:spacing w:before="200" w:after="60"/>
      </w:pPr>
      <w:r>
        <w:rPr>
          <w:b/>
          <w:color w:val="0F172A"/>
          <w:sz w:val="22"/>
        </w:rPr>
        <w:t>2. Admission Form Configuration Engine</w:t>
      </w:r>
    </w:p>
    <w:p>
      <w:pPr>
        <w:spacing w:after="120" w:before="0" w:line="276" w:lineRule="auto"/>
      </w:pPr>
      <w:r>
        <w:rPr>
          <w:color w:val="1E293B"/>
        </w:rPr>
        <w:t>Every franchise center has its own high-conversion public admission portal (</w:t>
      </w:r>
      <w:r>
        <w:rPr>
          <w:rFonts w:ascii="Consolas" w:hAnsi="Consolas"/>
          <w:color w:val="0D9488"/>
          <w:sz w:val="19"/>
        </w:rPr>
        <w:t>/admission</w:t>
      </w:r>
      <w:r>
        <w:rPr>
          <w:color w:val="1E293B"/>
        </w:rPr>
        <w:t>) with a customizable form builder:</w:t>
      </w:r>
    </w:p>
    <w:p>
      <w:pPr>
        <w:pStyle w:val="ListBullet"/>
        <w:spacing w:after="60" w:before="20" w:line="276" w:lineRule="auto"/>
      </w:pPr>
      <w:r>
        <w:rPr>
          <w:b/>
          <w:color w:val="065F46"/>
        </w:rPr>
        <w:t>Intake Control</w:t>
      </w:r>
      <w:r>
        <w:rPr>
          <w:color w:val="1E293B"/>
        </w:rPr>
        <w:t>: Enable or close online admissions with a single toggle.</w:t>
      </w:r>
    </w:p>
    <w:p>
      <w:pPr>
        <w:pStyle w:val="ListBullet"/>
        <w:spacing w:after="60" w:before="20" w:line="276" w:lineRule="auto"/>
      </w:pPr>
      <w:r>
        <w:rPr>
          <w:b/>
          <w:color w:val="065F46"/>
        </w:rPr>
        <w:t>Student Guidelines &amp; Acknowledgments</w:t>
      </w:r>
      <w:r>
        <w:rPr>
          <w:color w:val="1E293B"/>
        </w:rPr>
        <w:t>: Customize applicant instructions and post-submission success messages.</w:t>
      </w:r>
    </w:p>
    <w:p>
      <w:pPr>
        <w:pStyle w:val="ListBullet"/>
        <w:spacing w:after="60" w:before="20" w:line="276" w:lineRule="auto"/>
      </w:pPr>
      <w:r>
        <w:rPr>
          <w:b/>
          <w:color w:val="065F46"/>
        </w:rPr>
        <w:t>Toggle Standard Demographic Fields</w:t>
      </w:r>
      <w:r>
        <w:rPr>
          <w:color w:val="1E293B"/>
        </w:rPr>
        <w:t>: Turn on/off fields according to local requirements:</w:t>
      </w:r>
    </w:p>
    <w:p>
      <w:pPr>
        <w:pStyle w:val="ListBullet"/>
        <w:spacing w:after="60" w:before="20" w:line="276" w:lineRule="auto"/>
      </w:pPr>
      <w:r>
        <w:rPr>
          <w:i/>
        </w:rPr>
        <w:t>Date of Birth</w:t>
      </w:r>
      <w:r>
        <w:rPr>
          <w:color w:val="1E293B"/>
        </w:rPr>
        <w:t xml:space="preserve">, </w:t>
      </w:r>
      <w:r>
        <w:rPr>
          <w:i/>
        </w:rPr>
        <w:t>Gender</w:t>
      </w:r>
      <w:r>
        <w:rPr>
          <w:color w:val="1E293B"/>
        </w:rPr>
        <w:t xml:space="preserve">, </w:t>
      </w:r>
      <w:r>
        <w:rPr>
          <w:i/>
        </w:rPr>
        <w:t>Blood Group</w:t>
      </w:r>
      <w:r>
        <w:rPr>
          <w:color w:val="1E293B"/>
        </w:rPr>
        <w:t xml:space="preserve">, </w:t>
      </w:r>
      <w:r>
        <w:rPr>
          <w:i/>
        </w:rPr>
        <w:t>Religion</w:t>
      </w:r>
      <w:r>
        <w:rPr>
          <w:color w:val="1E293B"/>
        </w:rPr>
        <w:t xml:space="preserve">, </w:t>
      </w:r>
      <w:r>
        <w:rPr>
          <w:i/>
        </w:rPr>
        <w:t>Caste / Category</w:t>
      </w:r>
    </w:p>
    <w:p>
      <w:pPr>
        <w:pStyle w:val="ListBullet"/>
        <w:spacing w:after="60" w:before="20" w:line="276" w:lineRule="auto"/>
      </w:pPr>
      <w:r>
        <w:rPr>
          <w:i/>
        </w:rPr>
        <w:t>WhatsApp Number</w:t>
      </w:r>
      <w:r>
        <w:rPr>
          <w:color w:val="1E293B"/>
        </w:rPr>
        <w:t xml:space="preserve">, </w:t>
      </w:r>
      <w:r>
        <w:rPr>
          <w:i/>
        </w:rPr>
        <w:t>Father's Name</w:t>
      </w:r>
      <w:r>
        <w:rPr>
          <w:color w:val="1E293B"/>
        </w:rPr>
        <w:t xml:space="preserve">, </w:t>
      </w:r>
      <w:r>
        <w:rPr>
          <w:i/>
        </w:rPr>
        <w:t>Mother's Name</w:t>
      </w:r>
      <w:r>
        <w:rPr>
          <w:color w:val="1E293B"/>
        </w:rPr>
        <w:t xml:space="preserve">, </w:t>
      </w:r>
      <w:r>
        <w:rPr>
          <w:i/>
        </w:rPr>
        <w:t>Guardian Emergency Phone</w:t>
      </w:r>
    </w:p>
    <w:p>
      <w:pPr>
        <w:pStyle w:val="ListBullet"/>
        <w:spacing w:after="60" w:before="20" w:line="276" w:lineRule="auto"/>
      </w:pPr>
      <w:r>
        <w:rPr>
          <w:i/>
        </w:rPr>
        <w:t>Previous Educational Qualification</w:t>
      </w:r>
    </w:p>
    <w:p>
      <w:pPr>
        <w:pStyle w:val="ListBullet"/>
        <w:spacing w:after="60" w:before="20" w:line="276" w:lineRule="auto"/>
      </w:pPr>
      <w:r>
        <w:rPr>
          <w:b/>
          <w:color w:val="065F46"/>
        </w:rPr>
        <w:t>Custom Dynamic Questions</w:t>
      </w:r>
      <w:r>
        <w:rPr>
          <w:color w:val="1E293B"/>
        </w:rPr>
        <w:t>: Add custom inputs (</w:t>
      </w:r>
      <w:r>
        <w:rPr>
          <w:i/>
        </w:rPr>
        <w:t>Text</w:t>
      </w:r>
      <w:r>
        <w:rPr>
          <w:color w:val="1E293B"/>
        </w:rPr>
        <w:t xml:space="preserve">, </w:t>
      </w:r>
      <w:r>
        <w:rPr>
          <w:i/>
        </w:rPr>
        <w:t>Number</w:t>
      </w:r>
      <w:r>
        <w:rPr>
          <w:color w:val="1E293B"/>
        </w:rPr>
        <w:t xml:space="preserve">, </w:t>
      </w:r>
      <w:r>
        <w:rPr>
          <w:i/>
        </w:rPr>
        <w:t>Date</w:t>
      </w:r>
      <w:r>
        <w:rPr>
          <w:color w:val="1E293B"/>
        </w:rPr>
        <w:t xml:space="preserve">, </w:t>
      </w:r>
      <w:r>
        <w:rPr>
          <w:i/>
        </w:rPr>
        <w:t>Dropdown Selection</w:t>
      </w:r>
      <w:r>
        <w:rPr>
          <w:color w:val="1E293B"/>
        </w:rPr>
        <w:t xml:space="preserve">, </w:t>
      </w:r>
      <w:r>
        <w:rPr>
          <w:i/>
        </w:rPr>
        <w:t>Textarea</w:t>
      </w:r>
      <w:r>
        <w:rPr>
          <w:color w:val="1E293B"/>
        </w:rPr>
        <w:t>) with mandatory response flags.</w:t>
      </w:r>
    </w:p>
    <w:p>
      <w:pPr>
        <w:pStyle w:val="ListBullet"/>
        <w:spacing w:after="60" w:before="20" w:line="276" w:lineRule="auto"/>
      </w:pPr>
      <w:r>
        <w:rPr>
          <w:b/>
          <w:color w:val="065F46"/>
        </w:rPr>
        <w:t>Mandatory Document Upload Checklist</w:t>
      </w:r>
      <w:r>
        <w:rPr>
          <w:color w:val="1E293B"/>
        </w:rPr>
        <w:t>: Require students to upload digital photographs, Aadhaar/ID proof, and previous marksheets before submission.</w:t>
      </w:r>
    </w:p>
    <w:p>
      <w:pPr>
        <w:pStyle w:val="ListBullet"/>
        <w:spacing w:after="60" w:before="20" w:line="276" w:lineRule="auto"/>
      </w:pPr>
      <w:r>
        <w:rPr>
          <w:b/>
          <w:color w:val="065F46"/>
        </w:rPr>
        <w:t>Admission PDF Legal Declaration</w:t>
      </w:r>
      <w:r>
        <w:rPr>
          <w:color w:val="1E293B"/>
        </w:rPr>
        <w:t>: Customize the legally binding declaration text printed on the student's physical admission application form.</w:t>
      </w:r>
    </w:p>
    <w:p>
      <w:pPr>
        <w:spacing w:before="200" w:after="60"/>
      </w:pPr>
      <w:r>
        <w:rPr>
          <w:b/>
          <w:color w:val="0F172A"/>
          <w:sz w:val="22"/>
        </w:rPr>
        <w:t>3. Admissions Processing &amp; One-Click Enrollment</w:t>
      </w:r>
    </w:p>
    <w:p>
      <w:pPr>
        <w:pStyle w:val="ListBullet"/>
        <w:spacing w:after="60" w:before="20" w:line="276" w:lineRule="auto"/>
      </w:pPr>
      <w:r>
        <w:rPr>
          <w:b/>
          <w:color w:val="065F46"/>
        </w:rPr>
        <w:t>Admissions Inbox</w:t>
      </w:r>
      <w:r>
        <w:rPr>
          <w:color w:val="1E293B"/>
        </w:rPr>
        <w:t>: Real-time pulsing badge alerts center staff to incoming applications.</w:t>
      </w:r>
    </w:p>
    <w:p>
      <w:pPr>
        <w:pStyle w:val="ListBullet"/>
        <w:spacing w:after="60" w:before="20" w:line="276" w:lineRule="auto"/>
      </w:pPr>
      <w:r>
        <w:rPr>
          <w:b/>
          <w:color w:val="065F46"/>
        </w:rPr>
        <w:t>Dossier Inspection</w:t>
      </w:r>
      <w:r>
        <w:rPr>
          <w:color w:val="1E293B"/>
        </w:rPr>
        <w:t>: Review submitted biographical details, inspect uploaded photos, and verify ID documents.</w:t>
      </w:r>
    </w:p>
    <w:p>
      <w:pPr>
        <w:pStyle w:val="ListBullet"/>
        <w:spacing w:after="60" w:before="20" w:line="276" w:lineRule="auto"/>
      </w:pPr>
      <w:r>
        <w:rPr>
          <w:b/>
          <w:color w:val="065F46"/>
        </w:rPr>
        <w:t>One-Click Approval &amp; Batch Placement</w:t>
      </w:r>
      <w:r>
        <w:rPr>
          <w:color w:val="1E293B"/>
        </w:rPr>
        <w:t>: Select a classroom batch, confirm the official admission date, and approve the application.</w:t>
      </w:r>
    </w:p>
    <w:p>
      <w:pPr>
        <w:pStyle w:val="ListBullet"/>
        <w:spacing w:after="60" w:before="20" w:line="276" w:lineRule="auto"/>
      </w:pPr>
      <w:r>
        <w:rPr>
          <w:b/>
          <w:color w:val="065F46"/>
        </w:rPr>
        <w:t>Automated Accreditation Enrollment Numbering</w:t>
      </w:r>
      <w:r>
        <w:rPr>
          <w:color w:val="1E293B"/>
        </w:rPr>
        <w:t>: Generates standardized enrollment numbers (</w:t>
      </w:r>
      <w:r>
        <w:rPr>
          <w:rFonts w:ascii="Consolas" w:hAnsi="Consolas"/>
          <w:color w:val="0D9488"/>
          <w:sz w:val="19"/>
        </w:rPr>
        <w:t>{CenterCode}-{Year}-{Serial}</w:t>
      </w:r>
      <w:r>
        <w:rPr>
          <w:color w:val="1E293B"/>
        </w:rPr>
        <w:t>) and provisions the student portal account instantly.</w:t>
      </w:r>
    </w:p>
    <w:p>
      <w:pPr>
        <w:pStyle w:val="ListBullet"/>
        <w:spacing w:after="60" w:before="20" w:line="276" w:lineRule="auto"/>
      </w:pPr>
      <w:r>
        <w:rPr>
          <w:b/>
          <w:color w:val="065F46"/>
        </w:rPr>
        <w:t>Official Admission Application PDF</w:t>
      </w:r>
      <w:r>
        <w:rPr>
          <w:color w:val="1E293B"/>
        </w:rPr>
        <w:t>: Download or print clean, formatted enrollment forms complete with center headers, photo box, and signature lines.</w:t>
      </w:r>
    </w:p>
    <w:p>
      <w:pPr>
        <w:spacing w:before="200" w:after="60"/>
      </w:pPr>
      <w:r>
        <w:rPr>
          <w:b/>
          <w:color w:val="0F172A"/>
          <w:sz w:val="22"/>
        </w:rPr>
        <w:t>4. Student Directory &amp; Complete Academic Lifecycle</w:t>
      </w:r>
    </w:p>
    <w:p>
      <w:pPr>
        <w:pStyle w:val="ListBullet"/>
        <w:spacing w:after="60" w:before="20" w:line="276" w:lineRule="auto"/>
      </w:pPr>
      <w:r>
        <w:rPr>
          <w:b/>
          <w:color w:val="065F46"/>
        </w:rPr>
        <w:t>Unified Student Database</w:t>
      </w:r>
      <w:r>
        <w:rPr>
          <w:color w:val="1E293B"/>
        </w:rPr>
        <w:t>: Search, filter by batch, course, or enrollment status (</w:t>
      </w:r>
      <w:r>
        <w:rPr>
          <w:rFonts w:ascii="Consolas" w:hAnsi="Consolas"/>
          <w:color w:val="0D9488"/>
          <w:sz w:val="19"/>
        </w:rPr>
        <w:t>Active</w:t>
      </w:r>
      <w:r>
        <w:rPr>
          <w:color w:val="1E293B"/>
        </w:rPr>
        <w:t xml:space="preserve">, </w:t>
      </w:r>
      <w:r>
        <w:rPr>
          <w:rFonts w:ascii="Consolas" w:hAnsi="Consolas"/>
          <w:color w:val="0D9488"/>
          <w:sz w:val="19"/>
        </w:rPr>
        <w:t>Completed</w:t>
      </w:r>
      <w:r>
        <w:rPr>
          <w:color w:val="1E293B"/>
        </w:rPr>
        <w:t xml:space="preserve">, </w:t>
      </w:r>
      <w:r>
        <w:rPr>
          <w:rFonts w:ascii="Consolas" w:hAnsi="Consolas"/>
          <w:color w:val="0D9488"/>
          <w:sz w:val="19"/>
        </w:rPr>
        <w:t>Suspended</w:t>
      </w:r>
      <w:r>
        <w:rPr>
          <w:color w:val="1E293B"/>
        </w:rPr>
        <w:t>).</w:t>
      </w:r>
    </w:p>
    <w:p>
      <w:pPr>
        <w:pStyle w:val="ListBullet"/>
        <w:spacing w:after="60" w:before="20" w:line="276" w:lineRule="auto"/>
      </w:pPr>
      <w:r>
        <w:rPr>
          <w:b/>
          <w:color w:val="065F46"/>
        </w:rPr>
        <w:t>Manual Walk-In Student Admission</w:t>
      </w:r>
      <w:r>
        <w:rPr>
          <w:color w:val="1E293B"/>
        </w:rPr>
        <w:t>: Front-desk staff can register walk-in offline students in under 2 minutes.</w:t>
      </w:r>
    </w:p>
    <w:p>
      <w:pPr>
        <w:pStyle w:val="ListBullet"/>
        <w:spacing w:after="60" w:before="20" w:line="276" w:lineRule="auto"/>
      </w:pPr>
      <w:r>
        <w:rPr>
          <w:b/>
          <w:color w:val="065F46"/>
        </w:rPr>
        <w:t>Admission Date Modification with Year Recalculation</w:t>
      </w:r>
      <w:r>
        <w:rPr>
          <w:color w:val="1E293B"/>
        </w:rPr>
        <w:t>: Adjusting an admission date across calendar years automatically updates the registration number year segment with an audit confirmation.</w:t>
      </w:r>
    </w:p>
    <w:p>
      <w:pPr>
        <w:pStyle w:val="ListBullet"/>
        <w:spacing w:after="60" w:before="20" w:line="276" w:lineRule="auto"/>
      </w:pPr>
      <w:r>
        <w:rPr>
          <w:b/>
          <w:color w:val="065F46"/>
        </w:rPr>
        <w:t>Instant PVC ID Card Generator</w:t>
      </w:r>
      <w:r>
        <w:rPr>
          <w:color w:val="1E293B"/>
        </w:rPr>
        <w:t xml:space="preserve">: Generates high-resolution front-and-back student ID cards with accredited center branding and live </w:t>
      </w:r>
      <w:r>
        <w:rPr>
          <w:b/>
          <w:color w:val="065F46"/>
        </w:rPr>
        <w:t>Verification QR Codes</w:t>
      </w:r>
      <w:r>
        <w:rPr>
          <w:color w:val="1E293B"/>
        </w:rPr>
        <w:t>.</w:t>
      </w:r>
    </w:p>
    <w:p>
      <w:pPr>
        <w:pStyle w:val="ListBullet"/>
        <w:spacing w:after="60" w:before="20" w:line="276" w:lineRule="auto"/>
      </w:pPr>
      <w:r>
        <w:rPr>
          <w:b/>
          <w:color w:val="065F46"/>
        </w:rPr>
        <w:t>Accredited Certificate &amp; Marksheet Issuance</w:t>
      </w:r>
      <w:r>
        <w:rPr>
          <w:color w:val="1E293B"/>
        </w:rPr>
        <w:t>: Issue formal completion diplomas and detailed marks transcripts with grades, percentages, and anti-counterfeit QR codes.</w:t>
      </w:r>
    </w:p>
    <w:p>
      <w:pPr>
        <w:pStyle w:val="ListBullet"/>
        <w:spacing w:after="60" w:before="20" w:line="276" w:lineRule="auto"/>
      </w:pPr>
      <w:r>
        <w:rPr>
          <w:b/>
          <w:color w:val="065F46"/>
        </w:rPr>
        <w:t>Instant Examination Admit Card / Hall Ticket Generation</w:t>
      </w:r>
      <w:r>
        <w:rPr>
          <w:color w:val="1E293B"/>
        </w:rPr>
        <w:t>:</w:t>
      </w:r>
    </w:p>
    <w:p>
      <w:pPr>
        <w:pStyle w:val="ListBullet"/>
        <w:spacing w:after="60" w:before="20" w:line="276" w:lineRule="auto"/>
      </w:pPr>
      <w:r>
        <w:rPr>
          <w:color w:val="1E293B"/>
        </w:rPr>
        <w:t>One-click Admit Card generation for eligible enrolled learners.</w:t>
      </w:r>
    </w:p>
    <w:p>
      <w:pPr>
        <w:pStyle w:val="ListBullet"/>
        <w:spacing w:after="60" w:before="20" w:line="276" w:lineRule="auto"/>
      </w:pPr>
      <w:r>
        <w:rPr>
          <w:color w:val="1E293B"/>
        </w:rPr>
        <w:t>Automatically validates that the student meets the minimum required attendance threshold (e.g., &gt;= 75%) before issuing.</w:t>
      </w:r>
    </w:p>
    <w:p>
      <w:pPr>
        <w:pStyle w:val="ListBullet"/>
        <w:spacing w:after="60" w:before="20" w:line="276" w:lineRule="auto"/>
      </w:pPr>
      <w:r>
        <w:rPr>
          <w:color w:val="1E293B"/>
        </w:rPr>
        <w:t>Formatted with student photo, enrollment number, exam center address, schedule, and entry verification QR code.</w:t>
      </w:r>
    </w:p>
    <w:p>
      <w:pPr>
        <w:pStyle w:val="ListBullet"/>
        <w:spacing w:after="60" w:before="20" w:line="276" w:lineRule="auto"/>
      </w:pPr>
      <w:r>
        <w:rPr>
          <w:b/>
          <w:color w:val="065F46"/>
        </w:rPr>
        <w:t>Single Page vs Double Page Printing Layout</w:t>
      </w:r>
      <w:r>
        <w:rPr>
          <w:color w:val="1E293B"/>
        </w:rPr>
        <w:t>:</w:t>
      </w:r>
    </w:p>
    <w:p>
      <w:pPr>
        <w:pStyle w:val="ListBullet"/>
        <w:spacing w:after="60" w:before="20" w:line="276" w:lineRule="auto"/>
      </w:pPr>
      <w:r>
        <w:rPr>
          <w:b/>
          <w:color w:val="065F46"/>
        </w:rPr>
        <w:t>Single Page Mode</w:t>
      </w:r>
      <w:r>
        <w:rPr>
          <w:color w:val="1E293B"/>
        </w:rPr>
        <w:t>: Generates individual documents on dedicated pages for direct desktop printing.</w:t>
      </w:r>
    </w:p>
    <w:p>
      <w:pPr>
        <w:pStyle w:val="ListBullet"/>
        <w:spacing w:after="60" w:before="20" w:line="276" w:lineRule="auto"/>
      </w:pPr>
      <w:r>
        <w:rPr>
          <w:b/>
          <w:color w:val="065F46"/>
        </w:rPr>
        <w:t>Double Page / Press Print Mode (18x12 Inch Offset Layout)</w:t>
      </w:r>
      <w:r>
        <w:rPr>
          <w:color w:val="1E293B"/>
        </w:rPr>
        <w:t>: Places two documents side-by-side on standard 18x12 inch offset sheets for high-volume commercial printing and cutting.</w:t>
      </w:r>
    </w:p>
    <w:p>
      <w:pPr>
        <w:pStyle w:val="ListBullet"/>
        <w:spacing w:after="60" w:before="20" w:line="276" w:lineRule="auto"/>
      </w:pPr>
      <w:r>
        <w:rPr>
          <w:b/>
          <w:color w:val="065F46"/>
        </w:rPr>
        <w:t>Credential Management</w:t>
      </w:r>
      <w:r>
        <w:rPr>
          <w:color w:val="1E293B"/>
        </w:rPr>
        <w:t>: Reset student portal passwords with one click.</w:t>
      </w:r>
    </w:p>
    <w:p>
      <w:pPr>
        <w:spacing w:before="200" w:after="60"/>
      </w:pPr>
      <w:r>
        <w:rPr>
          <w:b/>
          <w:color w:val="0F172A"/>
          <w:sz w:val="22"/>
        </w:rPr>
        <w:t>5. Fees Management &amp; Financial Accounting</w:t>
      </w:r>
    </w:p>
    <w:p>
      <w:pPr>
        <w:pStyle w:val="ListBullet"/>
        <w:spacing w:after="60" w:before="20" w:line="276" w:lineRule="auto"/>
      </w:pPr>
      <w:r>
        <w:rPr>
          <w:b/>
          <w:color w:val="065F46"/>
        </w:rPr>
        <w:t>Real-Time Financial Metrics</w:t>
      </w:r>
      <w:r>
        <w:rPr>
          <w:color w:val="1E293B"/>
        </w:rPr>
        <w:t xml:space="preserve">: Instant visibility into </w:t>
      </w:r>
      <w:r>
        <w:rPr>
          <w:i/>
        </w:rPr>
        <w:t>Total Course Revenue</w:t>
      </w:r>
      <w:r>
        <w:rPr>
          <w:color w:val="1E293B"/>
        </w:rPr>
        <w:t xml:space="preserve">, </w:t>
      </w:r>
      <w:r>
        <w:rPr>
          <w:i/>
        </w:rPr>
        <w:t>Total Collections Received</w:t>
      </w:r>
      <w:r>
        <w:rPr>
          <w:color w:val="1E293B"/>
        </w:rPr>
        <w:t xml:space="preserve">, and </w:t>
      </w:r>
      <w:r>
        <w:rPr>
          <w:i/>
        </w:rPr>
        <w:t>Total Outstanding Dues</w:t>
      </w:r>
      <w:r>
        <w:rPr>
          <w:color w:val="1E293B"/>
        </w:rPr>
        <w:t>.</w:t>
      </w:r>
    </w:p>
    <w:p>
      <w:pPr>
        <w:pStyle w:val="ListBullet"/>
        <w:spacing w:after="60" w:before="20" w:line="276" w:lineRule="auto"/>
      </w:pPr>
      <w:r>
        <w:rPr>
          <w:b/>
          <w:color w:val="065F46"/>
        </w:rPr>
        <w:t>Offline Payment Recording</w:t>
      </w:r>
      <w:r>
        <w:rPr>
          <w:color w:val="1E293B"/>
        </w:rPr>
        <w:t>: Record cash, cheque, bank transfer, or counter UPI payments with automatic balance updates.</w:t>
      </w:r>
    </w:p>
    <w:p>
      <w:pPr>
        <w:pStyle w:val="ListBullet"/>
        <w:spacing w:after="60" w:before="20" w:line="276" w:lineRule="auto"/>
      </w:pPr>
      <w:r>
        <w:rPr>
          <w:b/>
          <w:color w:val="065F46"/>
        </w:rPr>
        <w:t>Instant Fee Receipt Generation</w:t>
      </w:r>
      <w:r>
        <w:rPr>
          <w:color w:val="1E293B"/>
        </w:rPr>
        <w:t>: Print formal printed receipts complete with receipt numbers, figures-and-words breakdown, and authorized cashier signatures.</w:t>
      </w:r>
    </w:p>
    <w:p>
      <w:pPr>
        <w:pStyle w:val="ListBullet"/>
        <w:spacing w:after="60" w:before="20" w:line="276" w:lineRule="auto"/>
      </w:pPr>
      <w:r>
        <w:rPr>
          <w:b/>
          <w:color w:val="065F46"/>
        </w:rPr>
        <w:t>Online Student UPI Payment Slip Verification</w:t>
      </w:r>
      <w:r>
        <w:rPr>
          <w:color w:val="1E293B"/>
        </w:rPr>
        <w:t>: Students can pay installments online and upload UPI transaction screenshots. Staff inspects the slip, matches the UTR, and approves or rejects with a single click.</w:t>
      </w:r>
    </w:p>
    <w:p>
      <w:pPr>
        <w:pStyle w:val="ListBullet"/>
        <w:spacing w:after="60" w:before="20" w:line="276" w:lineRule="auto"/>
      </w:pPr>
      <w:r>
        <w:rPr>
          <w:b/>
          <w:color w:val="065F46"/>
        </w:rPr>
        <w:t>Defaulters Tracking &amp; Automated Reminders</w:t>
      </w:r>
      <w:r>
        <w:rPr>
          <w:color w:val="1E293B"/>
        </w:rPr>
        <w:t>: Filter students with overdue installments and trigger automated payment reminder notifications.</w:t>
      </w:r>
    </w:p>
    <w:p>
      <w:pPr>
        <w:spacing w:before="200" w:after="60"/>
      </w:pPr>
      <w:r>
        <w:rPr>
          <w:b/>
          <w:color w:val="0F172A"/>
          <w:sz w:val="22"/>
        </w:rPr>
        <w:t>6. Daily Batch Attendance &amp; Smart QR Code Scanner</w:t>
      </w:r>
    </w:p>
    <w:p>
      <w:pPr>
        <w:pStyle w:val="ListBullet"/>
        <w:spacing w:after="60" w:before="20" w:line="276" w:lineRule="auto"/>
      </w:pPr>
      <w:r>
        <w:rPr>
          <w:b/>
          <w:color w:val="065F46"/>
        </w:rPr>
        <w:t>Dual Attendance Modes (Manual Register + Smart QR Scanner)</w:t>
      </w:r>
      <w:r>
        <w:rPr>
          <w:color w:val="1E293B"/>
        </w:rPr>
        <w:t>:</w:t>
      </w:r>
    </w:p>
    <w:p>
      <w:pPr>
        <w:pStyle w:val="ListBullet"/>
        <w:spacing w:after="60" w:before="20" w:line="276" w:lineRule="auto"/>
      </w:pPr>
      <w:r>
        <w:rPr>
          <w:b/>
          <w:color w:val="065F46"/>
        </w:rPr>
        <w:t>Manual Batch Register</w:t>
      </w:r>
      <w:r>
        <w:rPr>
          <w:color w:val="1E293B"/>
        </w:rPr>
        <w:t>: Rapid classroom register with 4-state tracking (</w:t>
      </w:r>
      <w:r>
        <w:rPr>
          <w:i/>
        </w:rPr>
        <w:t>Present (P)</w:t>
      </w:r>
      <w:r>
        <w:rPr>
          <w:color w:val="1E293B"/>
        </w:rPr>
        <w:t xml:space="preserve">, </w:t>
      </w:r>
      <w:r>
        <w:rPr>
          <w:i/>
        </w:rPr>
        <w:t>Absent (A)</w:t>
      </w:r>
      <w:r>
        <w:rPr>
          <w:color w:val="1E293B"/>
        </w:rPr>
        <w:t xml:space="preserve">, </w:t>
      </w:r>
      <w:r>
        <w:rPr>
          <w:i/>
        </w:rPr>
        <w:t>Late (L)</w:t>
      </w:r>
      <w:r>
        <w:rPr>
          <w:color w:val="1E293B"/>
        </w:rPr>
        <w:t xml:space="preserve">, </w:t>
      </w:r>
      <w:r>
        <w:rPr>
          <w:i/>
        </w:rPr>
        <w:t>Excused (E)</w:t>
      </w:r>
      <w:r>
        <w:rPr>
          <w:color w:val="1E293B"/>
        </w:rPr>
        <w:t xml:space="preserve">) and </w:t>
      </w:r>
      <w:r>
        <w:rPr>
          <w:i/>
        </w:rPr>
        <w:t>"Mark All Present"</w:t>
      </w:r>
      <w:r>
        <w:rPr>
          <w:color w:val="1E293B"/>
        </w:rPr>
        <w:t xml:space="preserve"> productivity shortcut.</w:t>
      </w:r>
    </w:p>
    <w:p>
      <w:pPr>
        <w:pStyle w:val="ListBullet"/>
        <w:spacing w:after="60" w:before="20" w:line="276" w:lineRule="auto"/>
      </w:pPr>
      <w:r>
        <w:rPr>
          <w:b/>
          <w:color w:val="065F46"/>
        </w:rPr>
        <w:t>Smart Contactless QR Scanner</w:t>
      </w:r>
      <w:r>
        <w:rPr>
          <w:color w:val="1E293B"/>
        </w:rPr>
        <w:t>: Staff can launch the built-in device camera or USB barcode reader to scan student PVC ID cards or phone screens for instant, touchless attendance check-in.</w:t>
      </w:r>
    </w:p>
    <w:p>
      <w:pPr>
        <w:pStyle w:val="ListBullet"/>
        <w:spacing w:after="60" w:before="20" w:line="276" w:lineRule="auto"/>
      </w:pPr>
      <w:r>
        <w:rPr>
          <w:b/>
          <w:color w:val="065F46"/>
        </w:rPr>
        <w:t>Theory vs Practical Attendance</w:t>
      </w:r>
      <w:r>
        <w:rPr>
          <w:color w:val="1E293B"/>
        </w:rPr>
        <w:t>: Distinguish between classroom theory lectures and hands-on computer lab sessions.</w:t>
      </w:r>
    </w:p>
    <w:p>
      <w:pPr>
        <w:pStyle w:val="ListBullet"/>
        <w:spacing w:after="60" w:before="20" w:line="276" w:lineRule="auto"/>
      </w:pPr>
      <w:r>
        <w:rPr>
          <w:b/>
          <w:color w:val="065F46"/>
        </w:rPr>
        <w:t>Attendance Percentage Analytics</w:t>
      </w:r>
      <w:r>
        <w:rPr>
          <w:color w:val="1E293B"/>
        </w:rPr>
        <w:t>: Generates monthly attendance summaries and automatically flags students below mandatory examination thresholds (e.g., &lt; 75%).</w:t>
      </w:r>
    </w:p>
    <w:p>
      <w:pPr>
        <w:spacing w:before="200" w:after="60"/>
      </w:pPr>
      <w:r>
        <w:rPr>
          <w:b/>
          <w:color w:val="0F172A"/>
          <w:sz w:val="22"/>
        </w:rPr>
        <w:t>7. Dual Examination System (Offline &amp; Online CBT)</w:t>
      </w:r>
    </w:p>
    <w:p>
      <w:pPr>
        <w:pStyle w:val="ListBullet"/>
        <w:spacing w:after="60" w:before="20" w:line="276" w:lineRule="auto"/>
      </w:pPr>
      <w:r>
        <w:rPr>
          <w:b/>
          <w:color w:val="065F46"/>
        </w:rPr>
        <w:t>Offline Examination Paper Builder</w:t>
      </w:r>
      <w:r>
        <w:rPr>
          <w:color w:val="1E293B"/>
        </w:rPr>
        <w:t>:</w:t>
      </w:r>
    </w:p>
    <w:p>
      <w:pPr>
        <w:pStyle w:val="ListBullet"/>
        <w:spacing w:after="60" w:before="20" w:line="276" w:lineRule="auto"/>
      </w:pPr>
      <w:r>
        <w:rPr>
          <w:color w:val="1E293B"/>
        </w:rPr>
        <w:t>Curate custom test papers from the question bank (MCQ, True/False, Practical, Subjective).</w:t>
      </w:r>
    </w:p>
    <w:p>
      <w:pPr>
        <w:pStyle w:val="ListBullet"/>
        <w:spacing w:after="60" w:before="20" w:line="276" w:lineRule="auto"/>
      </w:pPr>
      <w:r>
        <w:rPr>
          <w:color w:val="1E293B"/>
        </w:rPr>
        <w:t>Generates ready-to-print question paper PDFs complete with center logo, roll number blanks, instructions, and time limits.</w:t>
      </w:r>
    </w:p>
    <w:p>
      <w:pPr>
        <w:pStyle w:val="ListBullet"/>
        <w:spacing w:after="60" w:before="20" w:line="276" w:lineRule="auto"/>
      </w:pPr>
      <w:r>
        <w:rPr>
          <w:b/>
          <w:color w:val="065F46"/>
        </w:rPr>
        <w:t>Online Examination Engine (Computer-Based Testing)</w:t>
      </w:r>
      <w:r>
        <w:rPr>
          <w:color w:val="1E293B"/>
        </w:rPr>
        <w:t>:</w:t>
      </w:r>
    </w:p>
    <w:p>
      <w:pPr>
        <w:pStyle w:val="ListBullet"/>
        <w:spacing w:after="60" w:before="20" w:line="276" w:lineRule="auto"/>
      </w:pPr>
      <w:r>
        <w:rPr>
          <w:color w:val="1E293B"/>
        </w:rPr>
        <w:t>Conduct digital exams with real-time countdown timers, auto-shuffled questions, and instant automated grading.</w:t>
      </w:r>
    </w:p>
    <w:p>
      <w:pPr>
        <w:pStyle w:val="ListBullet"/>
        <w:spacing w:after="60" w:before="20" w:line="276" w:lineRule="auto"/>
      </w:pPr>
      <w:r>
        <w:rPr>
          <w:color w:val="1E293B"/>
        </w:rPr>
        <w:t>Auto-compiles final scores directly into semester marksheets and transcripts.</w:t>
      </w:r>
    </w:p>
    <w:p>
      <w:pPr>
        <w:spacing w:before="200" w:after="60"/>
      </w:pPr>
      <w:r>
        <w:rPr>
          <w:b/>
          <w:color w:val="0F172A"/>
          <w:sz w:val="22"/>
        </w:rPr>
        <w:t>8. Staff Management &amp; Granular Role Delegation</w:t>
      </w:r>
    </w:p>
    <w:p>
      <w:pPr>
        <w:pStyle w:val="ListBullet"/>
        <w:spacing w:after="60" w:before="20" w:line="276" w:lineRule="auto"/>
      </w:pPr>
      <w:r>
        <w:rPr>
          <w:b/>
          <w:color w:val="065F46"/>
        </w:rPr>
        <w:t>Team Roles</w:t>
      </w:r>
      <w:r>
        <w:rPr>
          <w:color w:val="1E293B"/>
        </w:rPr>
        <w:t xml:space="preserve">: Create </w:t>
      </w:r>
      <w:r>
        <w:rPr>
          <w:i/>
        </w:rPr>
        <w:t>Manager</w:t>
      </w:r>
      <w:r>
        <w:rPr>
          <w:color w:val="1E293B"/>
        </w:rPr>
        <w:t xml:space="preserve">, </w:t>
      </w:r>
      <w:r>
        <w:rPr>
          <w:i/>
        </w:rPr>
        <w:t>Faculty</w:t>
      </w:r>
      <w:r>
        <w:rPr>
          <w:color w:val="1E293B"/>
        </w:rPr>
        <w:t xml:space="preserve">, and </w:t>
      </w:r>
      <w:r>
        <w:rPr>
          <w:i/>
        </w:rPr>
        <w:t>Front-Desk Staff</w:t>
      </w:r>
      <w:r>
        <w:rPr>
          <w:color w:val="1E293B"/>
        </w:rPr>
        <w:t xml:space="preserve"> accounts.</w:t>
      </w:r>
    </w:p>
    <w:p>
      <w:pPr>
        <w:pStyle w:val="ListBullet"/>
        <w:spacing w:after="60" w:before="20" w:line="276" w:lineRule="auto"/>
      </w:pPr>
      <w:r>
        <w:rPr>
          <w:b/>
          <w:color w:val="065F46"/>
        </w:rPr>
        <w:t>Granular Permission Checkboxes</w:t>
      </w:r>
      <w:r>
        <w:rPr>
          <w:color w:val="1E293B"/>
        </w:rPr>
        <w:t>: Delegate specific operational modules (</w:t>
      </w:r>
      <w:r>
        <w:rPr>
          <w:i/>
        </w:rPr>
        <w:t>Admissions</w:t>
      </w:r>
      <w:r>
        <w:rPr>
          <w:color w:val="1E293B"/>
        </w:rPr>
        <w:t xml:space="preserve">, </w:t>
      </w:r>
      <w:r>
        <w:rPr>
          <w:i/>
        </w:rPr>
        <w:t>Fees Manage</w:t>
      </w:r>
      <w:r>
        <w:rPr>
          <w:color w:val="1E293B"/>
        </w:rPr>
        <w:t xml:space="preserve">, </w:t>
      </w:r>
      <w:r>
        <w:rPr>
          <w:i/>
        </w:rPr>
        <w:t>Attendance</w:t>
      </w:r>
      <w:r>
        <w:rPr>
          <w:color w:val="1E293B"/>
        </w:rPr>
        <w:t xml:space="preserve">, </w:t>
      </w:r>
      <w:r>
        <w:rPr>
          <w:i/>
        </w:rPr>
        <w:t>Courses</w:t>
      </w:r>
      <w:r>
        <w:rPr>
          <w:color w:val="1E293B"/>
        </w:rPr>
        <w:t xml:space="preserve">, </w:t>
      </w:r>
      <w:r>
        <w:rPr>
          <w:i/>
        </w:rPr>
        <w:t>Exam Zone</w:t>
      </w:r>
      <w:r>
        <w:rPr>
          <w:color w:val="1E293B"/>
        </w:rPr>
        <w:t xml:space="preserve">, </w:t>
      </w:r>
      <w:r>
        <w:rPr>
          <w:i/>
        </w:rPr>
        <w:t>Landing Page</w:t>
      </w:r>
      <w:r>
        <w:rPr>
          <w:color w:val="1E293B"/>
        </w:rPr>
        <w:t xml:space="preserve">, </w:t>
      </w:r>
      <w:r>
        <w:rPr>
          <w:i/>
        </w:rPr>
        <w:t>Wallet</w:t>
      </w:r>
      <w:r>
        <w:rPr>
          <w:color w:val="1E293B"/>
        </w:rPr>
        <w:t>) without exposing master center ownership.</w:t>
      </w:r>
    </w:p>
    <w:p>
      <w:pPr>
        <w:spacing w:before="200" w:after="60"/>
      </w:pPr>
      <w:r>
        <w:rPr>
          <w:b/>
          <w:color w:val="0F172A"/>
          <w:sz w:val="22"/>
        </w:rPr>
        <w:t>9. Public Website Builder &amp; Digital Front Door</w:t>
      </w:r>
    </w:p>
    <w:p>
      <w:pPr>
        <w:pStyle w:val="ListBullet"/>
        <w:spacing w:after="60" w:before="20" w:line="276" w:lineRule="auto"/>
      </w:pPr>
      <w:r>
        <w:rPr>
          <w:b/>
          <w:color w:val="065F46"/>
        </w:rPr>
        <w:t>Brand Identity</w:t>
      </w:r>
      <w:r>
        <w:rPr>
          <w:color w:val="1E293B"/>
        </w:rPr>
        <w:t>: Upload custom Center Logo, Favicon, and Watermark.</w:t>
      </w:r>
    </w:p>
    <w:p>
      <w:pPr>
        <w:pStyle w:val="ListBullet"/>
        <w:spacing w:after="60" w:before="20" w:line="276" w:lineRule="auto"/>
      </w:pPr>
      <w:r>
        <w:rPr>
          <w:b/>
          <w:color w:val="065F46"/>
        </w:rPr>
        <w:t>Hero Banner</w:t>
      </w:r>
      <w:r>
        <w:rPr>
          <w:color w:val="1E293B"/>
        </w:rPr>
        <w:t>: Configure marketing headlines, sub-headlines, and call-to-action buttons.</w:t>
      </w:r>
    </w:p>
    <w:p>
      <w:pPr>
        <w:pStyle w:val="ListBullet"/>
        <w:spacing w:after="60" w:before="20" w:line="276" w:lineRule="auto"/>
      </w:pPr>
      <w:r>
        <w:rPr>
          <w:b/>
          <w:color w:val="065F46"/>
        </w:rPr>
        <w:t>Notice Board</w:t>
      </w:r>
      <w:r>
        <w:rPr>
          <w:color w:val="1E293B"/>
        </w:rPr>
        <w:t>: Post official circulars with automatic expiration dates and urgent flashing tickers.</w:t>
      </w:r>
    </w:p>
    <w:p>
      <w:pPr>
        <w:pStyle w:val="ListBullet"/>
        <w:spacing w:after="60" w:before="20" w:line="276" w:lineRule="auto"/>
      </w:pPr>
      <w:r>
        <w:rPr>
          <w:b/>
          <w:color w:val="065F46"/>
        </w:rPr>
        <w:t>Photo Gallery</w:t>
      </w:r>
      <w:r>
        <w:rPr>
          <w:color w:val="1E293B"/>
        </w:rPr>
        <w:t>: Showcase computer labs, classrooms, student awards, and annual events.</w:t>
      </w:r>
    </w:p>
    <w:p>
      <w:pPr>
        <w:pStyle w:val="ListBullet"/>
        <w:spacing w:after="60" w:before="20" w:line="276" w:lineRule="auto"/>
      </w:pPr>
      <w:r>
        <w:rPr>
          <w:b/>
          <w:color w:val="065F46"/>
        </w:rPr>
        <w:t>Contact &amp; Map</w:t>
      </w:r>
      <w:r>
        <w:rPr>
          <w:color w:val="1E293B"/>
        </w:rPr>
        <w:t>: Embed Google Maps, phone helplines, address, and direct WhatsApp chat links.</w:t>
      </w:r>
    </w:p>
    <w:p>
      <w:pPr>
        <w:spacing w:before="200" w:after="60"/>
      </w:pPr>
      <w:r>
        <w:rPr>
          <w:b/>
          <w:color w:val="0F172A"/>
          <w:sz w:val="22"/>
        </w:rPr>
        <w:t>10. Center Token Wallet</w:t>
      </w:r>
    </w:p>
    <w:p>
      <w:pPr>
        <w:pStyle w:val="ListBullet"/>
        <w:spacing w:after="60" w:before="20" w:line="276" w:lineRule="auto"/>
      </w:pPr>
      <w:r>
        <w:rPr>
          <w:color w:val="1E293B"/>
        </w:rPr>
        <w:t>View real-time token balances and detailed credit/debit transaction logs.</w:t>
      </w:r>
    </w:p>
    <w:p>
      <w:pPr>
        <w:pStyle w:val="ListBullet"/>
        <w:spacing w:after="60" w:before="20" w:line="276" w:lineRule="auto"/>
      </w:pPr>
      <w:r>
        <w:rPr>
          <w:color w:val="1E293B"/>
        </w:rPr>
        <w:t>Submit wallet top-up requests with uploaded payment screenshots directly to Head Office.</w:t>
      </w:r>
    </w:p>
    <w:p>
      <w:r>
        <w:br w:type="page"/>
      </w:r>
    </w:p>
    <w:p>
      <w:pPr>
        <w:spacing w:before="320" w:after="120"/>
      </w:pPr>
      <w:r>
        <w:rPr>
          <w:b/>
          <w:color w:val="065F46"/>
          <w:sz w:val="32"/>
        </w:rPr>
        <w:t>Chapter 5: Student &amp; Learner Experience Suite</w:t>
      </w:r>
    </w:p>
    <w:p>
      <w:pPr>
        <w:spacing w:before="240" w:after="80"/>
      </w:pPr>
      <w:r>
        <w:rPr>
          <w:b/>
          <w:color w:val="0D9488"/>
          <w:sz w:val="26"/>
        </w:rPr>
        <w:t>5.1 Overview</w:t>
      </w:r>
    </w:p>
    <w:p>
      <w:pPr>
        <w:spacing w:after="120" w:before="0" w:line="276" w:lineRule="auto"/>
      </w:pPr>
      <w:r>
        <w:rPr>
          <w:color w:val="1E293B"/>
        </w:rPr>
        <w:t xml:space="preserve">The </w:t>
      </w:r>
      <w:r>
        <w:rPr>
          <w:b/>
          <w:color w:val="065F46"/>
        </w:rPr>
        <w:t>Student Portal</w:t>
      </w:r>
      <w:r>
        <w:rPr>
          <w:color w:val="1E293B"/>
        </w:rPr>
        <w:t xml:space="preserve"> (</w:t>
      </w:r>
      <w:r>
        <w:rPr>
          <w:rFonts w:ascii="Consolas" w:hAnsi="Consolas"/>
          <w:color w:val="0D9488"/>
          <w:sz w:val="19"/>
        </w:rPr>
        <w:t>/student/dashboard</w:t>
      </w:r>
      <w:r>
        <w:rPr>
          <w:color w:val="1E293B"/>
        </w:rPr>
        <w:t>) provides a consumer-grade, native-feeling digital workspace for every enrolled learner. Accessible on smartphones, tablets, and desktop computers, it empowers students to take ownership of their academic progress and credentials.</w:t>
      </w:r>
    </w:p>
    <w:p>
      <w:pPr>
        <w:spacing w:after="120"/>
      </w:pPr>
    </w:p>
    <w:p>
      <w:pPr>
        <w:spacing w:before="240" w:after="80"/>
      </w:pPr>
      <w:r>
        <w:rPr>
          <w:b/>
          <w:color w:val="0D9488"/>
          <w:sz w:val="26"/>
        </w:rPr>
        <w:t>5.2 Core Student Features</w:t>
      </w:r>
    </w:p>
    <w:p>
      <w:pPr>
        <w:spacing w:before="200" w:after="60"/>
      </w:pPr>
      <w:r>
        <w:rPr>
          <w:b/>
          <w:color w:val="0F172A"/>
          <w:sz w:val="22"/>
        </w:rPr>
        <w:t>1. Instant Seamless Sign-In</w:t>
      </w:r>
    </w:p>
    <w:p>
      <w:pPr>
        <w:pStyle w:val="ListBullet"/>
        <w:spacing w:after="60" w:before="20" w:line="276" w:lineRule="auto"/>
      </w:pPr>
      <w:r>
        <w:rPr>
          <w:b/>
          <w:color w:val="065F46"/>
        </w:rPr>
        <w:t>Universal Username</w:t>
      </w:r>
      <w:r>
        <w:rPr>
          <w:color w:val="1E293B"/>
        </w:rPr>
        <w:t xml:space="preserve">: Students log in using their official </w:t>
      </w:r>
      <w:r>
        <w:rPr>
          <w:b/>
          <w:color w:val="065F46"/>
        </w:rPr>
        <w:t>Enrollment Number</w:t>
      </w:r>
      <w:r>
        <w:rPr>
          <w:color w:val="1E293B"/>
        </w:rPr>
        <w:t xml:space="preserve"> (e.g., </w:t>
      </w:r>
      <w:r>
        <w:rPr>
          <w:rFonts w:ascii="Consolas" w:hAnsi="Consolas"/>
          <w:color w:val="0D9488"/>
          <w:sz w:val="19"/>
        </w:rPr>
        <w:t>WB002-2026-0042</w:t>
      </w:r>
      <w:r>
        <w:rPr>
          <w:color w:val="1E293B"/>
        </w:rPr>
        <w:t>).</w:t>
      </w:r>
    </w:p>
    <w:p>
      <w:pPr>
        <w:pStyle w:val="ListBullet"/>
        <w:spacing w:after="60" w:before="20" w:line="276" w:lineRule="auto"/>
      </w:pPr>
      <w:r>
        <w:rPr>
          <w:b/>
          <w:color w:val="065F46"/>
        </w:rPr>
        <w:t>One-Touch Biometric Sign-In</w:t>
      </w:r>
      <w:r>
        <w:rPr>
          <w:color w:val="1E293B"/>
        </w:rPr>
        <w:t xml:space="preserve">: Students can bind their smartphone's </w:t>
      </w:r>
      <w:r>
        <w:rPr>
          <w:b/>
          <w:color w:val="065F46"/>
        </w:rPr>
        <w:t>Fingerprint</w:t>
      </w:r>
      <w:r>
        <w:rPr>
          <w:color w:val="1E293B"/>
        </w:rPr>
        <w:t xml:space="preserve"> or </w:t>
      </w:r>
      <w:r>
        <w:rPr>
          <w:b/>
          <w:color w:val="065F46"/>
        </w:rPr>
        <w:t>Face ID</w:t>
      </w:r>
      <w:r>
        <w:rPr>
          <w:color w:val="1E293B"/>
        </w:rPr>
        <w:t xml:space="preserve"> to log in instantly in under 1 second without typing passwords.</w:t>
      </w:r>
    </w:p>
    <w:p>
      <w:pPr>
        <w:spacing w:before="200" w:after="60"/>
      </w:pPr>
      <w:r>
        <w:rPr>
          <w:b/>
          <w:color w:val="0F172A"/>
          <w:sz w:val="22"/>
        </w:rPr>
        <w:t>2. Academic Course &amp; Syllabus Tracker</w:t>
      </w:r>
    </w:p>
    <w:p>
      <w:pPr>
        <w:pStyle w:val="ListBullet"/>
        <w:spacing w:after="60" w:before="20" w:line="276" w:lineRule="auto"/>
      </w:pPr>
      <w:r>
        <w:rPr>
          <w:b/>
          <w:color w:val="065F46"/>
        </w:rPr>
        <w:t>Enrolled Course Dossier</w:t>
      </w:r>
      <w:r>
        <w:rPr>
          <w:color w:val="1E293B"/>
        </w:rPr>
        <w:t>: Displays course title, code, duration, batch timing, and assigned faculty.</w:t>
      </w:r>
    </w:p>
    <w:p>
      <w:pPr>
        <w:pStyle w:val="ListBullet"/>
        <w:spacing w:after="60" w:before="20" w:line="276" w:lineRule="auto"/>
      </w:pPr>
      <w:r>
        <w:rPr>
          <w:b/>
          <w:color w:val="065F46"/>
        </w:rPr>
        <w:t>Syllabus Progress Tracker</w:t>
      </w:r>
      <w:r>
        <w:rPr>
          <w:color w:val="1E293B"/>
        </w:rPr>
        <w:t xml:space="preserve">: Interactive checklist of curriculum modules (e.g., </w:t>
      </w:r>
      <w:r>
        <w:rPr>
          <w:i/>
        </w:rPr>
        <w:t>Module 1: Operating Systems</w:t>
      </w:r>
      <w:r>
        <w:rPr>
          <w:color w:val="1E293B"/>
        </w:rPr>
        <w:t xml:space="preserve">, </w:t>
      </w:r>
      <w:r>
        <w:rPr>
          <w:i/>
        </w:rPr>
        <w:t>Module 2: Advanced Excel</w:t>
      </w:r>
      <w:r>
        <w:rPr>
          <w:color w:val="1E293B"/>
        </w:rPr>
        <w:t xml:space="preserve">, </w:t>
      </w:r>
      <w:r>
        <w:rPr>
          <w:i/>
        </w:rPr>
        <w:t>Module 3: Python Basics</w:t>
      </w:r>
      <w:r>
        <w:rPr>
          <w:color w:val="1E293B"/>
        </w:rPr>
        <w:t>) allowing learners to track lesson milestones.</w:t>
      </w:r>
    </w:p>
    <w:p>
      <w:pPr>
        <w:spacing w:before="200" w:after="60"/>
      </w:pPr>
      <w:r>
        <w:rPr>
          <w:b/>
          <w:color w:val="0F172A"/>
          <w:sz w:val="22"/>
        </w:rPr>
        <w:t>3. Live Attendance Tracker &amp; Contactless QR Pass</w:t>
      </w:r>
    </w:p>
    <w:p>
      <w:pPr>
        <w:pStyle w:val="ListBullet"/>
        <w:spacing w:after="60" w:before="20" w:line="276" w:lineRule="auto"/>
      </w:pPr>
      <w:r>
        <w:rPr>
          <w:b/>
          <w:color w:val="065F46"/>
        </w:rPr>
        <w:t>Daily Attendance Calendar</w:t>
      </w:r>
      <w:r>
        <w:rPr>
          <w:color w:val="1E293B"/>
        </w:rPr>
        <w:t>: Visual calendar displaying daily attendance history with color-coded statuses (</w:t>
      </w:r>
      <w:r>
        <w:rPr>
          <w:i/>
        </w:rPr>
        <w:t>Present</w:t>
      </w:r>
      <w:r>
        <w:rPr>
          <w:color w:val="1E293B"/>
        </w:rPr>
        <w:t xml:space="preserve">, </w:t>
      </w:r>
      <w:r>
        <w:rPr>
          <w:i/>
        </w:rPr>
        <w:t>Absent</w:t>
      </w:r>
      <w:r>
        <w:rPr>
          <w:color w:val="1E293B"/>
        </w:rPr>
        <w:t xml:space="preserve">, </w:t>
      </w:r>
      <w:r>
        <w:rPr>
          <w:i/>
        </w:rPr>
        <w:t>Late</w:t>
      </w:r>
      <w:r>
        <w:rPr>
          <w:color w:val="1E293B"/>
        </w:rPr>
        <w:t xml:space="preserve">, </w:t>
      </w:r>
      <w:r>
        <w:rPr>
          <w:i/>
        </w:rPr>
        <w:t>Excused</w:t>
      </w:r>
      <w:r>
        <w:rPr>
          <w:color w:val="1E293B"/>
        </w:rPr>
        <w:t>).</w:t>
      </w:r>
    </w:p>
    <w:p>
      <w:pPr>
        <w:pStyle w:val="ListBullet"/>
        <w:spacing w:after="60" w:before="20" w:line="276" w:lineRule="auto"/>
      </w:pPr>
      <w:r>
        <w:rPr>
          <w:b/>
          <w:color w:val="065F46"/>
        </w:rPr>
        <w:t>Theory vs Practical Lab Logs</w:t>
      </w:r>
      <w:r>
        <w:rPr>
          <w:color w:val="1E293B"/>
        </w:rPr>
        <w:t>: Track individual attendances for classroom lectures and computer lab sessions.</w:t>
      </w:r>
    </w:p>
    <w:p>
      <w:pPr>
        <w:pStyle w:val="ListBullet"/>
        <w:spacing w:after="60" w:before="20" w:line="276" w:lineRule="auto"/>
      </w:pPr>
      <w:r>
        <w:rPr>
          <w:b/>
          <w:color w:val="065F46"/>
        </w:rPr>
        <w:t>Contactless Smart QR Pass</w:t>
      </w:r>
      <w:r>
        <w:rPr>
          <w:color w:val="1E293B"/>
        </w:rPr>
        <w:t>: Students can present their digital ID card on their phone screen for instant touchless scanning by instructors at the classroom door.</w:t>
      </w:r>
    </w:p>
    <w:p>
      <w:pPr>
        <w:pStyle w:val="ListBullet"/>
        <w:spacing w:after="60" w:before="20" w:line="276" w:lineRule="auto"/>
      </w:pPr>
      <w:r>
        <w:rPr>
          <w:b/>
          <w:color w:val="065F46"/>
        </w:rPr>
        <w:t>Accreditation Eligibility Gauge</w:t>
      </w:r>
      <w:r>
        <w:rPr>
          <w:color w:val="1E293B"/>
        </w:rPr>
        <w:t>: Dynamic percentage gauge warning students if their attendance falls near the 75% threshold required to qualify for examination admit cards.</w:t>
      </w:r>
    </w:p>
    <w:p>
      <w:pPr>
        <w:spacing w:before="200" w:after="60"/>
      </w:pPr>
      <w:r>
        <w:rPr>
          <w:b/>
          <w:color w:val="0F172A"/>
          <w:sz w:val="22"/>
        </w:rPr>
        <w:t>4. Financial Ledger &amp; Online Fee Payment Portal</w:t>
      </w:r>
    </w:p>
    <w:p>
      <w:pPr>
        <w:pStyle w:val="ListBullet"/>
        <w:spacing w:after="60" w:before="20" w:line="276" w:lineRule="auto"/>
      </w:pPr>
      <w:r>
        <w:rPr>
          <w:b/>
          <w:color w:val="065F46"/>
        </w:rPr>
        <w:t>Transparent Fee Schedule</w:t>
      </w:r>
      <w:r>
        <w:rPr>
          <w:color w:val="1E293B"/>
        </w:rPr>
        <w:t>: Clear breakdown of Total Course Fee, Amount Paid to Date, and Remaining Pending Dues.</w:t>
      </w:r>
    </w:p>
    <w:p>
      <w:pPr>
        <w:pStyle w:val="ListBullet"/>
        <w:spacing w:after="60" w:before="20" w:line="276" w:lineRule="auto"/>
      </w:pPr>
      <w:r>
        <w:rPr>
          <w:b/>
          <w:color w:val="065F46"/>
        </w:rPr>
        <w:t>Installment Dues Schedule</w:t>
      </w:r>
      <w:r>
        <w:rPr>
          <w:color w:val="1E293B"/>
        </w:rPr>
        <w:t>: View upcoming due dates and installment amounts.</w:t>
      </w:r>
    </w:p>
    <w:p>
      <w:pPr>
        <w:pStyle w:val="ListBullet"/>
        <w:spacing w:after="60" w:before="20" w:line="276" w:lineRule="auto"/>
      </w:pPr>
      <w:r>
        <w:rPr>
          <w:b/>
          <w:color w:val="065F46"/>
        </w:rPr>
        <w:t>Online UPI Fee Payments</w:t>
      </w:r>
      <w:r>
        <w:rPr>
          <w:color w:val="1E293B"/>
        </w:rPr>
        <w:t>:</w:t>
      </w:r>
    </w:p>
    <w:p>
      <w:pPr>
        <w:pStyle w:val="ListBullet"/>
        <w:spacing w:after="60" w:before="20" w:line="276" w:lineRule="auto"/>
      </w:pPr>
      <w:r>
        <w:rPr>
          <w:color w:val="1E293B"/>
        </w:rPr>
        <w:t>Scan the center's official UPI QR code directly on screen.</w:t>
      </w:r>
    </w:p>
    <w:p>
      <w:pPr>
        <w:pStyle w:val="ListBullet"/>
        <w:spacing w:after="60" w:before="20" w:line="276" w:lineRule="auto"/>
      </w:pPr>
      <w:r>
        <w:rPr>
          <w:color w:val="1E293B"/>
        </w:rPr>
        <w:t>Pay using any UPI app (Google Pay, PhonePe, Paytm).</w:t>
      </w:r>
    </w:p>
    <w:p>
      <w:pPr>
        <w:pStyle w:val="ListBullet"/>
        <w:spacing w:after="60" w:before="20" w:line="276" w:lineRule="auto"/>
      </w:pPr>
      <w:r>
        <w:rPr>
          <w:color w:val="1E293B"/>
        </w:rPr>
        <w:t>Submit the 12-digit UTR reference number and upload the payment confirmation screenshot.</w:t>
      </w:r>
    </w:p>
    <w:p>
      <w:pPr>
        <w:pStyle w:val="ListBullet"/>
        <w:spacing w:after="60" w:before="20" w:line="276" w:lineRule="auto"/>
      </w:pPr>
      <w:r>
        <w:rPr>
          <w:b/>
          <w:color w:val="065F46"/>
        </w:rPr>
        <w:t>Automated Digital Receipts</w:t>
      </w:r>
      <w:r>
        <w:rPr>
          <w:color w:val="1E293B"/>
        </w:rPr>
        <w:t xml:space="preserve">: Once the center approves the transaction, the student can immediately download an official, timestamped </w:t>
      </w:r>
      <w:r>
        <w:rPr>
          <w:b/>
          <w:color w:val="065F46"/>
        </w:rPr>
        <w:t>Fee Receipt PDF</w:t>
      </w:r>
      <w:r>
        <w:rPr>
          <w:color w:val="1E293B"/>
        </w:rPr>
        <w:t>.</w:t>
      </w:r>
    </w:p>
    <w:p>
      <w:pPr>
        <w:spacing w:before="200" w:after="60"/>
      </w:pPr>
      <w:r>
        <w:rPr>
          <w:b/>
          <w:color w:val="0F172A"/>
          <w:sz w:val="22"/>
        </w:rPr>
        <w:t>5. Digital PVC Student ID Card</w:t>
      </w:r>
    </w:p>
    <w:p>
      <w:pPr>
        <w:pStyle w:val="ListBullet"/>
        <w:spacing w:after="60" w:before="20" w:line="276" w:lineRule="auto"/>
      </w:pPr>
      <w:r>
        <w:rPr>
          <w:b/>
          <w:color w:val="065F46"/>
        </w:rPr>
        <w:t>Always Available</w:t>
      </w:r>
      <w:r>
        <w:rPr>
          <w:color w:val="1E293B"/>
        </w:rPr>
        <w:t>: Eliminates lost physical cards; students can display their digital ID card directly on their smartphone screen.</w:t>
      </w:r>
    </w:p>
    <w:p>
      <w:pPr>
        <w:pStyle w:val="ListBullet"/>
        <w:spacing w:after="60" w:before="20" w:line="276" w:lineRule="auto"/>
      </w:pPr>
      <w:r>
        <w:rPr>
          <w:b/>
          <w:color w:val="065F46"/>
        </w:rPr>
        <w:t>Live Verification QR Code</w:t>
      </w:r>
      <w:r>
        <w:rPr>
          <w:color w:val="1E293B"/>
        </w:rPr>
        <w:t>: Anyone scanning the card is securely routed to the official verification page confirming the student's active enrollment.</w:t>
      </w:r>
    </w:p>
    <w:p>
      <w:pPr>
        <w:pStyle w:val="ListBullet"/>
        <w:spacing w:after="60" w:before="20" w:line="276" w:lineRule="auto"/>
      </w:pPr>
      <w:r>
        <w:rPr>
          <w:b/>
          <w:color w:val="065F46"/>
        </w:rPr>
        <w:t>Printable Card Export</w:t>
      </w:r>
      <w:r>
        <w:rPr>
          <w:color w:val="1E293B"/>
        </w:rPr>
        <w:t>: Download high-resolution print files for physical PVC card production.</w:t>
      </w:r>
    </w:p>
    <w:p>
      <w:pPr>
        <w:spacing w:before="200" w:after="60"/>
      </w:pPr>
      <w:r>
        <w:rPr>
          <w:b/>
          <w:color w:val="0F172A"/>
          <w:sz w:val="22"/>
        </w:rPr>
        <w:t>6. Examination Zone, Online CBT Testing &amp; Admit Cards</w:t>
      </w:r>
    </w:p>
    <w:p>
      <w:pPr>
        <w:pStyle w:val="ListBullet"/>
        <w:spacing w:after="60" w:before="20" w:line="276" w:lineRule="auto"/>
      </w:pPr>
      <w:r>
        <w:rPr>
          <w:b/>
          <w:color w:val="065F46"/>
        </w:rPr>
        <w:t>Instant Admit Card / Hall Ticket Download</w:t>
      </w:r>
      <w:r>
        <w:rPr>
          <w:color w:val="1E293B"/>
        </w:rPr>
        <w:t>:</w:t>
      </w:r>
    </w:p>
    <w:p>
      <w:pPr>
        <w:pStyle w:val="ListBullet"/>
        <w:spacing w:after="60" w:before="20" w:line="276" w:lineRule="auto"/>
      </w:pPr>
      <w:r>
        <w:rPr>
          <w:color w:val="1E293B"/>
        </w:rPr>
        <w:t>Download official examination Admit Cards directly from the student dashboard.</w:t>
      </w:r>
    </w:p>
    <w:p>
      <w:pPr>
        <w:pStyle w:val="ListBullet"/>
        <w:spacing w:after="60" w:before="20" w:line="276" w:lineRule="auto"/>
      </w:pPr>
      <w:r>
        <w:rPr>
          <w:color w:val="1E293B"/>
        </w:rPr>
        <w:t>Displays student photo, enrollment number, assigned examination center, date/time, and entry rules.</w:t>
      </w:r>
    </w:p>
    <w:p>
      <w:pPr>
        <w:pStyle w:val="ListBullet"/>
        <w:spacing w:after="60" w:before="20" w:line="276" w:lineRule="auto"/>
      </w:pPr>
      <w:r>
        <w:rPr>
          <w:b/>
          <w:color w:val="065F46"/>
        </w:rPr>
        <w:t>Interactive Online CBT Examinations</w:t>
      </w:r>
      <w:r>
        <w:rPr>
          <w:color w:val="1E293B"/>
        </w:rPr>
        <w:t>:</w:t>
      </w:r>
    </w:p>
    <w:p>
      <w:pPr>
        <w:pStyle w:val="ListBullet"/>
        <w:spacing w:after="60" w:before="20" w:line="276" w:lineRule="auto"/>
      </w:pPr>
      <w:r>
        <w:rPr>
          <w:color w:val="1E293B"/>
        </w:rPr>
        <w:t>Take scheduled tests directly on smartphone or computer with real-time countdown timers.</w:t>
      </w:r>
    </w:p>
    <w:p>
      <w:pPr>
        <w:pStyle w:val="ListBullet"/>
        <w:spacing w:after="60" w:before="20" w:line="276" w:lineRule="auto"/>
      </w:pPr>
      <w:r>
        <w:rPr>
          <w:color w:val="1E293B"/>
        </w:rPr>
        <w:t>Instant automated grading for objective assessments.</w:t>
      </w:r>
    </w:p>
    <w:p>
      <w:pPr>
        <w:pStyle w:val="ListBullet"/>
        <w:spacing w:after="60" w:before="20" w:line="276" w:lineRule="auto"/>
      </w:pPr>
      <w:r>
        <w:rPr>
          <w:color w:val="1E293B"/>
        </w:rPr>
        <w:t xml:space="preserve">Visual </w:t>
      </w:r>
      <w:r>
        <w:rPr>
          <w:b/>
          <w:color w:val="065F46"/>
        </w:rPr>
        <w:t>Radar Performance Charts</w:t>
      </w:r>
      <w:r>
        <w:rPr>
          <w:color w:val="1E293B"/>
        </w:rPr>
        <w:t xml:space="preserve"> and </w:t>
      </w:r>
      <w:r>
        <w:rPr>
          <w:b/>
          <w:color w:val="065F46"/>
        </w:rPr>
        <w:t>Score Trend Analytics</w:t>
      </w:r>
      <w:r>
        <w:rPr>
          <w:color w:val="1E293B"/>
        </w:rPr>
        <w:t xml:space="preserve"> evaluating subject strengths (Core Concepts, Problem Solving, Execution, Speed).</w:t>
      </w:r>
    </w:p>
    <w:p>
      <w:pPr>
        <w:pStyle w:val="ListBullet"/>
        <w:spacing w:after="60" w:before="20" w:line="276" w:lineRule="auto"/>
      </w:pPr>
      <w:r>
        <w:rPr>
          <w:b/>
          <w:color w:val="065F46"/>
        </w:rPr>
        <w:t>Online Scorecards &amp; Marksheets</w:t>
      </w:r>
      <w:r>
        <w:rPr>
          <w:color w:val="1E293B"/>
        </w:rPr>
        <w:t>: View module-wise theoretical and practical marks, aggregate percentages, and awarded grades.</w:t>
      </w:r>
    </w:p>
    <w:p>
      <w:pPr>
        <w:pStyle w:val="ListBullet"/>
        <w:spacing w:after="60" w:before="20" w:line="276" w:lineRule="auto"/>
      </w:pPr>
      <w:r>
        <w:rPr>
          <w:b/>
          <w:color w:val="065F46"/>
        </w:rPr>
        <w:t>Accredited Certificate Download</w:t>
      </w:r>
      <w:r>
        <w:rPr>
          <w:color w:val="1E293B"/>
        </w:rPr>
        <w:t>: Students who pass their curriculum can preview and download their official digital diploma complete with central board seals and verification QR codes.</w:t>
      </w:r>
    </w:p>
    <w:p>
      <w:pPr>
        <w:spacing w:before="200" w:after="60"/>
      </w:pPr>
      <w:r>
        <w:rPr>
          <w:b/>
          <w:color w:val="0F172A"/>
          <w:sz w:val="22"/>
        </w:rPr>
        <w:t>7. Profile &amp; Security Self-Service</w:t>
      </w:r>
    </w:p>
    <w:p>
      <w:pPr>
        <w:pStyle w:val="ListBullet"/>
        <w:spacing w:after="60" w:before="20" w:line="276" w:lineRule="auto"/>
      </w:pPr>
      <w:r>
        <w:rPr>
          <w:color w:val="1E293B"/>
        </w:rPr>
        <w:t>Update personal contact information and emergency phone numbers.</w:t>
      </w:r>
    </w:p>
    <w:p>
      <w:pPr>
        <w:pStyle w:val="ListBullet"/>
        <w:spacing w:after="60" w:before="20" w:line="276" w:lineRule="auto"/>
      </w:pPr>
      <w:r>
        <w:rPr>
          <w:color w:val="1E293B"/>
        </w:rPr>
        <w:t>Self-service password changes.</w:t>
      </w:r>
    </w:p>
    <w:p>
      <w:pPr>
        <w:pStyle w:val="ListBullet"/>
        <w:spacing w:after="60" w:before="20" w:line="276" w:lineRule="auto"/>
      </w:pPr>
      <w:r>
        <w:rPr>
          <w:color w:val="1E293B"/>
        </w:rPr>
        <w:t>Multi-device Passkey management (registering phone, tablet, and PC).</w:t>
      </w:r>
    </w:p>
    <w:p>
      <w:r>
        <w:br w:type="page"/>
      </w:r>
    </w:p>
    <w:p>
      <w:pPr>
        <w:spacing w:before="320" w:after="120"/>
      </w:pPr>
      <w:r>
        <w:rPr>
          <w:b/>
          <w:color w:val="065F46"/>
          <w:sz w:val="32"/>
        </w:rPr>
        <w:t>Chapter 6: Public Website Engine &amp; Anti-Counterfeit Verification</w:t>
      </w:r>
    </w:p>
    <w:p>
      <w:pPr>
        <w:spacing w:before="240" w:after="80"/>
      </w:pPr>
      <w:r>
        <w:rPr>
          <w:b/>
          <w:color w:val="0D9488"/>
          <w:sz w:val="26"/>
        </w:rPr>
        <w:t>6.1 Overview</w:t>
      </w:r>
    </w:p>
    <w:p>
      <w:pPr>
        <w:spacing w:after="120" w:before="0" w:line="276" w:lineRule="auto"/>
      </w:pPr>
      <w:r>
        <w:rPr>
          <w:color w:val="1E293B"/>
        </w:rPr>
        <w:t>In addition to internal management portals, ABCD Edu Hub delivers an external-facing digital front door for both the Central Board and each individual franchise center.</w:t>
      </w:r>
    </w:p>
    <w:p>
      <w:pPr>
        <w:spacing w:after="120"/>
      </w:pPr>
    </w:p>
    <w:p>
      <w:pPr>
        <w:spacing w:before="240" w:after="80"/>
      </w:pPr>
      <w:r>
        <w:rPr>
          <w:b/>
          <w:color w:val="0D9488"/>
          <w:sz w:val="26"/>
        </w:rPr>
        <w:t>6.2 Public Franchise Website Engine</w:t>
      </w:r>
    </w:p>
    <w:p>
      <w:pPr>
        <w:spacing w:after="120" w:before="0" w:line="276" w:lineRule="auto"/>
      </w:pPr>
      <w:r>
        <w:rPr>
          <w:color w:val="1E293B"/>
        </w:rPr>
        <w:t>Every affiliated center is automatically provisioned with a modern, high-conversion public website:</w:t>
      </w:r>
    </w:p>
    <w:p>
      <w:pPr>
        <w:pStyle w:val="ListBullet"/>
        <w:spacing w:after="60" w:before="20" w:line="276" w:lineRule="auto"/>
      </w:pPr>
      <w:r>
        <w:rPr>
          <w:b/>
          <w:color w:val="065F46"/>
        </w:rPr>
        <w:t>Dedicated Web Address</w:t>
      </w:r>
      <w:r>
        <w:rPr>
          <w:color w:val="1E293B"/>
        </w:rPr>
        <w:t>: Accessible via custom subdomain (</w:t>
      </w:r>
      <w:r>
        <w:rPr>
          <w:rFonts w:ascii="Consolas" w:hAnsi="Consolas"/>
          <w:color w:val="0D9488"/>
          <w:sz w:val="19"/>
        </w:rPr>
        <w:t>https://wb-002.abcdeduhub.com</w:t>
      </w:r>
      <w:r>
        <w:rPr>
          <w:color w:val="1E293B"/>
        </w:rPr>
        <w:t>) or subdirectory path (</w:t>
      </w:r>
      <w:r>
        <w:rPr>
          <w:rFonts w:ascii="Consolas" w:hAnsi="Consolas"/>
          <w:color w:val="0D9488"/>
          <w:sz w:val="19"/>
        </w:rPr>
        <w:t>/app/wb-002</w:t>
      </w:r>
      <w:r>
        <w:rPr>
          <w:color w:val="1E293B"/>
        </w:rPr>
        <w:t>).</w:t>
      </w:r>
    </w:p>
    <w:p>
      <w:pPr>
        <w:pStyle w:val="ListBullet"/>
        <w:spacing w:after="60" w:before="20" w:line="276" w:lineRule="auto"/>
      </w:pPr>
      <w:r>
        <w:rPr>
          <w:b/>
          <w:color w:val="065F46"/>
        </w:rPr>
        <w:t>High-Conversion Hero Section</w:t>
      </w:r>
      <w:r>
        <w:rPr>
          <w:color w:val="1E293B"/>
        </w:rPr>
        <w:t>: Displays custom headlines, dynamic background image sliders, accreditation badges, and primary action buttons (</w:t>
      </w:r>
      <w:r>
        <w:rPr>
          <w:i/>
        </w:rPr>
        <w:t>"Apply Online"</w:t>
      </w:r>
      <w:r>
        <w:rPr>
          <w:color w:val="1E293B"/>
        </w:rPr>
        <w:t xml:space="preserve">, </w:t>
      </w:r>
      <w:r>
        <w:rPr>
          <w:i/>
        </w:rPr>
        <w:t>"Download Prospectus"</w:t>
      </w:r>
      <w:r>
        <w:rPr>
          <w:color w:val="1E293B"/>
        </w:rPr>
        <w:t>).</w:t>
      </w:r>
    </w:p>
    <w:p>
      <w:pPr>
        <w:pStyle w:val="ListBullet"/>
        <w:spacing w:after="60" w:before="20" w:line="276" w:lineRule="auto"/>
      </w:pPr>
      <w:r>
        <w:rPr>
          <w:b/>
          <w:color w:val="065F46"/>
        </w:rPr>
        <w:t>Interactive Course Showcase</w:t>
      </w:r>
      <w:r>
        <w:rPr>
          <w:color w:val="1E293B"/>
        </w:rPr>
        <w:t>: Prospective students can browse active courses, view detailed module syllabi, inspect duration, and view transparent course fees.</w:t>
      </w:r>
    </w:p>
    <w:p>
      <w:pPr>
        <w:pStyle w:val="ListBullet"/>
        <w:spacing w:after="60" w:before="20" w:line="276" w:lineRule="auto"/>
      </w:pPr>
      <w:r>
        <w:rPr>
          <w:b/>
          <w:color w:val="065F46"/>
        </w:rPr>
        <w:t>Digital Notice Board</w:t>
      </w:r>
      <w:r>
        <w:rPr>
          <w:color w:val="1E293B"/>
        </w:rPr>
        <w:t xml:space="preserve">: Official center circulars, holiday schedules, and examination timetables. Includes an </w:t>
      </w:r>
      <w:r>
        <w:rPr>
          <w:b/>
          <w:color w:val="065F46"/>
        </w:rPr>
        <w:t>Urgent Announcement Ticker</w:t>
      </w:r>
      <w:r>
        <w:rPr>
          <w:color w:val="1E293B"/>
        </w:rPr>
        <w:t xml:space="preserve"> running across the top of the screen.</w:t>
      </w:r>
    </w:p>
    <w:p>
      <w:pPr>
        <w:pStyle w:val="ListBullet"/>
        <w:spacing w:after="60" w:before="20" w:line="276" w:lineRule="auto"/>
      </w:pPr>
      <w:r>
        <w:rPr>
          <w:b/>
          <w:color w:val="065F46"/>
        </w:rPr>
        <w:t>Campus &amp; Lab Photo Tour</w:t>
      </w:r>
      <w:r>
        <w:rPr>
          <w:color w:val="1E293B"/>
        </w:rPr>
        <w:t>: High-resolution gallery showcasing computer labs, theory classrooms, library, and student award ceremonies.</w:t>
      </w:r>
    </w:p>
    <w:p>
      <w:pPr>
        <w:pStyle w:val="ListBullet"/>
        <w:spacing w:after="60" w:before="20" w:line="276" w:lineRule="auto"/>
      </w:pPr>
      <w:r>
        <w:rPr>
          <w:b/>
          <w:color w:val="065F46"/>
        </w:rPr>
        <w:t>Interactive Location &amp; Lead Generation</w:t>
      </w:r>
      <w:r>
        <w:rPr>
          <w:color w:val="1E293B"/>
        </w:rPr>
        <w:t xml:space="preserve">: Embedded interactive Google Map, telephone helplines, street address, and </w:t>
      </w:r>
      <w:r>
        <w:rPr>
          <w:b/>
          <w:color w:val="065F46"/>
        </w:rPr>
        <w:t>Direct WhatsApp Chat</w:t>
      </w:r>
      <w:r>
        <w:rPr>
          <w:color w:val="1E293B"/>
        </w:rPr>
        <w:t xml:space="preserve"> integration.</w:t>
      </w:r>
    </w:p>
    <w:p>
      <w:pPr>
        <w:spacing w:after="120"/>
      </w:pPr>
    </w:p>
    <w:p>
      <w:pPr>
        <w:spacing w:before="240" w:after="80"/>
      </w:pPr>
      <w:r>
        <w:rPr>
          <w:b/>
          <w:color w:val="0D9488"/>
          <w:sz w:val="26"/>
        </w:rPr>
        <w:t>6.3 Central Anti-Counterfeit Verification Engine</w:t>
      </w:r>
    </w:p>
    <w:p>
      <w:pPr>
        <w:spacing w:after="120" w:before="0" w:line="276" w:lineRule="auto"/>
      </w:pPr>
      <w:r>
        <w:rPr>
          <w:color w:val="1E293B"/>
        </w:rPr>
        <w:t xml:space="preserve">In the educational sector, fake certificates and forged marksheets are a significant liability. ABCD Edu Hub provides an </w:t>
      </w:r>
      <w:r>
        <w:rPr>
          <w:b/>
          <w:color w:val="065F46"/>
        </w:rPr>
        <w:t>Instant Public Verification Gateway</w:t>
      </w:r>
      <w:r>
        <w:rPr>
          <w:color w:val="1E293B"/>
        </w:rPr>
        <w:t xml:space="preserve"> accessible by employers, background check agencies, universities, and government departments:</w:t>
      </w:r>
    </w:p>
    <w:p>
      <w:pPr>
        <w:spacing w:before="200" w:after="60"/>
      </w:pPr>
      <w:r>
        <w:rPr>
          <w:b/>
          <w:color w:val="0F172A"/>
          <w:sz w:val="22"/>
        </w:rPr>
        <w:t>1. Real-Time Student Verification (`/verify/student/{id}`)</w:t>
      </w:r>
    </w:p>
    <w:p>
      <w:pPr>
        <w:pStyle w:val="ListBullet"/>
        <w:spacing w:after="60" w:before="20" w:line="276" w:lineRule="auto"/>
      </w:pPr>
      <w:r>
        <w:rPr>
          <w:color w:val="1E293B"/>
        </w:rPr>
        <w:t>Scanning the QR code on any Student ID Card or entering the Enrollment Number displays the student's:</w:t>
      </w:r>
    </w:p>
    <w:p>
      <w:pPr>
        <w:pStyle w:val="ListBullet"/>
        <w:spacing w:after="60" w:before="20" w:line="276" w:lineRule="auto"/>
      </w:pPr>
      <w:r>
        <w:rPr>
          <w:color w:val="1E293B"/>
        </w:rPr>
        <w:t>Official Verified Photograph.</w:t>
      </w:r>
    </w:p>
    <w:p>
      <w:pPr>
        <w:pStyle w:val="ListBullet"/>
        <w:spacing w:after="60" w:before="20" w:line="276" w:lineRule="auto"/>
      </w:pPr>
      <w:r>
        <w:rPr>
          <w:color w:val="1E293B"/>
        </w:rPr>
        <w:t>Full Name &amp; Enrolled Center.</w:t>
      </w:r>
    </w:p>
    <w:p>
      <w:pPr>
        <w:pStyle w:val="ListBullet"/>
        <w:spacing w:after="60" w:before="20" w:line="276" w:lineRule="auto"/>
      </w:pPr>
      <w:r>
        <w:rPr>
          <w:color w:val="1E293B"/>
        </w:rPr>
        <w:t>Active Enrollment Status &amp; Admission Year.</w:t>
      </w:r>
    </w:p>
    <w:p>
      <w:pPr>
        <w:pStyle w:val="ListBullet"/>
        <w:spacing w:after="60" w:before="20" w:line="276" w:lineRule="auto"/>
      </w:pPr>
      <w:r>
        <w:rPr>
          <w:color w:val="1E293B"/>
        </w:rPr>
        <w:t>Enrolled Course Title.</w:t>
      </w:r>
    </w:p>
    <w:p>
      <w:pPr>
        <w:spacing w:before="200" w:after="60"/>
      </w:pPr>
      <w:r>
        <w:rPr>
          <w:b/>
          <w:color w:val="0F172A"/>
          <w:sz w:val="22"/>
        </w:rPr>
        <w:t>2. Tamper-Proof Certificate Authentication (`/verify/certificate/{id}`)</w:t>
      </w:r>
    </w:p>
    <w:p>
      <w:pPr>
        <w:pStyle w:val="ListBullet"/>
        <w:spacing w:after="60" w:before="20" w:line="276" w:lineRule="auto"/>
      </w:pPr>
      <w:r>
        <w:rPr>
          <w:color w:val="1E293B"/>
        </w:rPr>
        <w:t>Scanning the QR code on an official completion certificate routes the verifier to a cryptographic verification certificate page:</w:t>
      </w:r>
    </w:p>
    <w:p>
      <w:pPr>
        <w:pStyle w:val="ListBullet"/>
        <w:spacing w:after="60" w:before="20" w:line="276" w:lineRule="auto"/>
      </w:pPr>
      <w:r>
        <w:rPr>
          <w:color w:val="1E293B"/>
        </w:rPr>
        <w:t>Certificate Serial Number &amp; Issue Date.</w:t>
      </w:r>
    </w:p>
    <w:p>
      <w:pPr>
        <w:pStyle w:val="ListBullet"/>
        <w:spacing w:after="60" w:before="20" w:line="276" w:lineRule="auto"/>
      </w:pPr>
      <w:r>
        <w:rPr>
          <w:color w:val="1E293B"/>
        </w:rPr>
        <w:t xml:space="preserve">Awarded Grade (e.g., </w:t>
      </w:r>
      <w:r>
        <w:rPr>
          <w:i/>
        </w:rPr>
        <w:t>Grade A+ / Distinction</w:t>
      </w:r>
      <w:r>
        <w:rPr>
          <w:color w:val="1E293B"/>
        </w:rPr>
        <w:t>).</w:t>
      </w:r>
    </w:p>
    <w:p>
      <w:pPr>
        <w:pStyle w:val="ListBullet"/>
        <w:spacing w:after="60" w:before="20" w:line="276" w:lineRule="auto"/>
      </w:pPr>
      <w:r>
        <w:rPr>
          <w:color w:val="1E293B"/>
        </w:rPr>
        <w:t>Central Board Accreditation Seal &amp; Confirmation Statement.</w:t>
      </w:r>
    </w:p>
    <w:p>
      <w:pPr>
        <w:pStyle w:val="ListBullet"/>
        <w:spacing w:after="60" w:before="20" w:line="276" w:lineRule="auto"/>
      </w:pPr>
      <w:r>
        <w:rPr>
          <w:color w:val="1E293B"/>
        </w:rPr>
        <w:t>Match Guarantee: If a physical paper certificate has been altered or photoshopped, the discrepancy is immediately revealed against the official cloud database record.</w:t>
      </w:r>
    </w:p>
    <w:p>
      <w:r>
        <w:br w:type="page"/>
      </w:r>
    </w:p>
    <w:p>
      <w:pPr>
        <w:spacing w:before="320" w:after="120"/>
      </w:pPr>
      <w:r>
        <w:rPr>
          <w:b/>
          <w:color w:val="065F46"/>
          <w:sz w:val="32"/>
        </w:rPr>
        <w:t>Chapter 7: Master Capabilities Matrix &amp; Technical Specifications</w:t>
      </w:r>
    </w:p>
    <w:p>
      <w:pPr>
        <w:spacing w:before="240" w:after="80"/>
      </w:pPr>
      <w:r>
        <w:rPr>
          <w:b/>
          <w:color w:val="0D9488"/>
          <w:sz w:val="26"/>
        </w:rPr>
        <w:t>7.1 Master Platform Capabilities Matrix</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Mar>
              <w:top w:w="100" w:type="dxa"/>
              <w:bottom w:w="100" w:type="dxa"/>
              <w:left w:w="140" w:type="dxa"/>
              <w:right w:w="140" w:type="dxa"/>
            </w:tcMar>
            <w:shd w:val="clear" w:color="auto" w:fill="065F46"/>
          </w:tcPr>
          <w:p>
            <w:pPr>
              <w:spacing w:after="40" w:before="40"/>
            </w:pPr>
            <w:r>
              <w:rPr>
                <w:b/>
                <w:color w:val="FFFFFF"/>
                <w:sz w:val="19"/>
              </w:rPr>
              <w:t>System Capability</w:t>
            </w:r>
          </w:p>
        </w:tc>
        <w:tc>
          <w:tcPr>
            <w:tcW w:type="dxa" w:w="1872"/>
            <w:vAlign w:val="center"/>
            <w:tcMar>
              <w:top w:w="100" w:type="dxa"/>
              <w:bottom w:w="100" w:type="dxa"/>
              <w:left w:w="140" w:type="dxa"/>
              <w:right w:w="140" w:type="dxa"/>
            </w:tcMar>
            <w:shd w:val="clear" w:color="auto" w:fill="065F46"/>
          </w:tcPr>
          <w:p>
            <w:pPr>
              <w:spacing w:after="40" w:before="40"/>
            </w:pPr>
            <w:r>
              <w:rPr>
                <w:b/>
                <w:color w:val="FFFFFF"/>
                <w:sz w:val="19"/>
              </w:rPr>
              <w:t>Super Admin HQ</w:t>
            </w:r>
          </w:p>
        </w:tc>
        <w:tc>
          <w:tcPr>
            <w:tcW w:type="dxa" w:w="1872"/>
            <w:vAlign w:val="center"/>
            <w:tcMar>
              <w:top w:w="100" w:type="dxa"/>
              <w:bottom w:w="100" w:type="dxa"/>
              <w:left w:w="140" w:type="dxa"/>
              <w:right w:w="140" w:type="dxa"/>
            </w:tcMar>
            <w:shd w:val="clear" w:color="auto" w:fill="065F46"/>
          </w:tcPr>
          <w:p>
            <w:pPr>
              <w:spacing w:after="40" w:before="40"/>
            </w:pPr>
            <w:r>
              <w:rPr>
                <w:b/>
                <w:color w:val="FFFFFF"/>
                <w:sz w:val="19"/>
              </w:rPr>
              <w:t>Franchise Center</w:t>
            </w:r>
          </w:p>
        </w:tc>
        <w:tc>
          <w:tcPr>
            <w:tcW w:type="dxa" w:w="1872"/>
            <w:vAlign w:val="center"/>
            <w:tcMar>
              <w:top w:w="100" w:type="dxa"/>
              <w:bottom w:w="100" w:type="dxa"/>
              <w:left w:w="140" w:type="dxa"/>
              <w:right w:w="140" w:type="dxa"/>
            </w:tcMar>
            <w:shd w:val="clear" w:color="auto" w:fill="065F46"/>
          </w:tcPr>
          <w:p>
            <w:pPr>
              <w:spacing w:after="40" w:before="40"/>
            </w:pPr>
            <w:r>
              <w:rPr>
                <w:b/>
                <w:color w:val="FFFFFF"/>
                <w:sz w:val="19"/>
              </w:rPr>
              <w:t>Student Portal</w:t>
            </w:r>
          </w:p>
        </w:tc>
        <w:tc>
          <w:tcPr>
            <w:tcW w:type="dxa" w:w="1872"/>
            <w:vAlign w:val="center"/>
            <w:tcMar>
              <w:top w:w="100" w:type="dxa"/>
              <w:bottom w:w="100" w:type="dxa"/>
              <w:left w:w="140" w:type="dxa"/>
              <w:right w:w="140" w:type="dxa"/>
            </w:tcMar>
            <w:shd w:val="clear" w:color="auto" w:fill="065F46"/>
          </w:tcPr>
          <w:p>
            <w:pPr>
              <w:spacing w:after="40" w:before="40"/>
            </w:pPr>
            <w:r>
              <w:rPr>
                <w:b/>
                <w:color w:val="FFFFFF"/>
                <w:sz w:val="19"/>
              </w:rPr>
              <w:t>Public Visitor</w:t>
            </w:r>
          </w:p>
        </w:tc>
      </w:tr>
      <w:tr>
        <w:tc>
          <w:tcPr>
            <w:tcW w:type="dxa" w:w="1872"/>
            <w:vAlign w:val="center"/>
            <w:tcMar>
              <w:top w:w="100" w:type="dxa"/>
              <w:bottom w:w="100" w:type="dxa"/>
              <w:left w:w="140" w:type="dxa"/>
              <w:right w:w="140" w:type="dxa"/>
            </w:tcMar>
            <w:shd w:val="clear" w:color="auto" w:fill="F0FDF4"/>
          </w:tcPr>
          <w:p>
            <w:pPr>
              <w:spacing w:after="40" w:before="40"/>
            </w:pPr>
            <w:r>
              <w:rPr>
                <w:b/>
                <w:color w:val="065F46"/>
                <w:sz w:val="19"/>
              </w:rPr>
              <w:t>Multi-Tenant Dual-Routing (Subdomains)</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Global</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Isolated</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Isolated</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Accessible</w:t>
            </w:r>
          </w:p>
        </w:tc>
      </w:tr>
      <w:tr>
        <w:tc>
          <w:tcPr>
            <w:tcW w:type="dxa" w:w="1872"/>
            <w:vAlign w:val="center"/>
            <w:tcMar>
              <w:top w:w="100" w:type="dxa"/>
              <w:bottom w:w="100" w:type="dxa"/>
              <w:left w:w="140" w:type="dxa"/>
              <w:right w:w="140" w:type="dxa"/>
            </w:tcMar>
            <w:shd w:val="clear" w:color="auto" w:fill="FFFFFF"/>
          </w:tcPr>
          <w:p>
            <w:pPr>
              <w:spacing w:after="40" w:before="40"/>
            </w:pPr>
            <w:r>
              <w:rPr>
                <w:b/>
                <w:color w:val="065F46"/>
                <w:sz w:val="19"/>
              </w:rPr>
              <w:t>Secure Password + Biometric Passkeys (FaceID/Fingerprint)</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Yes</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Yes</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Yes</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N/A</w:t>
            </w:r>
          </w:p>
        </w:tc>
      </w:tr>
      <w:tr>
        <w:tc>
          <w:tcPr>
            <w:tcW w:type="dxa" w:w="1872"/>
            <w:vAlign w:val="center"/>
            <w:tcMar>
              <w:top w:w="100" w:type="dxa"/>
              <w:bottom w:w="100" w:type="dxa"/>
              <w:left w:w="140" w:type="dxa"/>
              <w:right w:w="140" w:type="dxa"/>
            </w:tcMar>
            <w:shd w:val="clear" w:color="auto" w:fill="F0FDF4"/>
          </w:tcPr>
          <w:p>
            <w:pPr>
              <w:spacing w:after="40" w:before="40"/>
            </w:pPr>
            <w:r>
              <w:rPr>
                <w:b/>
                <w:color w:val="065F46"/>
                <w:sz w:val="19"/>
              </w:rPr>
              <w:t>Franchise Affiliation &amp; Licensing Intake</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Approve / Manage</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Apply</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N/A</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Submit Inquiry</w:t>
            </w:r>
          </w:p>
        </w:tc>
      </w:tr>
      <w:tr>
        <w:tc>
          <w:tcPr>
            <w:tcW w:type="dxa" w:w="1872"/>
            <w:vAlign w:val="center"/>
            <w:tcMar>
              <w:top w:w="100" w:type="dxa"/>
              <w:bottom w:w="100" w:type="dxa"/>
              <w:left w:w="140" w:type="dxa"/>
              <w:right w:w="140" w:type="dxa"/>
            </w:tcMar>
            <w:shd w:val="clear" w:color="auto" w:fill="FFFFFF"/>
          </w:tcPr>
          <w:p>
            <w:pPr>
              <w:spacing w:after="40" w:before="40"/>
            </w:pPr>
            <w:r>
              <w:rPr>
                <w:b/>
                <w:color w:val="065F46"/>
                <w:sz w:val="19"/>
              </w:rPr>
              <w:t>One-Click Center Impersonation ("Jump to Portal")</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Yes</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No</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No</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No</w:t>
            </w:r>
          </w:p>
        </w:tc>
      </w:tr>
      <w:tr>
        <w:tc>
          <w:tcPr>
            <w:tcW w:type="dxa" w:w="1872"/>
            <w:vAlign w:val="center"/>
            <w:tcMar>
              <w:top w:w="100" w:type="dxa"/>
              <w:bottom w:w="100" w:type="dxa"/>
              <w:left w:w="140" w:type="dxa"/>
              <w:right w:w="140" w:type="dxa"/>
            </w:tcMar>
            <w:shd w:val="clear" w:color="auto" w:fill="F0FDF4"/>
          </w:tcPr>
          <w:p>
            <w:pPr>
              <w:spacing w:after="40" w:before="40"/>
            </w:pPr>
            <w:r>
              <w:rPr>
                <w:b/>
                <w:color w:val="065F46"/>
                <w:sz w:val="19"/>
              </w:rPr>
              <w:t>Dynamic Course Pricing &amp; Installment Engine</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Standardize</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Override &amp; Plan</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View Ledger</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View Showcase</w:t>
            </w:r>
          </w:p>
        </w:tc>
      </w:tr>
      <w:tr>
        <w:tc>
          <w:tcPr>
            <w:tcW w:type="dxa" w:w="1872"/>
            <w:vAlign w:val="center"/>
            <w:tcMar>
              <w:top w:w="100" w:type="dxa"/>
              <w:bottom w:w="100" w:type="dxa"/>
              <w:left w:w="140" w:type="dxa"/>
              <w:right w:w="140" w:type="dxa"/>
            </w:tcMar>
            <w:shd w:val="clear" w:color="auto" w:fill="FFFFFF"/>
          </w:tcPr>
          <w:p>
            <w:pPr>
              <w:spacing w:after="40" w:before="40"/>
            </w:pPr>
            <w:r>
              <w:rPr>
                <w:b/>
                <w:color w:val="065F46"/>
                <w:sz w:val="19"/>
              </w:rPr>
              <w:t>Dynamic Admission Form Builder (Custom Fields)</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Global Policy</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Build / Toggle</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Submit</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Fill Application</w:t>
            </w:r>
          </w:p>
        </w:tc>
      </w:tr>
      <w:tr>
        <w:tc>
          <w:tcPr>
            <w:tcW w:type="dxa" w:w="1872"/>
            <w:vAlign w:val="center"/>
            <w:tcMar>
              <w:top w:w="100" w:type="dxa"/>
              <w:bottom w:w="100" w:type="dxa"/>
              <w:left w:w="140" w:type="dxa"/>
              <w:right w:w="140" w:type="dxa"/>
            </w:tcMar>
            <w:shd w:val="clear" w:color="auto" w:fill="F0FDF4"/>
          </w:tcPr>
          <w:p>
            <w:pPr>
              <w:spacing w:after="40" w:before="40"/>
            </w:pPr>
            <w:r>
              <w:rPr>
                <w:b/>
                <w:color w:val="065F46"/>
                <w:sz w:val="19"/>
              </w:rPr>
              <w:t>One-Click Admission Approval &amp; Batch Placement</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Global Audit</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Process / Assign</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View Status</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N/A</w:t>
            </w:r>
          </w:p>
        </w:tc>
      </w:tr>
      <w:tr>
        <w:tc>
          <w:tcPr>
            <w:tcW w:type="dxa" w:w="1872"/>
            <w:vAlign w:val="center"/>
            <w:tcMar>
              <w:top w:w="100" w:type="dxa"/>
              <w:bottom w:w="100" w:type="dxa"/>
              <w:left w:w="140" w:type="dxa"/>
              <w:right w:w="140" w:type="dxa"/>
            </w:tcMar>
            <w:shd w:val="clear" w:color="auto" w:fill="FFFFFF"/>
          </w:tcPr>
          <w:p>
            <w:pPr>
              <w:spacing w:after="40" w:before="40"/>
            </w:pPr>
            <w:r>
              <w:rPr>
                <w:b/>
                <w:color w:val="065F46"/>
                <w:sz w:val="19"/>
              </w:rPr>
              <w:t>Automated Enrollment Numbering (`Center-Year-Roll`)</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Formula Rules</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Auto Generate</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Assigned</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Verified</w:t>
            </w:r>
          </w:p>
        </w:tc>
      </w:tr>
      <w:tr>
        <w:tc>
          <w:tcPr>
            <w:tcW w:type="dxa" w:w="1872"/>
            <w:vAlign w:val="center"/>
            <w:tcMar>
              <w:top w:w="100" w:type="dxa"/>
              <w:bottom w:w="100" w:type="dxa"/>
              <w:left w:w="140" w:type="dxa"/>
              <w:right w:w="140" w:type="dxa"/>
            </w:tcMar>
            <w:shd w:val="clear" w:color="auto" w:fill="F0FDF4"/>
          </w:tcPr>
          <w:p>
            <w:pPr>
              <w:spacing w:after="40" w:before="40"/>
            </w:pPr>
            <w:r>
              <w:rPr>
                <w:b/>
                <w:color w:val="065F46"/>
                <w:sz w:val="19"/>
              </w:rPr>
              <w:t>Single &amp; Double Page PDF Print Layouts (18x12 Offset Mode)</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Full Layouts</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Full Layouts</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N/A</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N/A</w:t>
            </w:r>
          </w:p>
        </w:tc>
      </w:tr>
      <w:tr>
        <w:tc>
          <w:tcPr>
            <w:tcW w:type="dxa" w:w="1872"/>
            <w:vAlign w:val="center"/>
            <w:tcMar>
              <w:top w:w="100" w:type="dxa"/>
              <w:bottom w:w="100" w:type="dxa"/>
              <w:left w:w="140" w:type="dxa"/>
              <w:right w:w="140" w:type="dxa"/>
            </w:tcMar>
            <w:shd w:val="clear" w:color="auto" w:fill="FFFFFF"/>
          </w:tcPr>
          <w:p>
            <w:pPr>
              <w:spacing w:after="40" w:before="40"/>
            </w:pPr>
            <w:r>
              <w:rPr>
                <w:b/>
                <w:color w:val="065F46"/>
                <w:sz w:val="19"/>
              </w:rPr>
              <w:t>Contactless Smart QR Attendance Camera Scanner</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Network Audit</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Scan / Mark</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Display Pass</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N/A</w:t>
            </w:r>
          </w:p>
        </w:tc>
      </w:tr>
      <w:tr>
        <w:tc>
          <w:tcPr>
            <w:tcW w:type="dxa" w:w="1872"/>
            <w:vAlign w:val="center"/>
            <w:tcMar>
              <w:top w:w="100" w:type="dxa"/>
              <w:bottom w:w="100" w:type="dxa"/>
              <w:left w:w="140" w:type="dxa"/>
              <w:right w:w="140" w:type="dxa"/>
            </w:tcMar>
            <w:shd w:val="clear" w:color="auto" w:fill="F0FDF4"/>
          </w:tcPr>
          <w:p>
            <w:pPr>
              <w:spacing w:after="40" w:before="40"/>
            </w:pPr>
            <w:r>
              <w:rPr>
                <w:b/>
                <w:color w:val="065F46"/>
                <w:sz w:val="19"/>
              </w:rPr>
              <w:t>Instant Examination Admit Card / Hall Ticket Generation</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Standardize</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Issue / Print</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Download PDF</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Verify</w:t>
            </w:r>
          </w:p>
        </w:tc>
      </w:tr>
      <w:tr>
        <w:tc>
          <w:tcPr>
            <w:tcW w:type="dxa" w:w="1872"/>
            <w:vAlign w:val="center"/>
            <w:tcMar>
              <w:top w:w="100" w:type="dxa"/>
              <w:bottom w:w="100" w:type="dxa"/>
              <w:left w:w="140" w:type="dxa"/>
              <w:right w:w="140" w:type="dxa"/>
            </w:tcMar>
            <w:shd w:val="clear" w:color="auto" w:fill="FFFFFF"/>
          </w:tcPr>
          <w:p>
            <w:pPr>
              <w:spacing w:after="40" w:before="40"/>
            </w:pPr>
            <w:r>
              <w:rPr>
                <w:b/>
                <w:color w:val="065F46"/>
                <w:sz w:val="19"/>
              </w:rPr>
              <w:t>Dual Examination System (Offline Papers &amp; Online CBT)</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Curate Bank</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Create / Evaluate</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Take CBT Exam</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N/A</w:t>
            </w:r>
          </w:p>
        </w:tc>
      </w:tr>
      <w:tr>
        <w:tc>
          <w:tcPr>
            <w:tcW w:type="dxa" w:w="1872"/>
            <w:vAlign w:val="center"/>
            <w:tcMar>
              <w:top w:w="100" w:type="dxa"/>
              <w:bottom w:w="100" w:type="dxa"/>
              <w:left w:w="140" w:type="dxa"/>
              <w:right w:w="140" w:type="dxa"/>
            </w:tcMar>
            <w:shd w:val="clear" w:color="auto" w:fill="F0FDF4"/>
          </w:tcPr>
          <w:p>
            <w:pPr>
              <w:spacing w:after="40" w:before="40"/>
            </w:pPr>
            <w:r>
              <w:rPr>
                <w:b/>
                <w:color w:val="065F46"/>
                <w:sz w:val="19"/>
              </w:rPr>
              <w:t>Daily Batch Attendance Register (P/A/L/E)</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Network Audit</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Daily Take</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View Calendar</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N/A</w:t>
            </w:r>
          </w:p>
        </w:tc>
      </w:tr>
      <w:tr>
        <w:tc>
          <w:tcPr>
            <w:tcW w:type="dxa" w:w="1872"/>
            <w:vAlign w:val="center"/>
            <w:tcMar>
              <w:top w:w="100" w:type="dxa"/>
              <w:bottom w:w="100" w:type="dxa"/>
              <w:left w:w="140" w:type="dxa"/>
              <w:right w:w="140" w:type="dxa"/>
            </w:tcMar>
            <w:shd w:val="clear" w:color="auto" w:fill="FFFFFF"/>
          </w:tcPr>
          <w:p>
            <w:pPr>
              <w:spacing w:after="40" w:before="40"/>
            </w:pPr>
            <w:r>
              <w:rPr>
                <w:b/>
                <w:color w:val="065F46"/>
                <w:sz w:val="19"/>
              </w:rPr>
              <w:t>PVC Student ID Cards with Live QR Verification</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Designer</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Print / Issue</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View / Display</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Scan to Verify</w:t>
            </w:r>
          </w:p>
        </w:tc>
      </w:tr>
      <w:tr>
        <w:tc>
          <w:tcPr>
            <w:tcW w:type="dxa" w:w="1872"/>
            <w:vAlign w:val="center"/>
            <w:tcMar>
              <w:top w:w="100" w:type="dxa"/>
              <w:bottom w:w="100" w:type="dxa"/>
              <w:left w:w="140" w:type="dxa"/>
              <w:right w:w="140" w:type="dxa"/>
            </w:tcMar>
            <w:shd w:val="clear" w:color="auto" w:fill="F0FDF4"/>
          </w:tcPr>
          <w:p>
            <w:pPr>
              <w:spacing w:after="40" w:before="40"/>
            </w:pPr>
            <w:r>
              <w:rPr>
                <w:b/>
                <w:color w:val="065F46"/>
                <w:sz w:val="19"/>
              </w:rPr>
              <w:t>Accredited Certificates &amp; Marksheet Transcripts</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Designer / Approve</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Issue / Print</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Download</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Public Verify</w:t>
            </w:r>
          </w:p>
        </w:tc>
      </w:tr>
      <w:tr>
        <w:tc>
          <w:tcPr>
            <w:tcW w:type="dxa" w:w="1872"/>
            <w:vAlign w:val="center"/>
            <w:tcMar>
              <w:top w:w="100" w:type="dxa"/>
              <w:bottom w:w="100" w:type="dxa"/>
              <w:left w:w="140" w:type="dxa"/>
              <w:right w:w="140" w:type="dxa"/>
            </w:tcMar>
            <w:shd w:val="clear" w:color="auto" w:fill="FFFFFF"/>
          </w:tcPr>
          <w:p>
            <w:pPr>
              <w:spacing w:after="40" w:before="40"/>
            </w:pPr>
            <w:r>
              <w:rPr>
                <w:b/>
                <w:color w:val="065F46"/>
                <w:sz w:val="19"/>
              </w:rPr>
              <w:t>Offline Cash Collection &amp; Print Receipt</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Central Audit</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Record / Print</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View Digital Receipt</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N/A</w:t>
            </w:r>
          </w:p>
        </w:tc>
      </w:tr>
      <w:tr>
        <w:tc>
          <w:tcPr>
            <w:tcW w:type="dxa" w:w="1872"/>
            <w:vAlign w:val="center"/>
            <w:tcMar>
              <w:top w:w="100" w:type="dxa"/>
              <w:bottom w:w="100" w:type="dxa"/>
              <w:left w:w="140" w:type="dxa"/>
              <w:right w:w="140" w:type="dxa"/>
            </w:tcMar>
            <w:shd w:val="clear" w:color="auto" w:fill="F0FDF4"/>
          </w:tcPr>
          <w:p>
            <w:pPr>
              <w:spacing w:after="40" w:before="40"/>
            </w:pPr>
            <w:r>
              <w:rPr>
                <w:b/>
                <w:color w:val="065F46"/>
                <w:sz w:val="19"/>
              </w:rPr>
              <w:t>Online UPI Fee Payment &amp; Slip Verification</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Central Bank</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Inspect &amp; Approve</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Upload Slip</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N/A</w:t>
            </w:r>
          </w:p>
        </w:tc>
      </w:tr>
      <w:tr>
        <w:tc>
          <w:tcPr>
            <w:tcW w:type="dxa" w:w="1872"/>
            <w:vAlign w:val="center"/>
            <w:tcMar>
              <w:top w:w="100" w:type="dxa"/>
              <w:bottom w:w="100" w:type="dxa"/>
              <w:left w:w="140" w:type="dxa"/>
              <w:right w:w="140" w:type="dxa"/>
            </w:tcMar>
            <w:shd w:val="clear" w:color="auto" w:fill="FFFFFF"/>
          </w:tcPr>
          <w:p>
            <w:pPr>
              <w:spacing w:after="40" w:before="40"/>
            </w:pPr>
            <w:r>
              <w:rPr>
                <w:b/>
                <w:color w:val="065F46"/>
                <w:sz w:val="19"/>
              </w:rPr>
              <w:t>Exam Zone &amp; Printable Question Paper Builder</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Curate Bank</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Create Exams</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View Results</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N/A</w:t>
            </w:r>
          </w:p>
        </w:tc>
      </w:tr>
      <w:tr>
        <w:tc>
          <w:tcPr>
            <w:tcW w:type="dxa" w:w="1872"/>
            <w:vAlign w:val="center"/>
            <w:tcMar>
              <w:top w:w="100" w:type="dxa"/>
              <w:bottom w:w="100" w:type="dxa"/>
              <w:left w:w="140" w:type="dxa"/>
              <w:right w:w="140" w:type="dxa"/>
            </w:tcMar>
            <w:shd w:val="clear" w:color="auto" w:fill="F0FDF4"/>
          </w:tcPr>
          <w:p>
            <w:pPr>
              <w:spacing w:after="40" w:before="40"/>
            </w:pPr>
            <w:r>
              <w:rPr>
                <w:b/>
                <w:color w:val="065F46"/>
                <w:sz w:val="19"/>
              </w:rPr>
              <w:t>Central Wholesale Merchandise Supply Store</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Fulfill Bulk</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Order Kits</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Request Items</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N/A</w:t>
            </w:r>
          </w:p>
        </w:tc>
      </w:tr>
      <w:tr>
        <w:tc>
          <w:tcPr>
            <w:tcW w:type="dxa" w:w="1872"/>
            <w:vAlign w:val="center"/>
            <w:tcMar>
              <w:top w:w="100" w:type="dxa"/>
              <w:bottom w:w="100" w:type="dxa"/>
              <w:left w:w="140" w:type="dxa"/>
              <w:right w:w="140" w:type="dxa"/>
            </w:tcMar>
            <w:shd w:val="clear" w:color="auto" w:fill="FFFFFF"/>
          </w:tcPr>
          <w:p>
            <w:pPr>
              <w:spacing w:after="40" w:before="40"/>
            </w:pPr>
            <w:r>
              <w:rPr>
                <w:b/>
                <w:color w:val="065F46"/>
                <w:sz w:val="19"/>
              </w:rPr>
              <w:t>Pre-Paid Internal Token Economy &amp; Minting</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Mint / Reconcile</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Top-Up Request</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N/A</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N/A</w:t>
            </w:r>
          </w:p>
        </w:tc>
      </w:tr>
      <w:tr>
        <w:tc>
          <w:tcPr>
            <w:tcW w:type="dxa" w:w="1872"/>
            <w:vAlign w:val="center"/>
            <w:tcMar>
              <w:top w:w="100" w:type="dxa"/>
              <w:bottom w:w="100" w:type="dxa"/>
              <w:left w:w="140" w:type="dxa"/>
              <w:right w:w="140" w:type="dxa"/>
            </w:tcMar>
            <w:shd w:val="clear" w:color="auto" w:fill="F0FDF4"/>
          </w:tcPr>
          <w:p>
            <w:pPr>
              <w:spacing w:after="40" w:before="40"/>
            </w:pPr>
            <w:r>
              <w:rPr>
                <w:b/>
                <w:color w:val="065F46"/>
                <w:sz w:val="19"/>
              </w:rPr>
              <w:t>Regional State Manager Oversight Network</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Appoint / Audit</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Supervised</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N/A</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N/A</w:t>
            </w:r>
          </w:p>
        </w:tc>
      </w:tr>
      <w:tr>
        <w:tc>
          <w:tcPr>
            <w:tcW w:type="dxa" w:w="1872"/>
            <w:vAlign w:val="center"/>
            <w:tcMar>
              <w:top w:w="100" w:type="dxa"/>
              <w:bottom w:w="100" w:type="dxa"/>
              <w:left w:w="140" w:type="dxa"/>
              <w:right w:w="140" w:type="dxa"/>
            </w:tcMar>
            <w:shd w:val="clear" w:color="auto" w:fill="FFFFFF"/>
          </w:tcPr>
          <w:p>
            <w:pPr>
              <w:spacing w:after="40" w:before="40"/>
            </w:pPr>
            <w:r>
              <w:rPr>
                <w:b/>
                <w:color w:val="065F46"/>
                <w:sz w:val="19"/>
              </w:rPr>
              <w:t>Public Website Builder (Hero, Notice, Gallery)</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Master Landing</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Local Website</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N/A</w:t>
            </w:r>
          </w:p>
        </w:tc>
        <w:tc>
          <w:tcPr>
            <w:tcW w:type="dxa" w:w="1872"/>
            <w:vAlign w:val="center"/>
            <w:tcMar>
              <w:top w:w="100" w:type="dxa"/>
              <w:bottom w:w="100" w:type="dxa"/>
              <w:left w:w="140" w:type="dxa"/>
              <w:right w:w="140" w:type="dxa"/>
            </w:tcMar>
            <w:shd w:val="clear" w:color="auto" w:fill="FFFFFF"/>
          </w:tcPr>
          <w:p>
            <w:pPr>
              <w:spacing w:after="40" w:before="40"/>
            </w:pPr>
            <w:r>
              <w:rPr>
                <w:color w:val="1E293B"/>
                <w:sz w:val="19"/>
              </w:rPr>
              <w:t>Browse &amp; Apply</w:t>
            </w:r>
          </w:p>
        </w:tc>
      </w:tr>
      <w:tr>
        <w:tc>
          <w:tcPr>
            <w:tcW w:type="dxa" w:w="1872"/>
            <w:vAlign w:val="center"/>
            <w:tcMar>
              <w:top w:w="100" w:type="dxa"/>
              <w:bottom w:w="100" w:type="dxa"/>
              <w:left w:w="140" w:type="dxa"/>
              <w:right w:w="140" w:type="dxa"/>
            </w:tcMar>
            <w:shd w:val="clear" w:color="auto" w:fill="F0FDF4"/>
          </w:tcPr>
          <w:p>
            <w:pPr>
              <w:spacing w:after="40" w:before="40"/>
            </w:pPr>
            <w:r>
              <w:rPr>
                <w:b/>
                <w:color w:val="065F46"/>
                <w:sz w:val="19"/>
              </w:rPr>
              <w:t>Immutable System Audit Trail &amp; Logs</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Full Export</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No</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No</w:t>
            </w:r>
          </w:p>
        </w:tc>
        <w:tc>
          <w:tcPr>
            <w:tcW w:type="dxa" w:w="1872"/>
            <w:vAlign w:val="center"/>
            <w:tcMar>
              <w:top w:w="100" w:type="dxa"/>
              <w:bottom w:w="100" w:type="dxa"/>
              <w:left w:w="140" w:type="dxa"/>
              <w:right w:w="140" w:type="dxa"/>
            </w:tcMar>
            <w:shd w:val="clear" w:color="auto" w:fill="F0FDF4"/>
          </w:tcPr>
          <w:p>
            <w:pPr>
              <w:spacing w:after="40" w:before="40"/>
            </w:pPr>
            <w:r>
              <w:rPr>
                <w:color w:val="1E293B"/>
                <w:sz w:val="19"/>
              </w:rPr>
              <w:t>No</w:t>
            </w:r>
          </w:p>
        </w:tc>
      </w:tr>
    </w:tbl>
    <w:p>
      <w:pPr>
        <w:spacing w:after="120"/>
      </w:pPr>
    </w:p>
    <w:p>
      <w:pPr>
        <w:spacing w:after="120"/>
      </w:pPr>
    </w:p>
    <w:p>
      <w:pPr>
        <w:spacing w:before="240" w:after="80"/>
      </w:pPr>
      <w:r>
        <w:rPr>
          <w:b/>
          <w:color w:val="0D9488"/>
          <w:sz w:val="26"/>
        </w:rPr>
        <w:t>7.2 Scalability &amp; Deployment Specifications</w:t>
      </w:r>
    </w:p>
    <w:p>
      <w:pPr>
        <w:pStyle w:val="ListBullet"/>
        <w:spacing w:after="60" w:before="20" w:line="276" w:lineRule="auto"/>
      </w:pPr>
      <w:r>
        <w:rPr>
          <w:b/>
          <w:color w:val="065F46"/>
        </w:rPr>
        <w:t>Multi-Tenant Capacity</w:t>
      </w:r>
      <w:r>
        <w:rPr>
          <w:color w:val="1E293B"/>
        </w:rPr>
        <w:t>: Supports thousands of concurrent franchise centers with zero cross-tenant data leakage.</w:t>
      </w:r>
    </w:p>
    <w:p>
      <w:pPr>
        <w:pStyle w:val="ListBullet"/>
        <w:spacing w:after="60" w:before="20" w:line="276" w:lineRule="auto"/>
      </w:pPr>
      <w:r>
        <w:rPr>
          <w:b/>
          <w:color w:val="065F46"/>
        </w:rPr>
        <w:t>Concurrent Users</w:t>
      </w:r>
      <w:r>
        <w:rPr>
          <w:color w:val="1E293B"/>
        </w:rPr>
        <w:t>: Serverless architecture automatically scales to handle tens of thousands of simultaneous students during admissions and examination cycles.</w:t>
      </w:r>
    </w:p>
    <w:p>
      <w:pPr>
        <w:pStyle w:val="ListBullet"/>
        <w:spacing w:after="60" w:before="20" w:line="276" w:lineRule="auto"/>
      </w:pPr>
      <w:r>
        <w:rPr>
          <w:b/>
          <w:color w:val="065F46"/>
        </w:rPr>
        <w:t>Device Support</w:t>
      </w:r>
      <w:r>
        <w:rPr>
          <w:color w:val="1E293B"/>
        </w:rPr>
        <w:t>: Fully responsive web design functioning seamlessly across Android smartphones, Apple iPhones/iPads, Windows laptops, and macOS computers.</w:t>
      </w:r>
    </w:p>
    <w:p>
      <w:pPr>
        <w:pStyle w:val="ListBullet"/>
        <w:spacing w:after="60" w:before="20" w:line="276" w:lineRule="auto"/>
      </w:pPr>
      <w:r>
        <w:rPr>
          <w:b/>
          <w:color w:val="065F46"/>
        </w:rPr>
        <w:t>Print Compatibility</w:t>
      </w:r>
      <w:r>
        <w:rPr>
          <w:color w:val="1E293B"/>
        </w:rPr>
        <w:t>: Built-in styling for standard PVC ID card thermal printers (CR80), POS thermal receipt printers, and desktop A4 color document printers.</w:t>
      </w:r>
    </w:p>
    <w:p>
      <w:r>
        <w:br w:type="page"/>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Client Presentation Edition — Proprietary Educational Management Suite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ABCD Edu Hub — Complete Platform Features &amp; Capabilities Catalog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