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spacing w:after="360"/>
      </w:pPr>
      <w:r>
        <w:rPr>
          <w:b/>
          <w:color w:val="4F46E5"/>
          <w:sz w:val="22"/>
        </w:rPr>
        <w:t>ABCD EDU HUB — CENTRAL HEAD OFFICE ADMINISTRATION</w:t>
      </w:r>
    </w:p>
    <w:p>
      <w:pPr>
        <w:spacing w:after="280" w:line="264" w:lineRule="auto"/>
      </w:pPr>
      <w:r>
        <w:rPr>
          <w:b/>
          <w:color w:val="0F172A"/>
          <w:sz w:val="64"/>
        </w:rPr>
        <w:t>Super Administrator</w:t>
        <w:br/>
        <w:t>Master Operational Manual</w:t>
      </w:r>
    </w:p>
    <w:p>
      <w:pPr>
        <w:spacing w:after="800"/>
      </w:pPr>
      <w:r>
        <w:rPr>
          <w:color w:val="64748B"/>
          <w:sz w:val="28"/>
        </w:rPr>
        <w:t>The Complete Handbook for Platform Governance, Franchise Licensing, Nationwide Student Oversight, Token Economy, and Accreditation Standards</w:t>
      </w:r>
    </w:p>
    <w:tbl>
      <w:tblPr>
        <w:tblW w:type="auto" w:w="0"/>
        <w:jc w:val="center"/>
        <w:tblLook w:firstColumn="1" w:firstRow="1" w:lastColumn="0" w:lastRow="0" w:noHBand="0" w:noVBand="1" w:val="04A0"/>
      </w:tblPr>
      <w:tblGrid>
        <w:gridCol w:w="9360"/>
      </w:tblGrid>
      <w:tr>
        <w:tc>
          <w:tcPr>
            <w:tcW w:type="dxa" w:w="9360"/>
            <w:shd w:val="clear" w:color="auto" w:fill="F1F5F9"/>
            <w:tcMar>
              <w:top w:w="160" w:type="dxa"/>
              <w:bottom w:w="160" w:type="dxa"/>
              <w:left w:w="180" w:type="dxa"/>
              <w:right w:w="180" w:type="dxa"/>
            </w:tcMar>
            <w:tcBorders>
              <w:left w:val="single" w:sz="24" w:space="0" w:color="0F172A"/>
              <w:top w:val="none"/>
              <w:bottom w:val="none"/>
              <w:right w:val="none"/>
            </w:tcBorders>
          </w:tcPr>
          <w:p>
            <w:pPr>
              <w:spacing w:after="160"/>
            </w:pPr>
            <w:r>
              <w:rPr>
                <w:b/>
                <w:color w:val="0F172A"/>
                <w:sz w:val="20"/>
              </w:rPr>
              <w:t>EXECUTIVE GOVERNANCE AREAS COVERED IN THIS VOLUME:</w:t>
            </w:r>
          </w:p>
          <w:p>
            <w:pPr>
              <w:spacing w:after="60" w:before="20"/>
            </w:pPr>
            <w:r>
              <w:rPr>
                <w:b/>
                <w:color w:val="4F46E5"/>
              </w:rPr>
              <w:t xml:space="preserve">• </w:t>
            </w:r>
            <w:r>
              <w:rPr>
                <w:color w:val="1E293B"/>
                <w:sz w:val="19"/>
              </w:rPr>
              <w:t>Platform Architecture, Central Hierarchy &amp; Multi-Tenant Routing Mechanics</w:t>
            </w:r>
          </w:p>
          <w:p>
            <w:pPr>
              <w:spacing w:after="60" w:before="20"/>
            </w:pPr>
            <w:r>
              <w:rPr>
                <w:b/>
                <w:color w:val="4F46E5"/>
              </w:rPr>
              <w:t xml:space="preserve">• </w:t>
            </w:r>
            <w:r>
              <w:rPr>
                <w:color w:val="1E293B"/>
                <w:sz w:val="19"/>
              </w:rPr>
              <w:t>Franchise Affiliation Management: Setup, Provisioning, Licensing &amp; Subdomains</w:t>
            </w:r>
          </w:p>
          <w:p>
            <w:pPr>
              <w:spacing w:after="60" w:before="20"/>
            </w:pPr>
            <w:r>
              <w:rPr>
                <w:b/>
                <w:color w:val="4F46E5"/>
              </w:rPr>
              <w:t xml:space="preserve">• </w:t>
            </w:r>
            <w:r>
              <w:rPr>
                <w:color w:val="1E293B"/>
                <w:sz w:val="19"/>
              </w:rPr>
              <w:t>Understanding Franchise Student Enrolment Workflows &amp; Central Registry Audits</w:t>
            </w:r>
          </w:p>
          <w:p>
            <w:pPr>
              <w:spacing w:after="60" w:before="20"/>
            </w:pPr>
            <w:r>
              <w:rPr>
                <w:b/>
                <w:color w:val="4F46E5"/>
              </w:rPr>
              <w:t xml:space="preserve">• </w:t>
            </w:r>
            <w:r>
              <w:rPr>
                <w:color w:val="1E293B"/>
                <w:sz w:val="19"/>
              </w:rPr>
              <w:t>Central Student Registration Card Approvals &amp; Tamper-Proof Document Verification</w:t>
            </w:r>
          </w:p>
          <w:p>
            <w:pPr>
              <w:spacing w:after="60" w:before="20"/>
            </w:pPr>
            <w:r>
              <w:rPr>
                <w:b/>
                <w:color w:val="4F46E5"/>
              </w:rPr>
              <w:t xml:space="preserve">• </w:t>
            </w:r>
            <w:r>
              <w:rPr>
                <w:color w:val="1E293B"/>
                <w:sz w:val="19"/>
              </w:rPr>
              <w:t>Global Accredited Course Master, Curriculum Standardization &amp; Group Taxonomy</w:t>
            </w:r>
          </w:p>
          <w:p>
            <w:pPr>
              <w:spacing w:after="60" w:before="20"/>
            </w:pPr>
            <w:r>
              <w:rPr>
                <w:b/>
                <w:color w:val="4F46E5"/>
              </w:rPr>
              <w:t xml:space="preserve">• </w:t>
            </w:r>
            <w:r>
              <w:rPr>
                <w:color w:val="1E293B"/>
                <w:sz w:val="19"/>
              </w:rPr>
              <w:t>Central Token Economy, Merchant Banking Setup &amp; Franchise Top-Up Reconciliations</w:t>
            </w:r>
          </w:p>
          <w:p>
            <w:pPr>
              <w:spacing w:after="60" w:before="20"/>
            </w:pPr>
            <w:r>
              <w:rPr>
                <w:b/>
                <w:color w:val="4F46E5"/>
              </w:rPr>
              <w:t xml:space="preserve">• </w:t>
            </w:r>
            <w:r>
              <w:rPr>
                <w:color w:val="1E293B"/>
                <w:sz w:val="19"/>
              </w:rPr>
              <w:t>Document Designer: ID Cards, Accredited Certificates &amp; Marksheets with QR Codes</w:t>
            </w:r>
          </w:p>
          <w:p>
            <w:pPr>
              <w:spacing w:after="60" w:before="20"/>
            </w:pPr>
            <w:r>
              <w:rPr>
                <w:b/>
                <w:color w:val="4F46E5"/>
              </w:rPr>
              <w:t xml:space="preserve">• </w:t>
            </w:r>
            <w:r>
              <w:rPr>
                <w:color w:val="1E293B"/>
                <w:sz w:val="19"/>
              </w:rPr>
              <w:t>Global Identity Management &amp; Super Admin Manager Delegation Framework</w:t>
            </w:r>
          </w:p>
          <w:p>
            <w:pPr>
              <w:spacing w:after="60" w:before="20"/>
            </w:pPr>
            <w:r>
              <w:rPr>
                <w:b/>
                <w:color w:val="4F46E5"/>
              </w:rPr>
              <w:t xml:space="preserve">• </w:t>
            </w:r>
            <w:r>
              <w:rPr>
                <w:color w:val="1E293B"/>
                <w:sz w:val="19"/>
              </w:rPr>
              <w:t>Regional State Manager Coordinator Network &amp; Territorial Jurisdiction Controls</w:t>
            </w:r>
          </w:p>
          <w:p>
            <w:pPr>
              <w:spacing w:after="60" w:before="20"/>
            </w:pPr>
            <w:r>
              <w:rPr>
                <w:b/>
                <w:color w:val="4F46E5"/>
              </w:rPr>
              <w:t xml:space="preserve">• </w:t>
            </w:r>
            <w:r>
              <w:rPr>
                <w:color w:val="1E293B"/>
                <w:sz w:val="19"/>
              </w:rPr>
              <w:t>Central Wholesale Merchandise Logistics, Textbook Bundles &amp; Order Processing</w:t>
            </w:r>
          </w:p>
          <w:p>
            <w:pPr>
              <w:spacing w:after="60" w:before="20"/>
            </w:pPr>
            <w:r>
              <w:rPr>
                <w:b/>
                <w:color w:val="4F46E5"/>
              </w:rPr>
              <w:t xml:space="preserve">• </w:t>
            </w:r>
            <w:r>
              <w:rPr>
                <w:color w:val="1E293B"/>
                <w:sz w:val="19"/>
              </w:rPr>
              <w:t>National Platform Settings, Central Landing Page &amp; Immutable Security Audit Logs</w:t>
            </w:r>
          </w:p>
        </w:tc>
      </w:tr>
    </w:tbl>
    <w:p>
      <w:pPr>
        <w:spacing w:after="800"/>
      </w:pPr>
    </w:p>
    <w:tbl>
      <w:tblPr>
        <w:tblW w:type="auto" w:w="0"/>
        <w:jc w:val="center"/>
        <w:tblLook w:firstColumn="1" w:firstRow="1" w:lastColumn="0" w:lastRow="0" w:noHBand="0" w:noVBand="1" w:val="04A0"/>
      </w:tblPr>
      <w:tblGrid>
        <w:gridCol w:w="4680"/>
        <w:gridCol w:w="4680"/>
      </w:tblGrid>
      <w:tr>
        <w:tc>
          <w:tcPr>
            <w:tcW w:type="dxa" w:w="4680"/>
          </w:tcPr>
          <w:p>
            <w:r>
              <w:rPr>
                <w:sz w:val="18"/>
              </w:rPr>
              <w:t>Document Version: 3.0 (Master HQ Edition)</w:t>
            </w:r>
          </w:p>
        </w:tc>
        <w:tc>
          <w:tcPr>
            <w:tcW w:type="dxa" w:w="4680"/>
          </w:tcPr>
          <w:p>
            <w:r>
              <w:rPr>
                <w:sz w:val="18"/>
              </w:rPr>
              <w:t>Release Date: Academic Year 2026-2027</w:t>
            </w:r>
          </w:p>
        </w:tc>
      </w:tr>
      <w:tr>
        <w:tc>
          <w:tcPr>
            <w:tcW w:type="dxa" w:w="4680"/>
          </w:tcPr>
          <w:p>
            <w:r>
              <w:rPr>
                <w:sz w:val="18"/>
              </w:rPr>
              <w:t>Target Audience: Executive Directors &amp; HQ Staff</w:t>
            </w:r>
          </w:p>
        </w:tc>
        <w:tc>
          <w:tcPr>
            <w:tcW w:type="dxa" w:w="4680"/>
          </w:tcPr>
          <w:p>
            <w:r>
              <w:rPr>
                <w:sz w:val="18"/>
              </w:rPr>
              <w:t>Classification: Confidential &amp; Proprietary</w:t>
            </w:r>
          </w:p>
        </w:tc>
      </w:tr>
    </w:tbl>
    <w:p>
      <w:r>
        <w:br w:type="page"/>
      </w:r>
    </w:p>
    <w:p>
      <w:pPr>
        <w:spacing w:before="360" w:after="160"/>
      </w:pPr>
      <w:r>
        <w:rPr>
          <w:b/>
          <w:color w:val="0F172A"/>
          <w:sz w:val="40"/>
        </w:rPr>
        <w:t>ABCD Edu Hub — Super Administrator Complete Operational Manual</w:t>
      </w:r>
    </w:p>
    <w:p>
      <w:pPr>
        <w:spacing w:before="320" w:after="120"/>
      </w:pPr>
      <w:r>
        <w:rPr>
          <w:b/>
          <w:color w:val="0F172A"/>
          <w:sz w:val="32"/>
        </w:rPr>
        <w:t>Chapter 1: Platform Architecture &amp; Central Command Center</w:t>
      </w:r>
    </w:p>
    <w:p>
      <w:pPr>
        <w:spacing w:before="240" w:after="80"/>
      </w:pPr>
      <w:r>
        <w:rPr>
          <w:b/>
          <w:color w:val="4F46E5"/>
          <w:sz w:val="26"/>
        </w:rPr>
        <w:t>1.1 Executive Overview</w:t>
      </w:r>
    </w:p>
    <w:p>
      <w:pPr>
        <w:spacing w:after="120" w:before="0" w:line="276" w:lineRule="auto"/>
      </w:pPr>
      <w:r>
        <w:rPr>
          <w:color w:val="1E293B"/>
        </w:rPr>
        <w:t xml:space="preserve">The </w:t>
      </w:r>
      <w:r>
        <w:rPr>
          <w:b/>
          <w:color w:val="0F172A"/>
        </w:rPr>
        <w:t>ABCD Edu Hub Super Administration Portal</w:t>
      </w:r>
      <w:r>
        <w:rPr>
          <w:color w:val="1E293B"/>
        </w:rPr>
        <w:t xml:space="preserve"> (</w:t>
      </w:r>
      <w:r>
        <w:rPr>
          <w:rFonts w:ascii="Consolas" w:hAnsi="Consolas"/>
          <w:color w:val="4F46E5"/>
          <w:sz w:val="19"/>
        </w:rPr>
        <w:t>/super-admin</w:t>
      </w:r>
      <w:r>
        <w:rPr>
          <w:color w:val="1E293B"/>
        </w:rPr>
        <w:t>) is the central nerve center of the entire multi-tenant educational ecosystem. While individual franchise administrators manage their local classrooms and daily fee collections, the Super Administrator (Head Office) possesses macro-level authority over:</w:t>
      </w:r>
    </w:p>
    <w:p>
      <w:pPr>
        <w:pStyle w:val="ListBullet"/>
        <w:spacing w:after="60" w:before="20" w:line="276" w:lineRule="auto"/>
      </w:pPr>
      <w:r>
        <w:rPr>
          <w:color w:val="1E293B"/>
        </w:rPr>
        <w:t>Institutional accreditation and franchise licensing.</w:t>
      </w:r>
    </w:p>
    <w:p>
      <w:pPr>
        <w:pStyle w:val="ListBullet"/>
        <w:spacing w:after="60" w:before="20" w:line="276" w:lineRule="auto"/>
      </w:pPr>
      <w:r>
        <w:rPr>
          <w:color w:val="1E293B"/>
        </w:rPr>
        <w:t>Central student registry verification and certification standards.</w:t>
      </w:r>
    </w:p>
    <w:p>
      <w:pPr>
        <w:pStyle w:val="ListBullet"/>
        <w:spacing w:after="60" w:before="20" w:line="276" w:lineRule="auto"/>
      </w:pPr>
      <w:r>
        <w:rPr>
          <w:color w:val="1E293B"/>
        </w:rPr>
        <w:t>Accredited global curriculum development.</w:t>
      </w:r>
    </w:p>
    <w:p>
      <w:pPr>
        <w:pStyle w:val="ListBullet"/>
        <w:spacing w:after="60" w:before="20" w:line="276" w:lineRule="auto"/>
      </w:pPr>
      <w:r>
        <w:rPr>
          <w:color w:val="1E293B"/>
        </w:rPr>
        <w:t>Central token economy, wallet top-ups, and financial settlements.</w:t>
      </w:r>
    </w:p>
    <w:p>
      <w:pPr>
        <w:pStyle w:val="ListBullet"/>
        <w:spacing w:after="60" w:before="20" w:line="276" w:lineRule="auto"/>
      </w:pPr>
      <w:r>
        <w:rPr>
          <w:color w:val="1E293B"/>
        </w:rPr>
        <w:t>Template design for official certificates, marks transcripts, and PVC ID cards.</w:t>
      </w:r>
    </w:p>
    <w:p>
      <w:pPr>
        <w:pStyle w:val="ListBullet"/>
        <w:spacing w:after="60" w:before="20" w:line="276" w:lineRule="auto"/>
      </w:pPr>
      <w:r>
        <w:rPr>
          <w:color w:val="1E293B"/>
        </w:rPr>
        <w:t>Global user authentication, security enforcement, and regional State Coordinator networks.</w:t>
      </w:r>
    </w:p>
    <w:p>
      <w:pPr>
        <w:spacing w:after="120"/>
      </w:pPr>
    </w:p>
    <w:p>
      <w:pPr>
        <w:spacing w:before="240" w:after="80"/>
      </w:pPr>
      <w:r>
        <w:rPr>
          <w:b/>
          <w:color w:val="4F46E5"/>
          <w:sz w:val="26"/>
        </w:rPr>
        <w:t>1.2 System Hierarchy &amp; Organizational Roles</w:t>
      </w:r>
    </w:p>
    <w:p>
      <w:pPr>
        <w:spacing w:after="120" w:before="0" w:line="276" w:lineRule="auto"/>
      </w:pPr>
      <w:r>
        <w:rPr>
          <w:color w:val="1E293B"/>
        </w:rPr>
        <w:t>The platform operates on a strict multi-tier hierarchy:</w:t>
      </w:r>
    </w:p>
    <w:p>
      <w:pPr>
        <w:spacing w:after="120" w:before="0" w:line="276" w:lineRule="auto"/>
      </w:pPr>
      <w:r>
        <w:rPr>
          <w:rFonts w:ascii="Consolas" w:hAnsi="Consolas"/>
          <w:color w:val="4F46E5"/>
          <w:sz w:val="19"/>
        </w:rPr>
        <w:t>`</w:t>
      </w:r>
    </w:p>
    <w:p>
      <w:pPr>
        <w:spacing w:after="120" w:before="0" w:line="276" w:lineRule="auto"/>
      </w:pPr>
      <w:r>
        <w:rPr>
          <w:color w:val="1E293B"/>
        </w:rPr>
        <w:t>[ Super Administrator ] (Head Office / Central Board)</w:t>
      </w:r>
    </w:p>
    <w:p>
      <w:pPr>
        <w:spacing w:after="120" w:before="0" w:line="276" w:lineRule="auto"/>
      </w:pPr>
      <w:r>
        <w:rPr>
          <w:color w:val="1E293B"/>
        </w:rPr>
        <w:t>│</w:t>
      </w:r>
    </w:p>
    <w:p>
      <w:pPr>
        <w:spacing w:after="120" w:before="0" w:line="276" w:lineRule="auto"/>
      </w:pPr>
      <w:r>
        <w:rPr>
          <w:color w:val="1E293B"/>
        </w:rPr>
        <w:t>├── [ Super Admin Manager ] (HQ Department Heads with delegated permissions)</w:t>
      </w:r>
    </w:p>
    <w:p>
      <w:pPr>
        <w:spacing w:after="120" w:before="0" w:line="276" w:lineRule="auto"/>
      </w:pPr>
      <w:r>
        <w:rPr>
          <w:color w:val="1E293B"/>
        </w:rPr>
        <w:t>│</w:t>
      </w:r>
    </w:p>
    <w:p>
      <w:pPr>
        <w:spacing w:after="120" w:before="0" w:line="276" w:lineRule="auto"/>
      </w:pPr>
      <w:r>
        <w:rPr>
          <w:color w:val="1E293B"/>
        </w:rPr>
        <w:t>├── [ State Managers ] (Regional Coordinators overseeing specific States)</w:t>
      </w:r>
    </w:p>
    <w:p>
      <w:pPr>
        <w:spacing w:after="120" w:before="0" w:line="276" w:lineRule="auto"/>
      </w:pPr>
      <w:r>
        <w:rPr>
          <w:color w:val="1E293B"/>
        </w:rPr>
        <w:t>│</w:t>
      </w:r>
    </w:p>
    <w:p>
      <w:pPr>
        <w:spacing w:after="120" w:before="0" w:line="276" w:lineRule="auto"/>
      </w:pPr>
      <w:r>
        <w:rPr>
          <w:color w:val="1E293B"/>
        </w:rPr>
        <w:t>└── [ Franchise Administrators ] (Study Center Owners / Directors)</w:t>
      </w:r>
    </w:p>
    <w:p>
      <w:pPr>
        <w:spacing w:after="120" w:before="0" w:line="276" w:lineRule="auto"/>
      </w:pPr>
      <w:r>
        <w:rPr>
          <w:color w:val="1E293B"/>
        </w:rPr>
        <w:t>│</w:t>
      </w:r>
    </w:p>
    <w:p>
      <w:pPr>
        <w:spacing w:after="120" w:before="0" w:line="276" w:lineRule="auto"/>
      </w:pPr>
      <w:r>
        <w:rPr>
          <w:color w:val="1E293B"/>
        </w:rPr>
        <w:t>├── [ Center Managers &amp; Staff ] (Receptionists, Faculty, Instructors)</w:t>
      </w:r>
    </w:p>
    <w:p>
      <w:pPr>
        <w:spacing w:after="120" w:before="0" w:line="276" w:lineRule="auto"/>
      </w:pPr>
      <w:r>
        <w:rPr>
          <w:color w:val="1E293B"/>
        </w:rPr>
        <w:t>│</w:t>
      </w:r>
    </w:p>
    <w:p>
      <w:pPr>
        <w:spacing w:after="120" w:before="0" w:line="276" w:lineRule="auto"/>
      </w:pPr>
      <w:r>
        <w:rPr>
          <w:color w:val="1E293B"/>
        </w:rPr>
        <w:t>└── [ Students ] (Learners enrolled across physical &amp; digital cohorts)</w:t>
      </w:r>
    </w:p>
    <w:p>
      <w:pPr>
        <w:spacing w:after="120" w:before="0" w:line="276" w:lineRule="auto"/>
      </w:pPr>
      <w:r>
        <w:rPr>
          <w:rFonts w:ascii="Consolas" w:hAnsi="Consolas"/>
          <w:color w:val="4F46E5"/>
          <w:sz w:val="19"/>
        </w:rPr>
        <w:t>`</w:t>
      </w:r>
    </w:p>
    <w:p>
      <w:pPr>
        <w:spacing w:after="120"/>
      </w:pPr>
    </w:p>
    <w:p>
      <w:pPr>
        <w:spacing w:before="240" w:after="80"/>
      </w:pPr>
      <w:r>
        <w:rPr>
          <w:b/>
          <w:color w:val="4F46E5"/>
          <w:sz w:val="26"/>
        </w:rPr>
        <w:t>1.3 Navigating the Central Command Center</w:t>
      </w:r>
    </w:p>
    <w:p>
      <w:pPr>
        <w:spacing w:after="120" w:before="0" w:line="276" w:lineRule="auto"/>
      </w:pPr>
      <w:r>
        <w:rPr>
          <w:color w:val="1E293B"/>
        </w:rPr>
        <w:t>The Super Admin dashboard (</w:t>
      </w:r>
      <w:r>
        <w:rPr>
          <w:rFonts w:ascii="Consolas" w:hAnsi="Consolas"/>
          <w:color w:val="4F46E5"/>
          <w:sz w:val="19"/>
        </w:rPr>
        <w:t>/super-admin</w:t>
      </w:r>
      <w:r>
        <w:rPr>
          <w:color w:val="1E293B"/>
        </w:rPr>
        <w:t>) provides instant executive intelligence:</w:t>
      </w:r>
    </w:p>
    <w:p>
      <w:pPr>
        <w:pStyle w:val="ListBullet"/>
        <w:spacing w:after="60" w:before="20" w:line="276" w:lineRule="auto"/>
      </w:pPr>
      <w:r>
        <w:rPr>
          <w:b/>
          <w:color w:val="0F172A"/>
        </w:rPr>
        <w:t>Active Franchises Metric</w:t>
      </w:r>
      <w:r>
        <w:rPr>
          <w:color w:val="1E293B"/>
        </w:rPr>
        <w:t>: Total operational study centers vs pending franchise applications.</w:t>
      </w:r>
    </w:p>
    <w:p>
      <w:pPr>
        <w:pStyle w:val="ListBullet"/>
        <w:spacing w:after="60" w:before="20" w:line="276" w:lineRule="auto"/>
      </w:pPr>
      <w:r>
        <w:rPr>
          <w:b/>
          <w:color w:val="0F172A"/>
        </w:rPr>
        <w:t>Total Student Enrollment</w:t>
      </w:r>
      <w:r>
        <w:rPr>
          <w:color w:val="1E293B"/>
        </w:rPr>
        <w:t>: Aggregate count of verified learners across all franchise branches.</w:t>
      </w:r>
    </w:p>
    <w:p>
      <w:pPr>
        <w:pStyle w:val="ListBullet"/>
        <w:spacing w:after="60" w:before="20" w:line="276" w:lineRule="auto"/>
      </w:pPr>
      <w:r>
        <w:rPr>
          <w:b/>
          <w:color w:val="0F172A"/>
        </w:rPr>
        <w:t>Central Token Circulation</w:t>
      </w:r>
      <w:r>
        <w:rPr>
          <w:color w:val="1E293B"/>
        </w:rPr>
        <w:t>: Total internal tokens minted, circulating in franchise wallets, and consumed for automated tasks.</w:t>
      </w:r>
    </w:p>
    <w:p>
      <w:pPr>
        <w:pStyle w:val="ListBullet"/>
        <w:spacing w:after="60" w:before="20" w:line="276" w:lineRule="auto"/>
      </w:pPr>
      <w:r>
        <w:rPr>
          <w:b/>
          <w:color w:val="0F172A"/>
        </w:rPr>
        <w:t>Central Financial Flow</w:t>
      </w:r>
      <w:r>
        <w:rPr>
          <w:color w:val="1E293B"/>
        </w:rPr>
        <w:t>: Real-time revenue from franchise licensing, product kit orders, and token recharge approvals.</w:t>
      </w:r>
    </w:p>
    <w:p>
      <w:pPr>
        <w:pStyle w:val="ListBullet"/>
        <w:spacing w:after="60" w:before="20" w:line="276" w:lineRule="auto"/>
      </w:pPr>
      <w:r>
        <w:rPr>
          <w:b/>
          <w:color w:val="0F172A"/>
        </w:rPr>
        <w:t>Pending Action Alerts</w:t>
      </w:r>
      <w:r>
        <w:rPr>
          <w:color w:val="1E293B"/>
        </w:rPr>
        <w:t>: Real-time notification counters indicating:</w:t>
      </w:r>
    </w:p>
    <w:p>
      <w:pPr>
        <w:pStyle w:val="ListBullet"/>
        <w:spacing w:after="60" w:before="20" w:line="276" w:lineRule="auto"/>
      </w:pPr>
      <w:r>
        <w:rPr>
          <w:color w:val="1E293B"/>
        </w:rPr>
        <w:t>Pending Franchise Affiliation Applications</w:t>
      </w:r>
    </w:p>
    <w:p>
      <w:pPr>
        <w:pStyle w:val="ListBullet"/>
        <w:spacing w:after="60" w:before="20" w:line="276" w:lineRule="auto"/>
      </w:pPr>
      <w:r>
        <w:rPr>
          <w:color w:val="1E293B"/>
        </w:rPr>
        <w:t>Pending Wallet Recharge Requests (awaiting bank/UPI payment verification)</w:t>
      </w:r>
    </w:p>
    <w:p>
      <w:pPr>
        <w:pStyle w:val="ListBullet"/>
        <w:spacing w:after="60" w:before="20" w:line="276" w:lineRule="auto"/>
      </w:pPr>
      <w:r>
        <w:rPr>
          <w:color w:val="1E293B"/>
        </w:rPr>
        <w:t>Pending Central Document Verification Requests</w:t>
      </w:r>
    </w:p>
    <w:p>
      <w:pPr>
        <w:pStyle w:val="ListBullet"/>
        <w:spacing w:after="60" w:before="20" w:line="276" w:lineRule="auto"/>
      </w:pPr>
      <w:r>
        <w:rPr>
          <w:color w:val="1E293B"/>
        </w:rPr>
        <w:t>Pending Franchise Wholesale Merchandise Orders</w:t>
      </w:r>
    </w:p>
    <w:p>
      <w:pPr>
        <w:spacing w:after="120"/>
      </w:pPr>
    </w:p>
    <w:p>
      <w:pPr>
        <w:spacing w:before="240" w:after="80"/>
      </w:pPr>
      <w:r>
        <w:rPr>
          <w:b/>
          <w:color w:val="4F46E5"/>
          <w:sz w:val="26"/>
        </w:rPr>
        <w:t>1.4 Dual-Routing Mechanics (Subdomain vs Subdirectory)</w:t>
      </w:r>
    </w:p>
    <w:p>
      <w:pPr>
        <w:spacing w:after="120" w:before="0" w:line="276" w:lineRule="auto"/>
      </w:pPr>
      <w:r>
        <w:rPr>
          <w:color w:val="1E293B"/>
        </w:rPr>
        <w:t>As the platform architect, the Super Admin oversees two concurrent routing modes:</w:t>
      </w:r>
    </w:p>
    <w:p>
      <w:pPr>
        <w:pStyle w:val="ListNumber"/>
        <w:spacing w:after="60" w:before="20" w:line="276" w:lineRule="auto"/>
      </w:pPr>
      <w:r>
        <w:rPr>
          <w:b/>
          <w:color w:val="0F172A"/>
        </w:rPr>
        <w:t>Subdomain Mode</w:t>
      </w:r>
      <w:r>
        <w:rPr>
          <w:color w:val="1E293B"/>
        </w:rPr>
        <w:t>:</w:t>
      </w:r>
    </w:p>
    <w:p>
      <w:pPr>
        <w:pStyle w:val="ListBullet"/>
        <w:spacing w:after="60" w:before="20" w:line="276" w:lineRule="auto"/>
      </w:pPr>
      <w:r>
        <w:rPr>
          <w:rFonts w:ascii="Consolas" w:hAnsi="Consolas"/>
          <w:color w:val="4F46E5"/>
          <w:sz w:val="19"/>
        </w:rPr>
        <w:t>https://{center-subdomain}.abcdeduhub.com</w:t>
      </w:r>
    </w:p>
    <w:p>
      <w:pPr>
        <w:pStyle w:val="ListBullet"/>
        <w:spacing w:after="60" w:before="20" w:line="276" w:lineRule="auto"/>
      </w:pPr>
      <w:r>
        <w:rPr>
          <w:color w:val="1E293B"/>
        </w:rPr>
        <w:t>Automatically isolated via Next.js proxy middleware to the franchise workspace.</w:t>
      </w:r>
    </w:p>
    <w:p>
      <w:pPr>
        <w:pStyle w:val="ListNumber"/>
        <w:spacing w:after="60" w:before="20" w:line="276" w:lineRule="auto"/>
      </w:pPr>
      <w:r>
        <w:rPr>
          <w:b/>
          <w:color w:val="0F172A"/>
        </w:rPr>
        <w:t>Subdirectory Mode</w:t>
      </w:r>
      <w:r>
        <w:rPr>
          <w:color w:val="1E293B"/>
        </w:rPr>
        <w:t>:</w:t>
      </w:r>
    </w:p>
    <w:p>
      <w:pPr>
        <w:pStyle w:val="ListBullet"/>
        <w:spacing w:after="60" w:before="20" w:line="276" w:lineRule="auto"/>
      </w:pPr>
      <w:r>
        <w:rPr>
          <w:rFonts w:ascii="Consolas" w:hAnsi="Consolas"/>
          <w:color w:val="4F46E5"/>
          <w:sz w:val="19"/>
        </w:rPr>
        <w:t>https://abcdeduhub.com/app/{center-subdomain}</w:t>
      </w:r>
    </w:p>
    <w:p>
      <w:pPr>
        <w:pStyle w:val="ListBullet"/>
        <w:spacing w:after="60" w:before="20" w:line="276" w:lineRule="auto"/>
      </w:pPr>
      <w:r>
        <w:rPr>
          <w:color w:val="1E293B"/>
        </w:rPr>
        <w:t>Fallback mode ensuring seamless compatibility across enterprise proxies and development environments.</w:t>
      </w:r>
    </w:p>
    <w:p>
      <w:pPr>
        <w:pStyle w:val="ListNumber"/>
        <w:spacing w:after="60" w:before="20" w:line="276" w:lineRule="auto"/>
      </w:pPr>
      <w:r>
        <w:rPr>
          <w:b/>
          <w:color w:val="0F172A"/>
        </w:rPr>
        <w:t>Global Super Admin Portal</w:t>
      </w:r>
      <w:r>
        <w:rPr>
          <w:color w:val="1E293B"/>
        </w:rPr>
        <w:t>:</w:t>
      </w:r>
    </w:p>
    <w:p>
      <w:pPr>
        <w:pStyle w:val="ListBullet"/>
        <w:spacing w:after="60" w:before="20" w:line="276" w:lineRule="auto"/>
      </w:pPr>
      <w:r>
        <w:rPr>
          <w:color w:val="1E293B"/>
        </w:rPr>
        <w:t xml:space="preserve">Always accessible at </w:t>
      </w:r>
      <w:r>
        <w:rPr>
          <w:rFonts w:ascii="Consolas" w:hAnsi="Consolas"/>
          <w:color w:val="4F46E5"/>
          <w:sz w:val="19"/>
        </w:rPr>
        <w:t>https://abcdeduhub.com/super-admin</w:t>
      </w:r>
      <w:r>
        <w:rPr>
          <w:color w:val="1E293B"/>
        </w:rPr>
        <w:t>.</w:t>
      </w:r>
    </w:p>
    <w:p>
      <w:r>
        <w:br w:type="page"/>
      </w:r>
    </w:p>
    <w:p>
      <w:pPr>
        <w:spacing w:before="320" w:after="120"/>
      </w:pPr>
      <w:r>
        <w:rPr>
          <w:b/>
          <w:color w:val="0F172A"/>
          <w:sz w:val="32"/>
        </w:rPr>
        <w:t>Chapter 2: Franchise Management &amp; Center Setup</w:t>
      </w:r>
    </w:p>
    <w:p>
      <w:pPr>
        <w:spacing w:before="240" w:after="80"/>
      </w:pPr>
      <w:r>
        <w:rPr>
          <w:b/>
          <w:color w:val="4F46E5"/>
          <w:sz w:val="26"/>
        </w:rPr>
        <w:t>2.1 The Franchise Center Registry</w:t>
      </w:r>
    </w:p>
    <w:p>
      <w:pPr>
        <w:spacing w:after="120" w:before="0" w:line="276" w:lineRule="auto"/>
      </w:pPr>
      <w:r>
        <w:rPr>
          <w:color w:val="1E293B"/>
        </w:rPr>
        <w:t xml:space="preserve">The </w:t>
      </w:r>
      <w:r>
        <w:rPr>
          <w:b/>
          <w:color w:val="0F172A"/>
        </w:rPr>
        <w:t>Franchise Management Module</w:t>
      </w:r>
      <w:r>
        <w:rPr>
          <w:color w:val="1E293B"/>
        </w:rPr>
        <w:t xml:space="preserve"> (</w:t>
      </w:r>
      <w:r>
        <w:rPr>
          <w:rFonts w:ascii="Consolas" w:hAnsi="Consolas"/>
          <w:color w:val="4F46E5"/>
          <w:sz w:val="19"/>
        </w:rPr>
        <w:t>/super-admin/franchises</w:t>
      </w:r>
      <w:r>
        <w:rPr>
          <w:color w:val="1E293B"/>
        </w:rPr>
        <w:t>) allows the Super Admin to license, configure, supervise, and audit every affiliated institute on the network.</w:t>
      </w:r>
    </w:p>
    <w:p>
      <w:pPr>
        <w:spacing w:after="120"/>
      </w:pPr>
    </w:p>
    <w:p>
      <w:pPr>
        <w:spacing w:before="240" w:after="80"/>
      </w:pPr>
      <w:r>
        <w:rPr>
          <w:b/>
          <w:color w:val="4F46E5"/>
          <w:sz w:val="26"/>
        </w:rPr>
        <w:t>2.2 Reviewing Incoming Franchise Applications</w:t>
      </w:r>
    </w:p>
    <w:p>
      <w:pPr>
        <w:spacing w:after="120" w:before="0" w:line="276" w:lineRule="auto"/>
      </w:pPr>
      <w:r>
        <w:rPr>
          <w:color w:val="1E293B"/>
        </w:rPr>
        <w:t>Prospective institute owners can submit affiliation requests via the public landing page (</w:t>
      </w:r>
      <w:r>
        <w:rPr>
          <w:rFonts w:ascii="Consolas" w:hAnsi="Consolas"/>
          <w:color w:val="4F46E5"/>
          <w:sz w:val="19"/>
        </w:rPr>
        <w:t>/franchise</w:t>
      </w:r>
      <w:r>
        <w:rPr>
          <w:color w:val="1E293B"/>
        </w:rPr>
        <w:t>):</w:t>
      </w:r>
    </w:p>
    <w:p>
      <w:pPr>
        <w:pStyle w:val="ListNumber"/>
        <w:spacing w:after="60" w:before="20" w:line="276" w:lineRule="auto"/>
      </w:pPr>
      <w:r>
        <w:rPr>
          <w:color w:val="1E293B"/>
        </w:rPr>
        <w:t xml:space="preserve">In the sidebar, click </w:t>
      </w:r>
      <w:r>
        <w:rPr>
          <w:b/>
          <w:color w:val="0F172A"/>
        </w:rPr>
        <w:t>Franchises</w:t>
      </w:r>
      <w:r>
        <w:rPr>
          <w:color w:val="1E293B"/>
        </w:rPr>
        <w:t xml:space="preserve"> (</w:t>
      </w:r>
      <w:r>
        <w:rPr>
          <w:rFonts w:ascii="Consolas" w:hAnsi="Consolas"/>
          <w:color w:val="4F46E5"/>
          <w:sz w:val="19"/>
        </w:rPr>
        <w:t>/super-admin/franchises</w:t>
      </w:r>
      <w:r>
        <w:rPr>
          <w:color w:val="1E293B"/>
        </w:rPr>
        <w:t>).</w:t>
      </w:r>
    </w:p>
    <w:p>
      <w:pPr>
        <w:pStyle w:val="ListNumber"/>
        <w:spacing w:after="60" w:before="20" w:line="276" w:lineRule="auto"/>
      </w:pPr>
      <w:r>
        <w:rPr>
          <w:color w:val="1E293B"/>
        </w:rPr>
        <w:t xml:space="preserve">The </w:t>
      </w:r>
      <w:r>
        <w:rPr>
          <w:b/>
          <w:color w:val="0F172A"/>
        </w:rPr>
        <w:t>"Pending Applications"</w:t>
      </w:r>
      <w:r>
        <w:rPr>
          <w:color w:val="1E293B"/>
        </w:rPr>
        <w:t xml:space="preserve"> tab highlights new applicants waiting for approval.</w:t>
      </w:r>
    </w:p>
    <w:p>
      <w:pPr>
        <w:pStyle w:val="ListNumber"/>
        <w:spacing w:after="60" w:before="20" w:line="276" w:lineRule="auto"/>
      </w:pPr>
      <w:r>
        <w:rPr>
          <w:color w:val="1E293B"/>
        </w:rPr>
        <w:t xml:space="preserve">Click </w:t>
      </w:r>
      <w:r>
        <w:rPr>
          <w:b/>
          <w:color w:val="0F172A"/>
        </w:rPr>
        <w:t>"View Application Details"</w:t>
      </w:r>
      <w:r>
        <w:rPr>
          <w:color w:val="1E293B"/>
        </w:rPr>
        <w:t xml:space="preserve"> to inspect:</w:t>
      </w:r>
    </w:p>
    <w:p>
      <w:pPr>
        <w:pStyle w:val="ListBullet"/>
        <w:spacing w:after="60" w:before="20" w:line="276" w:lineRule="auto"/>
      </w:pPr>
      <w:r>
        <w:rPr>
          <w:color w:val="1E293B"/>
        </w:rPr>
        <w:t>Applicant Name, Mobile, Email, and Proposed Center Address.</w:t>
      </w:r>
    </w:p>
    <w:p>
      <w:pPr>
        <w:pStyle w:val="ListBullet"/>
        <w:spacing w:after="60" w:before="20" w:line="276" w:lineRule="auto"/>
      </w:pPr>
      <w:r>
        <w:rPr>
          <w:color w:val="1E293B"/>
        </w:rPr>
        <w:t>Existing Infrastructure (Number of Computers, Lab Area, Classroom Capacity, Internet Bandwidth).</w:t>
      </w:r>
    </w:p>
    <w:p>
      <w:pPr>
        <w:pStyle w:val="ListBullet"/>
        <w:spacing w:after="60" w:before="20" w:line="276" w:lineRule="auto"/>
      </w:pPr>
      <w:r>
        <w:rPr>
          <w:color w:val="1E293B"/>
        </w:rPr>
        <w:t>Uploaded Center Photos, Owner ID Proof, and Trade License.</w:t>
      </w:r>
    </w:p>
    <w:p>
      <w:pPr>
        <w:pStyle w:val="ListNumber"/>
        <w:spacing w:after="60" w:before="20" w:line="276" w:lineRule="auto"/>
      </w:pPr>
      <w:r>
        <w:rPr>
          <w:b/>
          <w:color w:val="0F172A"/>
        </w:rPr>
        <w:t>Take Action</w:t>
      </w:r>
      <w:r>
        <w:rPr>
          <w:color w:val="1E293B"/>
        </w:rPr>
        <w:t>:</w:t>
      </w:r>
    </w:p>
    <w:p>
      <w:pPr>
        <w:pStyle w:val="ListBullet"/>
        <w:spacing w:after="60" w:before="20" w:line="276" w:lineRule="auto"/>
      </w:pPr>
      <w:r>
        <w:rPr>
          <w:b/>
          <w:color w:val="0F172A"/>
        </w:rPr>
        <w:t>Approve</w:t>
      </w:r>
      <w:r>
        <w:rPr>
          <w:color w:val="1E293B"/>
        </w:rPr>
        <w:t xml:space="preserve">: Clicking </w:t>
      </w:r>
      <w:r>
        <w:rPr>
          <w:i/>
        </w:rPr>
        <w:t>Approve</w:t>
      </w:r>
      <w:r>
        <w:rPr>
          <w:color w:val="1E293B"/>
        </w:rPr>
        <w:t xml:space="preserve"> promotes the application into an active franchise provisioning dialog.</w:t>
      </w:r>
    </w:p>
    <w:p>
      <w:pPr>
        <w:pStyle w:val="ListBullet"/>
        <w:spacing w:after="60" w:before="20" w:line="276" w:lineRule="auto"/>
      </w:pPr>
      <w:r>
        <w:rPr>
          <w:b/>
          <w:color w:val="0F172A"/>
        </w:rPr>
        <w:t>Reject</w:t>
      </w:r>
      <w:r>
        <w:rPr>
          <w:color w:val="1E293B"/>
        </w:rPr>
        <w:t xml:space="preserve">: Enter an explanatory reason (e.g., </w:t>
      </w:r>
      <w:r>
        <w:rPr>
          <w:i/>
        </w:rPr>
        <w:t>Insufficient computer infrastructure for accredited courses</w:t>
      </w:r>
      <w:r>
        <w:rPr>
          <w:color w:val="1E293B"/>
        </w:rPr>
        <w:t>).</w:t>
      </w:r>
    </w:p>
    <w:p>
      <w:pPr>
        <w:spacing w:after="120"/>
      </w:pPr>
    </w:p>
    <w:p>
      <w:pPr>
        <w:spacing w:before="240" w:after="80"/>
      </w:pPr>
      <w:r>
        <w:rPr>
          <w:b/>
          <w:color w:val="4F46E5"/>
          <w:sz w:val="26"/>
        </w:rPr>
        <w:t>2.3 How to Manually Add a New Franchise Center (Step-by-Step)</w:t>
      </w:r>
    </w:p>
    <w:p>
      <w:pPr>
        <w:spacing w:after="120" w:before="0" w:line="276" w:lineRule="auto"/>
      </w:pPr>
      <w:r>
        <w:rPr>
          <w:color w:val="1E293B"/>
        </w:rPr>
        <w:t>If an institution signs an agreement offline or at Head Office:</w:t>
      </w:r>
    </w:p>
    <w:p>
      <w:pPr>
        <w:spacing w:before="200" w:after="60"/>
      </w:pPr>
      <w:r>
        <w:rPr>
          <w:b/>
          <w:color w:val="1E3A8A"/>
          <w:sz w:val="22"/>
        </w:rPr>
        <w:t>Step 1: Open the Creation Dialog</w:t>
      </w:r>
    </w:p>
    <w:p>
      <w:pPr>
        <w:pStyle w:val="ListNumber"/>
        <w:spacing w:after="60" w:before="20" w:line="276" w:lineRule="auto"/>
      </w:pPr>
      <w:r>
        <w:rPr>
          <w:color w:val="1E293B"/>
        </w:rPr>
        <w:t xml:space="preserve">Go to </w:t>
      </w:r>
      <w:r>
        <w:rPr>
          <w:b/>
          <w:color w:val="0F172A"/>
        </w:rPr>
        <w:t>Franchises</w:t>
      </w:r>
      <w:r>
        <w:rPr>
          <w:color w:val="1E293B"/>
        </w:rPr>
        <w:t xml:space="preserve"> (</w:t>
      </w:r>
      <w:r>
        <w:rPr>
          <w:rFonts w:ascii="Consolas" w:hAnsi="Consolas"/>
          <w:color w:val="4F46E5"/>
          <w:sz w:val="19"/>
        </w:rPr>
        <w:t>/super-admin/franchises</w:t>
      </w:r>
      <w:r>
        <w:rPr>
          <w:color w:val="1E293B"/>
        </w:rPr>
        <w:t>).</w:t>
      </w:r>
    </w:p>
    <w:p>
      <w:pPr>
        <w:pStyle w:val="ListNumber"/>
        <w:spacing w:after="60" w:before="20" w:line="276" w:lineRule="auto"/>
      </w:pPr>
      <w:r>
        <w:rPr>
          <w:color w:val="1E293B"/>
        </w:rPr>
        <w:t xml:space="preserve">Click the green </w:t>
      </w:r>
      <w:r>
        <w:rPr>
          <w:b/>
          <w:color w:val="0F172A"/>
        </w:rPr>
        <w:t>"+ Add Franchise Center"</w:t>
      </w:r>
      <w:r>
        <w:rPr>
          <w:color w:val="1E293B"/>
        </w:rPr>
        <w:t xml:space="preserve"> button at the top right.</w:t>
      </w:r>
    </w:p>
    <w:p>
      <w:pPr>
        <w:spacing w:before="200" w:after="60"/>
      </w:pPr>
      <w:r>
        <w:rPr>
          <w:b/>
          <w:color w:val="1E3A8A"/>
          <w:sz w:val="22"/>
        </w:rPr>
        <w:t>Step 2: Configure Center Identity &amp; Routing</w:t>
      </w:r>
    </w:p>
    <w:p>
      <w:pPr>
        <w:pStyle w:val="ListBullet"/>
        <w:spacing w:after="60" w:before="20" w:line="276" w:lineRule="auto"/>
      </w:pPr>
      <w:r>
        <w:rPr>
          <w:b/>
          <w:color w:val="0F172A"/>
        </w:rPr>
        <w:t>Franchise / Center Name</w:t>
      </w:r>
      <w:r>
        <w:rPr>
          <w:color w:val="1E293B"/>
        </w:rPr>
        <w:t xml:space="preserve">: Enter the full official title (e.g., </w:t>
      </w:r>
      <w:r>
        <w:rPr>
          <w:i/>
        </w:rPr>
        <w:t>ABCD Computer Institute - Kolkata Central</w:t>
      </w:r>
      <w:r>
        <w:rPr>
          <w:color w:val="1E293B"/>
        </w:rPr>
        <w:t>).</w:t>
      </w:r>
    </w:p>
    <w:p>
      <w:pPr>
        <w:pStyle w:val="ListBullet"/>
        <w:spacing w:after="60" w:before="20" w:line="276" w:lineRule="auto"/>
      </w:pPr>
      <w:r>
        <w:rPr>
          <w:b/>
          <w:color w:val="0F172A"/>
        </w:rPr>
        <w:t>Center Code</w:t>
      </w:r>
      <w:r>
        <w:rPr>
          <w:color w:val="1E293B"/>
        </w:rPr>
        <w:t xml:space="preserve">: Enter a unique accredited alphanumeric code (e.g., </w:t>
      </w:r>
      <w:r>
        <w:rPr>
          <w:rFonts w:ascii="Consolas" w:hAnsi="Consolas"/>
          <w:color w:val="4F46E5"/>
          <w:sz w:val="19"/>
        </w:rPr>
        <w:t>WB-002</w:t>
      </w:r>
      <w:r>
        <w:rPr>
          <w:color w:val="1E293B"/>
        </w:rPr>
        <w:t>).</w:t>
      </w:r>
    </w:p>
    <w:p>
      <w:pPr>
        <w:pStyle w:val="ListBullet"/>
        <w:spacing w:after="60" w:before="20" w:line="276" w:lineRule="auto"/>
      </w:pPr>
      <w:r>
        <w:rPr>
          <w:i/>
        </w:rPr>
        <w:t>Why this matters</w:t>
      </w:r>
      <w:r>
        <w:rPr>
          <w:color w:val="1E293B"/>
        </w:rPr>
        <w:t xml:space="preserve">: The Center Code is embedded directly into student enrollment numbers (e.g., </w:t>
      </w:r>
      <w:r>
        <w:rPr>
          <w:rFonts w:ascii="Consolas" w:hAnsi="Consolas"/>
          <w:color w:val="4F46E5"/>
          <w:sz w:val="19"/>
        </w:rPr>
        <w:t>WB002-2026-0001</w:t>
      </w:r>
      <w:r>
        <w:rPr>
          <w:color w:val="1E293B"/>
        </w:rPr>
        <w:t>) and printed on official certificates.</w:t>
      </w:r>
    </w:p>
    <w:p>
      <w:pPr>
        <w:pStyle w:val="ListBullet"/>
        <w:spacing w:after="60" w:before="20" w:line="276" w:lineRule="auto"/>
      </w:pPr>
      <w:r>
        <w:rPr>
          <w:b/>
          <w:color w:val="0F172A"/>
        </w:rPr>
        <w:t>Subdomain Slug</w:t>
      </w:r>
      <w:r>
        <w:rPr>
          <w:color w:val="1E293B"/>
        </w:rPr>
        <w:t xml:space="preserve">: Enter the unique URL identifier (e.g., </w:t>
      </w:r>
      <w:r>
        <w:rPr>
          <w:rFonts w:ascii="Consolas" w:hAnsi="Consolas"/>
          <w:color w:val="4F46E5"/>
          <w:sz w:val="19"/>
        </w:rPr>
        <w:t>wb-002</w:t>
      </w:r>
      <w:r>
        <w:rPr>
          <w:color w:val="1E293B"/>
        </w:rPr>
        <w:t xml:space="preserve"> or </w:t>
      </w:r>
      <w:r>
        <w:rPr>
          <w:rFonts w:ascii="Consolas" w:hAnsi="Consolas"/>
          <w:color w:val="4F46E5"/>
          <w:sz w:val="19"/>
        </w:rPr>
        <w:t>kolkata-central</w:t>
      </w:r>
      <w:r>
        <w:rPr>
          <w:color w:val="1E293B"/>
        </w:rPr>
        <w:t>).</w:t>
      </w:r>
    </w:p>
    <w:p>
      <w:pPr>
        <w:pStyle w:val="ListBullet"/>
        <w:spacing w:after="60" w:before="20" w:line="276" w:lineRule="auto"/>
      </w:pPr>
      <w:r>
        <w:rPr>
          <w:color w:val="1E293B"/>
        </w:rPr>
        <w:t xml:space="preserve">The center's public website immediately becomes accessible at </w:t>
      </w:r>
      <w:r>
        <w:rPr>
          <w:rFonts w:ascii="Consolas" w:hAnsi="Consolas"/>
          <w:color w:val="4F46E5"/>
          <w:sz w:val="19"/>
        </w:rPr>
        <w:t>https://wb-002.abcdeduhub.com</w:t>
      </w:r>
      <w:r>
        <w:rPr>
          <w:color w:val="1E293B"/>
        </w:rPr>
        <w:t xml:space="preserve"> or </w:t>
      </w:r>
      <w:r>
        <w:rPr>
          <w:rFonts w:ascii="Consolas" w:hAnsi="Consolas"/>
          <w:color w:val="4F46E5"/>
          <w:sz w:val="19"/>
        </w:rPr>
        <w:t>https://abcdeduhub.com/app/wb-002</w:t>
      </w:r>
      <w:r>
        <w:rPr>
          <w:color w:val="1E293B"/>
        </w:rPr>
        <w:t>.</w:t>
      </w:r>
    </w:p>
    <w:p>
      <w:pPr>
        <w:spacing w:before="200" w:after="60"/>
      </w:pPr>
      <w:r>
        <w:rPr>
          <w:b/>
          <w:color w:val="1E3A8A"/>
          <w:sz w:val="22"/>
        </w:rPr>
        <w:t>Step 3: Configure Franchise Owner / Director Account</w:t>
      </w:r>
    </w:p>
    <w:p>
      <w:pPr>
        <w:pStyle w:val="ListBullet"/>
        <w:spacing w:after="60" w:before="20" w:line="276" w:lineRule="auto"/>
      </w:pPr>
      <w:r>
        <w:rPr>
          <w:b/>
          <w:color w:val="0F172A"/>
        </w:rPr>
        <w:t>Director / Owner Full Name</w:t>
      </w:r>
      <w:r>
        <w:rPr>
          <w:color w:val="1E293B"/>
        </w:rPr>
        <w:t xml:space="preserve">: (e.g., </w:t>
      </w:r>
      <w:r>
        <w:rPr>
          <w:i/>
        </w:rPr>
        <w:t>Suman Baidya</w:t>
      </w:r>
      <w:r>
        <w:rPr>
          <w:color w:val="1E293B"/>
        </w:rPr>
        <w:t>).</w:t>
      </w:r>
    </w:p>
    <w:p>
      <w:pPr>
        <w:pStyle w:val="ListBullet"/>
        <w:spacing w:after="60" w:before="20" w:line="276" w:lineRule="auto"/>
      </w:pPr>
      <w:r>
        <w:rPr>
          <w:b/>
          <w:color w:val="0F172A"/>
        </w:rPr>
        <w:t>Owner Email Address</w:t>
      </w:r>
      <w:r>
        <w:rPr>
          <w:color w:val="1E293B"/>
        </w:rPr>
        <w:t>: Used as the master login username for the center.</w:t>
      </w:r>
    </w:p>
    <w:p>
      <w:pPr>
        <w:pStyle w:val="ListBullet"/>
        <w:spacing w:after="60" w:before="20" w:line="276" w:lineRule="auto"/>
      </w:pPr>
      <w:r>
        <w:rPr>
          <w:b/>
          <w:color w:val="0F172A"/>
        </w:rPr>
        <w:t>Initial Password</w:t>
      </w:r>
      <w:r>
        <w:rPr>
          <w:color w:val="1E293B"/>
        </w:rPr>
        <w:t>: Set a temporary secure password (the owner will be prompted to change it upon first login).</w:t>
      </w:r>
    </w:p>
    <w:p>
      <w:pPr>
        <w:pStyle w:val="ListBullet"/>
        <w:spacing w:after="60" w:before="20" w:line="276" w:lineRule="auto"/>
      </w:pPr>
      <w:r>
        <w:rPr>
          <w:b/>
          <w:color w:val="0F172A"/>
        </w:rPr>
        <w:t>Owner Phone Number</w:t>
      </w:r>
      <w:r>
        <w:rPr>
          <w:color w:val="1E293B"/>
        </w:rPr>
        <w:t>: Primary WhatsApp / emergency contact.</w:t>
      </w:r>
    </w:p>
    <w:p>
      <w:pPr>
        <w:spacing w:before="200" w:after="60"/>
      </w:pPr>
      <w:r>
        <w:rPr>
          <w:b/>
          <w:color w:val="1E3A8A"/>
          <w:sz w:val="22"/>
        </w:rPr>
        <w:t>Step 4: Governance, Wallet &amp; Regional Oversight</w:t>
      </w:r>
    </w:p>
    <w:p>
      <w:pPr>
        <w:pStyle w:val="ListBullet"/>
        <w:spacing w:after="60" w:before="20" w:line="276" w:lineRule="auto"/>
      </w:pPr>
      <w:r>
        <w:rPr>
          <w:b/>
          <w:color w:val="0F172A"/>
        </w:rPr>
        <w:t>Initial Wallet Token Balance</w:t>
      </w:r>
      <w:r>
        <w:rPr>
          <w:color w:val="1E293B"/>
        </w:rPr>
        <w:t xml:space="preserve">: Grant welcome token credits (e.g., </w:t>
      </w:r>
      <w:r>
        <w:rPr>
          <w:rFonts w:ascii="Consolas" w:hAnsi="Consolas"/>
          <w:color w:val="4F46E5"/>
          <w:sz w:val="19"/>
        </w:rPr>
        <w:t>500 Tokens</w:t>
      </w:r>
      <w:r>
        <w:rPr>
          <w:color w:val="1E293B"/>
        </w:rPr>
        <w:t>) so the center can immediately begin enrolling students and issuing PVC ID cards.</w:t>
      </w:r>
    </w:p>
    <w:p>
      <w:pPr>
        <w:pStyle w:val="ListBullet"/>
        <w:spacing w:after="60" w:before="20" w:line="276" w:lineRule="auto"/>
      </w:pPr>
      <w:r>
        <w:rPr>
          <w:b/>
          <w:color w:val="0F172A"/>
        </w:rPr>
        <w:t>Assigned State Manager</w:t>
      </w:r>
      <w:r>
        <w:rPr>
          <w:color w:val="1E293B"/>
        </w:rPr>
        <w:t xml:space="preserve">: Select the regional coordinator overseeing this state/district (e.g., </w:t>
      </w:r>
      <w:r>
        <w:rPr>
          <w:i/>
        </w:rPr>
        <w:t>West Bengal State Coordinator</w:t>
      </w:r>
      <w:r>
        <w:rPr>
          <w:color w:val="1E293B"/>
        </w:rPr>
        <w:t>).</w:t>
      </w:r>
    </w:p>
    <w:p>
      <w:pPr>
        <w:pStyle w:val="ListBullet"/>
        <w:spacing w:after="60" w:before="20" w:line="276" w:lineRule="auto"/>
      </w:pPr>
      <w:r>
        <w:rPr>
          <w:b/>
          <w:color w:val="0F172A"/>
        </w:rPr>
        <w:t>Document Authority Toggle</w:t>
      </w:r>
      <w:r>
        <w:rPr>
          <w:color w:val="1E293B"/>
        </w:rPr>
        <w:t>:</w:t>
      </w:r>
    </w:p>
    <w:p>
      <w:pPr>
        <w:pStyle w:val="ListBullet"/>
        <w:spacing w:after="60" w:before="20" w:line="276" w:lineRule="auto"/>
      </w:pPr>
      <w:r>
        <w:rPr>
          <w:b/>
          <w:color w:val="0F172A"/>
        </w:rPr>
        <w:t>Enabled (Autonomous)</w:t>
      </w:r>
      <w:r>
        <w:rPr>
          <w:color w:val="1E293B"/>
        </w:rPr>
        <w:t>: The franchise can directly approve and print official certificates and marksheets once students pass exams.</w:t>
      </w:r>
    </w:p>
    <w:p>
      <w:pPr>
        <w:pStyle w:val="ListBullet"/>
        <w:spacing w:after="60" w:before="20" w:line="276" w:lineRule="auto"/>
      </w:pPr>
      <w:r>
        <w:rPr>
          <w:b/>
          <w:color w:val="0F172A"/>
        </w:rPr>
        <w:t>Disabled (Central Approval Required)</w:t>
      </w:r>
      <w:r>
        <w:rPr>
          <w:color w:val="1E293B"/>
        </w:rPr>
        <w:t>: The franchise can train students, but every certificate request must be reviewed and approved by the Super Admin Head Office before printing.</w:t>
      </w:r>
    </w:p>
    <w:p>
      <w:pPr>
        <w:pStyle w:val="ListBullet"/>
        <w:spacing w:after="60" w:before="20" w:line="276" w:lineRule="auto"/>
      </w:pPr>
      <w:r>
        <w:rPr>
          <w:color w:val="1E293B"/>
        </w:rPr>
        <w:t xml:space="preserve">Click </w:t>
      </w:r>
      <w:r>
        <w:rPr>
          <w:b/>
          <w:color w:val="0F172A"/>
        </w:rPr>
        <w:t>"Create &amp; Provision Franchise"</w:t>
      </w:r>
      <w:r>
        <w:rPr>
          <w:color w:val="1E293B"/>
        </w:rPr>
        <w:t>.</w:t>
      </w:r>
    </w:p>
    <w:p>
      <w:pPr>
        <w:spacing w:after="120"/>
      </w:pPr>
    </w:p>
    <w:p>
      <w:pPr>
        <w:spacing w:before="240" w:after="80"/>
      </w:pPr>
      <w:r>
        <w:rPr>
          <w:b/>
          <w:color w:val="4F46E5"/>
          <w:sz w:val="26"/>
        </w:rPr>
        <w:t>2.4 One-Click Direct Portal Access ("Jump to Franchise")</w:t>
      </w:r>
    </w:p>
    <w:p>
      <w:pPr>
        <w:spacing w:after="120" w:before="0" w:line="276" w:lineRule="auto"/>
      </w:pPr>
      <w:r>
        <w:rPr>
          <w:color w:val="1E293B"/>
        </w:rPr>
        <w:t>As Super Admin, you never need to ask franchise owners for their passwords to troubleshoot issues:</w:t>
      </w:r>
    </w:p>
    <w:p>
      <w:pPr>
        <w:pStyle w:val="ListNumber"/>
        <w:spacing w:after="60" w:before="20" w:line="276" w:lineRule="auto"/>
      </w:pPr>
      <w:r>
        <w:rPr>
          <w:color w:val="1E293B"/>
        </w:rPr>
        <w:t>In the Franchise list, locate any center.</w:t>
      </w:r>
    </w:p>
    <w:p>
      <w:pPr>
        <w:pStyle w:val="ListNumber"/>
        <w:spacing w:after="60" w:before="20" w:line="276" w:lineRule="auto"/>
      </w:pPr>
      <w:r>
        <w:rPr>
          <w:color w:val="1E293B"/>
        </w:rPr>
        <w:t xml:space="preserve">Click the </w:t>
      </w:r>
      <w:r>
        <w:rPr>
          <w:b/>
          <w:color w:val="0F172A"/>
        </w:rPr>
        <w:t>"Action Menu"</w:t>
      </w:r>
      <w:r>
        <w:rPr>
          <w:color w:val="1E293B"/>
        </w:rPr>
        <w:t xml:space="preserve"> (three dots) and select </w:t>
      </w:r>
      <w:r>
        <w:rPr>
          <w:b/>
          <w:color w:val="0F172A"/>
        </w:rPr>
        <w:t>"Open Center Portal"</w:t>
      </w:r>
      <w:r>
        <w:rPr>
          <w:color w:val="1E293B"/>
        </w:rPr>
        <w:t xml:space="preserve"> (or click the external link icon).</w:t>
      </w:r>
    </w:p>
    <w:p>
      <w:pPr>
        <w:pStyle w:val="ListNumber"/>
        <w:spacing w:after="60" w:before="20" w:line="276" w:lineRule="auto"/>
      </w:pPr>
      <w:r>
        <w:rPr>
          <w:color w:val="1E293B"/>
        </w:rPr>
        <w:t>The system instantly logs you into that center's administrative environment with master privileges, allowing you to review their course pricing, inspect student ledgers, or adjust landing page settings on their behalf.</w:t>
      </w:r>
    </w:p>
    <w:p>
      <w:pPr>
        <w:pStyle w:val="ListNumber"/>
        <w:spacing w:after="60" w:before="20" w:line="276" w:lineRule="auto"/>
      </w:pPr>
      <w:r>
        <w:rPr>
          <w:color w:val="1E293B"/>
        </w:rPr>
        <w:t>An administrative banner at the top allows you to return to the Super Admin console with a single click.</w:t>
      </w:r>
    </w:p>
    <w:p>
      <w:pPr>
        <w:spacing w:after="120"/>
      </w:pPr>
    </w:p>
    <w:p>
      <w:pPr>
        <w:spacing w:before="240" w:after="80"/>
      </w:pPr>
      <w:r>
        <w:rPr>
          <w:b/>
          <w:color w:val="4F46E5"/>
          <w:sz w:val="26"/>
        </w:rPr>
        <w:t>2.5 Suspending or Modifying Franchise Centers</w:t>
      </w:r>
    </w:p>
    <w:p>
      <w:pPr>
        <w:pStyle w:val="ListBullet"/>
        <w:spacing w:after="60" w:before="20" w:line="276" w:lineRule="auto"/>
      </w:pPr>
      <w:r>
        <w:rPr>
          <w:b/>
          <w:color w:val="0F172A"/>
        </w:rPr>
        <w:t>Status Toggle (Active / Suspended)</w:t>
      </w:r>
      <w:r>
        <w:rPr>
          <w:color w:val="1E293B"/>
        </w:rPr>
        <w:t>:</w:t>
      </w:r>
    </w:p>
    <w:p>
      <w:pPr>
        <w:pStyle w:val="ListBullet"/>
        <w:spacing w:after="60" w:before="20" w:line="276" w:lineRule="auto"/>
      </w:pPr>
      <w:r>
        <w:rPr>
          <w:color w:val="1E293B"/>
        </w:rPr>
        <w:t xml:space="preserve">If a franchise violates accreditation standards or fails annual affiliation renewal, switch their status to </w:t>
      </w:r>
      <w:r>
        <w:rPr>
          <w:b/>
          <w:color w:val="0F172A"/>
        </w:rPr>
        <w:t>Suspended</w:t>
      </w:r>
      <w:r>
        <w:rPr>
          <w:color w:val="1E293B"/>
        </w:rPr>
        <w:t>.</w:t>
      </w:r>
    </w:p>
    <w:p>
      <w:pPr>
        <w:pStyle w:val="ListBullet"/>
        <w:spacing w:after="60" w:before="20" w:line="276" w:lineRule="auto"/>
      </w:pPr>
      <w:r>
        <w:rPr>
          <w:i/>
        </w:rPr>
        <w:t>Effect</w:t>
      </w:r>
      <w:r>
        <w:rPr>
          <w:color w:val="1E293B"/>
        </w:rPr>
        <w:t>: Staff and students are immediately blocked from logging in, and their public website displays a central notice. Data remains preserved.</w:t>
      </w:r>
    </w:p>
    <w:p>
      <w:pPr>
        <w:pStyle w:val="ListBullet"/>
        <w:spacing w:after="60" w:before="20" w:line="276" w:lineRule="auto"/>
      </w:pPr>
      <w:r>
        <w:rPr>
          <w:b/>
          <w:color w:val="0F172A"/>
        </w:rPr>
        <w:t>Bulk Import via CSV</w:t>
      </w:r>
      <w:r>
        <w:rPr>
          <w:color w:val="1E293B"/>
        </w:rPr>
        <w:t>:</w:t>
      </w:r>
    </w:p>
    <w:p>
      <w:pPr>
        <w:pStyle w:val="ListBullet"/>
        <w:spacing w:after="60" w:before="20" w:line="276" w:lineRule="auto"/>
      </w:pPr>
      <w:r>
        <w:rPr>
          <w:color w:val="1E293B"/>
        </w:rPr>
        <w:t xml:space="preserve">For rapid onboarding of 50+ centers, click </w:t>
      </w:r>
      <w:r>
        <w:rPr>
          <w:b/>
          <w:color w:val="0F172A"/>
        </w:rPr>
        <w:t>"Import Franchises CSV"</w:t>
      </w:r>
      <w:r>
        <w:rPr>
          <w:color w:val="1E293B"/>
        </w:rPr>
        <w:t>, download the standardized template, populate the center codes, names, and owner emails, and upload the file.</w:t>
      </w:r>
    </w:p>
    <w:p>
      <w:r>
        <w:br w:type="page"/>
      </w:r>
    </w:p>
    <w:p>
      <w:pPr>
        <w:spacing w:before="320" w:after="120"/>
      </w:pPr>
      <w:r>
        <w:rPr>
          <w:b/>
          <w:color w:val="0F172A"/>
          <w:sz w:val="32"/>
        </w:rPr>
        <w:t>Chapter 3: How Franchises Add Students &amp; Central Student Oversight</w:t>
      </w:r>
    </w:p>
    <w:p>
      <w:pPr>
        <w:spacing w:before="240" w:after="80"/>
      </w:pPr>
      <w:r>
        <w:rPr>
          <w:b/>
          <w:color w:val="4F46E5"/>
          <w:sz w:val="26"/>
        </w:rPr>
        <w:t>3.1 Understanding the Student Enrollment Pipeline</w:t>
      </w:r>
    </w:p>
    <w:p>
      <w:pPr>
        <w:spacing w:after="120" w:before="0" w:line="276" w:lineRule="auto"/>
      </w:pPr>
      <w:r>
        <w:rPr>
          <w:color w:val="1E293B"/>
        </w:rPr>
        <w:t>As Super Admin, you must understand how students enter the platform so you can audit franchise compliance, verify registration cards, and uphold educational accreditation standards.</w:t>
      </w:r>
    </w:p>
    <w:p>
      <w:pPr>
        <w:spacing w:after="120" w:before="0" w:line="276" w:lineRule="auto"/>
      </w:pPr>
      <w:r>
        <w:rPr>
          <w:color w:val="1E293B"/>
        </w:rPr>
        <w:t>Franchises enroll students using one of two primary methods:</w:t>
      </w:r>
    </w:p>
    <w:p>
      <w:pPr>
        <w:spacing w:after="120" w:before="0" w:line="276" w:lineRule="auto"/>
      </w:pPr>
      <w:r>
        <w:rPr>
          <w:rFonts w:ascii="Consolas" w:hAnsi="Consolas"/>
          <w:color w:val="4F46E5"/>
          <w:sz w:val="19"/>
        </w:rPr>
        <w:t>`</w:t>
      </w:r>
    </w:p>
    <w:p>
      <w:pPr>
        <w:spacing w:after="120" w:before="0" w:line="276" w:lineRule="auto"/>
      </w:pPr>
      <w:r>
        <w:rPr>
          <w:color w:val="1E293B"/>
        </w:rPr>
        <w:t>[ METHOD 1: Public Online Portal ]                [ METHOD 2: Offline Front-Desk ]</w:t>
      </w:r>
    </w:p>
    <w:p>
      <w:pPr>
        <w:spacing w:after="120" w:before="0" w:line="276" w:lineRule="auto"/>
      </w:pPr>
      <w:r>
        <w:rPr>
          <w:color w:val="1E293B"/>
        </w:rPr>
        <w:t>Student visits center website                      Student walks into physical center</w:t>
      </w:r>
    </w:p>
    <w:p>
      <w:pPr>
        <w:spacing w:after="120" w:before="0" w:line="276" w:lineRule="auto"/>
      </w:pPr>
      <w:r>
        <w:rPr>
          <w:color w:val="1E293B"/>
        </w:rPr>
        <w:t>│                                                      │</w:t>
      </w:r>
    </w:p>
    <w:p>
      <w:pPr>
        <w:spacing w:after="120" w:before="0" w:line="276" w:lineRule="auto"/>
      </w:pPr>
      <w:r>
        <w:rPr>
          <w:color w:val="1E293B"/>
        </w:rPr>
        <w:t>Submits Online Admission Form                       Staff clicks "+ Add Student"</w:t>
      </w:r>
    </w:p>
    <w:p>
      <w:pPr>
        <w:spacing w:after="120" w:before="0" w:line="276" w:lineRule="auto"/>
      </w:pPr>
      <w:r>
        <w:rPr>
          <w:color w:val="1E293B"/>
        </w:rPr>
        <w:t>(Uploads Photo, ID Proof, Marksheet)                Enters Biographical &amp; Course Details</w:t>
      </w:r>
    </w:p>
    <w:p>
      <w:pPr>
        <w:spacing w:after="120" w:before="0" w:line="276" w:lineRule="auto"/>
      </w:pPr>
      <w:r>
        <w:rPr>
          <w:color w:val="1E293B"/>
        </w:rPr>
        <w:t>│                                                      │</w:t>
      </w:r>
    </w:p>
    <w:p>
      <w:pPr>
        <w:spacing w:after="120" w:before="0" w:line="276" w:lineRule="auto"/>
      </w:pPr>
      <w:r>
        <w:rPr>
          <w:color w:val="1E293B"/>
        </w:rPr>
        <w:t>Lands in Center "Admissions Inbox"                  Records Immediate Offline Cash/UPI</w:t>
      </w:r>
    </w:p>
    <w:p>
      <w:pPr>
        <w:spacing w:after="120" w:before="0" w:line="276" w:lineRule="auto"/>
      </w:pPr>
      <w:r>
        <w:rPr>
          <w:color w:val="1E293B"/>
        </w:rPr>
        <w:t>│                                                      │</w:t>
      </w:r>
    </w:p>
    <w:p>
      <w:pPr>
        <w:spacing w:after="120" w:before="0" w:line="276" w:lineRule="auto"/>
      </w:pPr>
      <w:r>
        <w:rPr>
          <w:color w:val="1E293B"/>
        </w:rPr>
        <w:t>Center Admin Reviews &amp; Approves                     Immediate Enrollment Number Generated</w:t>
      </w:r>
    </w:p>
    <w:p>
      <w:pPr>
        <w:spacing w:after="120" w:before="0" w:line="276" w:lineRule="auto"/>
      </w:pPr>
      <w:r>
        <w:rPr>
          <w:color w:val="1E293B"/>
        </w:rPr>
        <w:t>│                                                      │</w:t>
      </w:r>
    </w:p>
    <w:p>
      <w:pPr>
        <w:spacing w:after="120" w:before="0" w:line="276" w:lineRule="auto"/>
      </w:pPr>
      <w:r>
        <w:rPr>
          <w:color w:val="1E293B"/>
        </w:rPr>
        <w:t>Enters Batch, Assigns Schedule                      Student Portal Account Provisioned</w:t>
      </w:r>
    </w:p>
    <w:p>
      <w:pPr>
        <w:spacing w:after="120" w:before="0" w:line="276" w:lineRule="auto"/>
      </w:pPr>
      <w:r>
        <w:rPr>
          <w:color w:val="1E293B"/>
        </w:rPr>
        <w:t>└──────────────────────┬───────────────────────────────┘</w:t>
      </w:r>
    </w:p>
    <w:p>
      <w:pPr>
        <w:spacing w:after="120" w:before="0" w:line="276" w:lineRule="auto"/>
      </w:pPr>
      <w:r>
        <w:rPr>
          <w:color w:val="1E293B"/>
        </w:rPr>
        <w:t>│</w:t>
      </w:r>
    </w:p>
    <w:p>
      <w:pPr>
        <w:spacing w:after="120" w:before="0" w:line="276" w:lineRule="auto"/>
      </w:pPr>
      <w:r>
        <w:rPr>
          <w:color w:val="1E293B"/>
        </w:rPr>
        <w:t>[ ENROLLED IN GLOBAL STUDENT REGISTRY ]</w:t>
      </w:r>
    </w:p>
    <w:p>
      <w:pPr>
        <w:spacing w:after="120" w:before="0" w:line="276" w:lineRule="auto"/>
      </w:pPr>
      <w:r>
        <w:rPr>
          <w:color w:val="1E293B"/>
        </w:rPr>
        <w:t>Visible to Super Admin for Verification</w:t>
      </w:r>
    </w:p>
    <w:p>
      <w:pPr>
        <w:spacing w:after="120" w:before="0" w:line="276" w:lineRule="auto"/>
      </w:pPr>
      <w:r>
        <w:rPr>
          <w:rFonts w:ascii="Consolas" w:hAnsi="Consolas"/>
          <w:color w:val="4F46E5"/>
          <w:sz w:val="19"/>
        </w:rPr>
        <w:t>`</w:t>
      </w:r>
    </w:p>
    <w:p>
      <w:pPr>
        <w:spacing w:after="120"/>
      </w:pPr>
    </w:p>
    <w:p>
      <w:pPr>
        <w:spacing w:before="240" w:after="80"/>
      </w:pPr>
      <w:r>
        <w:rPr>
          <w:b/>
          <w:color w:val="4F46E5"/>
          <w:sz w:val="26"/>
        </w:rPr>
        <w:t>3.2 Method 1: Franchise Online Admission Processing (Detailed)</w:t>
      </w:r>
    </w:p>
    <w:p>
      <w:pPr>
        <w:pStyle w:val="ListNumber"/>
        <w:spacing w:after="60" w:before="20" w:line="276" w:lineRule="auto"/>
      </w:pPr>
      <w:r>
        <w:rPr>
          <w:b/>
          <w:color w:val="0F172A"/>
        </w:rPr>
        <w:t>Public Intake</w:t>
      </w:r>
      <w:r>
        <w:rPr>
          <w:color w:val="1E293B"/>
        </w:rPr>
        <w:t xml:space="preserve">: Prospective students access </w:t>
      </w:r>
      <w:r>
        <w:rPr>
          <w:rFonts w:ascii="Consolas" w:hAnsi="Consolas"/>
          <w:color w:val="4F46E5"/>
          <w:sz w:val="19"/>
        </w:rPr>
        <w:t>https://{center-subdomain}.abcdeduhub.com/admission</w:t>
      </w:r>
      <w:r>
        <w:rPr>
          <w:color w:val="1E293B"/>
        </w:rPr>
        <w:t>.</w:t>
      </w:r>
    </w:p>
    <w:p>
      <w:pPr>
        <w:pStyle w:val="ListNumber"/>
        <w:spacing w:after="60" w:before="20" w:line="276" w:lineRule="auto"/>
      </w:pPr>
      <w:r>
        <w:rPr>
          <w:b/>
          <w:color w:val="0F172A"/>
        </w:rPr>
        <w:t>Form Submission</w:t>
      </w:r>
      <w:r>
        <w:rPr>
          <w:color w:val="1E293B"/>
        </w:rPr>
        <w:t>: The student selects an active course, fills in biographical details, answers any custom questions configured by the franchise, and uploads:</w:t>
      </w:r>
    </w:p>
    <w:p>
      <w:pPr>
        <w:pStyle w:val="ListBullet"/>
        <w:spacing w:after="60" w:before="20" w:line="276" w:lineRule="auto"/>
      </w:pPr>
      <w:r>
        <w:rPr>
          <w:color w:val="1E293B"/>
        </w:rPr>
        <w:t>Recent Passport Size Photograph.</w:t>
      </w:r>
    </w:p>
    <w:p>
      <w:pPr>
        <w:pStyle w:val="ListBullet"/>
        <w:spacing w:after="60" w:before="20" w:line="276" w:lineRule="auto"/>
      </w:pPr>
      <w:r>
        <w:rPr>
          <w:color w:val="1E293B"/>
        </w:rPr>
        <w:t>Government ID Proof (Aadhaar / Voter ID).</w:t>
      </w:r>
    </w:p>
    <w:p>
      <w:pPr>
        <w:pStyle w:val="ListBullet"/>
        <w:spacing w:after="60" w:before="20" w:line="276" w:lineRule="auto"/>
      </w:pPr>
      <w:r>
        <w:rPr>
          <w:color w:val="1E293B"/>
        </w:rPr>
        <w:t>Educational Marksheet.</w:t>
      </w:r>
    </w:p>
    <w:p>
      <w:pPr>
        <w:pStyle w:val="ListNumber"/>
        <w:spacing w:after="60" w:before="20" w:line="276" w:lineRule="auto"/>
      </w:pPr>
      <w:r>
        <w:rPr>
          <w:b/>
          <w:color w:val="0F172A"/>
        </w:rPr>
        <w:t>Application Review</w:t>
      </w:r>
      <w:r>
        <w:rPr>
          <w:color w:val="1E293B"/>
        </w:rPr>
        <w:t xml:space="preserve">: The franchise administrator reviews the dossier in </w:t>
      </w:r>
      <w:r>
        <w:rPr>
          <w:rFonts w:ascii="Consolas" w:hAnsi="Consolas"/>
          <w:color w:val="4F46E5"/>
          <w:sz w:val="19"/>
        </w:rPr>
        <w:t>/admin/admissions</w:t>
      </w:r>
      <w:r>
        <w:rPr>
          <w:color w:val="1E293B"/>
        </w:rPr>
        <w:t>.</w:t>
      </w:r>
    </w:p>
    <w:p>
      <w:pPr>
        <w:pStyle w:val="ListNumber"/>
        <w:spacing w:after="60" w:before="20" w:line="276" w:lineRule="auto"/>
      </w:pPr>
      <w:r>
        <w:rPr>
          <w:b/>
          <w:color w:val="0F172A"/>
        </w:rPr>
        <w:t>Approval &amp; Batch Allocation</w:t>
      </w:r>
      <w:r>
        <w:rPr>
          <w:color w:val="1E293B"/>
        </w:rPr>
        <w:t xml:space="preserve">: The center clicks </w:t>
      </w:r>
      <w:r>
        <w:rPr>
          <w:b/>
          <w:color w:val="0F172A"/>
        </w:rPr>
        <w:t>"Approve Application"</w:t>
      </w:r>
      <w:r>
        <w:rPr>
          <w:color w:val="1E293B"/>
        </w:rPr>
        <w:t xml:space="preserve">, selects an existing classroom batch (e.g., </w:t>
      </w:r>
      <w:r>
        <w:rPr>
          <w:i/>
        </w:rPr>
        <w:t>Batch 2026-A</w:t>
      </w:r>
      <w:r>
        <w:rPr>
          <w:color w:val="1E293B"/>
        </w:rPr>
        <w:t>), confirms the official admission date, and finalizes enrollment.</w:t>
      </w:r>
    </w:p>
    <w:p>
      <w:pPr>
        <w:pStyle w:val="ListNumber"/>
        <w:spacing w:after="60" w:before="20" w:line="276" w:lineRule="auto"/>
      </w:pPr>
      <w:r>
        <w:rPr>
          <w:b/>
          <w:color w:val="0F172A"/>
        </w:rPr>
        <w:t>Accreditation Numbering</w:t>
      </w:r>
      <w:r>
        <w:rPr>
          <w:color w:val="1E293B"/>
        </w:rPr>
        <w:t>: The system automatically allocates an official Enrollment Number formatted as:</w:t>
      </w:r>
    </w:p>
    <w:p>
      <w:pPr>
        <w:spacing w:after="120" w:before="0" w:line="276" w:lineRule="auto"/>
      </w:pPr>
      <w:r>
        <w:rPr>
          <w:color w:val="1E293B"/>
        </w:rPr>
        <w:t>$$\text{Enrollment No.} = \text{Center Code} + \text{"-"} + \text{Admission Year} + \text{"-"} + \text{Sequential Roll}$$</w:t>
      </w:r>
    </w:p>
    <w:p>
      <w:pPr>
        <w:spacing w:after="120" w:before="0" w:line="276" w:lineRule="auto"/>
      </w:pPr>
      <w:r>
        <w:rPr>
          <w:i/>
        </w:rPr>
        <w:t>(Example: `WB002-2026-0042`)</w:t>
      </w:r>
      <w:r>
        <w:rPr>
          <w:color w:val="1E293B"/>
        </w:rPr>
        <w:t>.</w:t>
      </w:r>
    </w:p>
    <w:p>
      <w:pPr>
        <w:spacing w:after="120"/>
      </w:pPr>
    </w:p>
    <w:p>
      <w:pPr>
        <w:spacing w:before="240" w:after="80"/>
      </w:pPr>
      <w:r>
        <w:rPr>
          <w:b/>
          <w:color w:val="4F46E5"/>
          <w:sz w:val="26"/>
        </w:rPr>
        <w:t>3.3 Method 2: Franchise Manual Walk-in Registration (Detailed)</w:t>
      </w:r>
    </w:p>
    <w:p>
      <w:pPr>
        <w:pStyle w:val="ListNumber"/>
        <w:spacing w:after="60" w:before="20" w:line="276" w:lineRule="auto"/>
      </w:pPr>
      <w:r>
        <w:rPr>
          <w:color w:val="1E293B"/>
        </w:rPr>
        <w:t xml:space="preserve">When a walk-in student registers in person, the center administrator navigates to </w:t>
      </w:r>
      <w:r>
        <w:rPr>
          <w:b/>
          <w:color w:val="0F172A"/>
        </w:rPr>
        <w:t>Students</w:t>
      </w:r>
      <w:r>
        <w:rPr>
          <w:color w:val="1E293B"/>
        </w:rPr>
        <w:t xml:space="preserve"> (</w:t>
      </w:r>
      <w:r>
        <w:rPr>
          <w:rFonts w:ascii="Consolas" w:hAnsi="Consolas"/>
          <w:color w:val="4F46E5"/>
          <w:sz w:val="19"/>
        </w:rPr>
        <w:t>/admin/students</w:t>
      </w:r>
      <w:r>
        <w:rPr>
          <w:color w:val="1E293B"/>
        </w:rPr>
        <w:t xml:space="preserve">) and clicks </w:t>
      </w:r>
      <w:r>
        <w:rPr>
          <w:b/>
          <w:color w:val="0F172A"/>
        </w:rPr>
        <w:t>"+ Add Student"</w:t>
      </w:r>
      <w:r>
        <w:rPr>
          <w:color w:val="1E293B"/>
        </w:rPr>
        <w:t>.</w:t>
      </w:r>
    </w:p>
    <w:p>
      <w:pPr>
        <w:pStyle w:val="ListNumber"/>
        <w:spacing w:after="60" w:before="20" w:line="276" w:lineRule="auto"/>
      </w:pPr>
      <w:r>
        <w:rPr>
          <w:color w:val="1E293B"/>
        </w:rPr>
        <w:t>Staff manually inputs the student's full name, phone number, email, date of birth, and assigned course.</w:t>
      </w:r>
    </w:p>
    <w:p>
      <w:pPr>
        <w:pStyle w:val="ListNumber"/>
        <w:spacing w:after="60" w:before="20" w:line="276" w:lineRule="auto"/>
      </w:pPr>
      <w:r>
        <w:rPr>
          <w:color w:val="1E293B"/>
        </w:rPr>
        <w:t>Staff captures or uploads the student's passport photo and records the initial offline admission fee.</w:t>
      </w:r>
    </w:p>
    <w:p>
      <w:pPr>
        <w:pStyle w:val="ListNumber"/>
        <w:spacing w:after="60" w:before="20" w:line="276" w:lineRule="auto"/>
      </w:pPr>
      <w:r>
        <w:rPr>
          <w:color w:val="1E293B"/>
        </w:rPr>
        <w:t xml:space="preserve">Upon clicking </w:t>
      </w:r>
      <w:r>
        <w:rPr>
          <w:b/>
          <w:color w:val="0F172A"/>
        </w:rPr>
        <w:t>"Save"</w:t>
      </w:r>
      <w:r>
        <w:rPr>
          <w:color w:val="1E293B"/>
        </w:rPr>
        <w:t>, the student's portal account is immediately active.</w:t>
      </w:r>
    </w:p>
    <w:p>
      <w:pPr>
        <w:spacing w:after="120"/>
      </w:pPr>
    </w:p>
    <w:p>
      <w:pPr>
        <w:spacing w:before="240" w:after="80"/>
      </w:pPr>
      <w:r>
        <w:rPr>
          <w:b/>
          <w:color w:val="4F46E5"/>
          <w:sz w:val="26"/>
        </w:rPr>
        <w:t>3.4 The Global Student Directory (`/super-admin/students`)</w:t>
      </w:r>
    </w:p>
    <w:p>
      <w:pPr>
        <w:spacing w:after="120" w:before="0" w:line="276" w:lineRule="auto"/>
      </w:pPr>
      <w:r>
        <w:rPr>
          <w:color w:val="1E293B"/>
        </w:rPr>
        <w:t>The Super Admin has comprehensive oversight of every student enrolled across all affiliated franchises:</w:t>
      </w:r>
    </w:p>
    <w:p>
      <w:pPr>
        <w:spacing w:before="200" w:after="60"/>
      </w:pPr>
      <w:r>
        <w:rPr>
          <w:b/>
          <w:color w:val="1E3A8A"/>
          <w:sz w:val="22"/>
        </w:rPr>
        <w:t>Powerful Global Search &amp; Filtering:</w:t>
      </w:r>
    </w:p>
    <w:p>
      <w:pPr>
        <w:pStyle w:val="ListBullet"/>
        <w:spacing w:after="60" w:before="20" w:line="276" w:lineRule="auto"/>
      </w:pPr>
      <w:r>
        <w:rPr>
          <w:b/>
          <w:color w:val="0F172A"/>
        </w:rPr>
        <w:t>Search Anything</w:t>
      </w:r>
      <w:r>
        <w:rPr>
          <w:color w:val="1E293B"/>
        </w:rPr>
        <w:t>: Search across 100,000+ students instantly by Full Name, Enrollment Number, Mobile Number, or Email.</w:t>
      </w:r>
    </w:p>
    <w:p>
      <w:pPr>
        <w:pStyle w:val="ListBullet"/>
        <w:spacing w:after="60" w:before="20" w:line="276" w:lineRule="auto"/>
      </w:pPr>
      <w:r>
        <w:rPr>
          <w:b/>
          <w:color w:val="0F172A"/>
        </w:rPr>
        <w:t>Filter by Franchise</w:t>
      </w:r>
      <w:r>
        <w:rPr>
          <w:color w:val="1E293B"/>
        </w:rPr>
        <w:t xml:space="preserve">: Isolate students belonging to a specific center (e.g., filter only </w:t>
      </w:r>
      <w:r>
        <w:rPr>
          <w:rFonts w:ascii="Consolas" w:hAnsi="Consolas"/>
          <w:color w:val="4F46E5"/>
          <w:sz w:val="19"/>
        </w:rPr>
        <w:t>WB-002</w:t>
      </w:r>
      <w:r>
        <w:rPr>
          <w:color w:val="1E293B"/>
        </w:rPr>
        <w:t>).</w:t>
      </w:r>
    </w:p>
    <w:p>
      <w:pPr>
        <w:pStyle w:val="ListBullet"/>
        <w:spacing w:after="60" w:before="20" w:line="276" w:lineRule="auto"/>
      </w:pPr>
      <w:r>
        <w:rPr>
          <w:b/>
          <w:color w:val="0F172A"/>
        </w:rPr>
        <w:t>Filter by Course</w:t>
      </w:r>
      <w:r>
        <w:rPr>
          <w:color w:val="1E293B"/>
        </w:rPr>
        <w:t xml:space="preserve">: View all students enrolled nationwide in accredited programs (e.g., </w:t>
      </w:r>
      <w:r>
        <w:rPr>
          <w:i/>
        </w:rPr>
        <w:t>ADCA</w:t>
      </w:r>
      <w:r>
        <w:rPr>
          <w:color w:val="1E293B"/>
        </w:rPr>
        <w:t xml:space="preserve"> or </w:t>
      </w:r>
      <w:r>
        <w:rPr>
          <w:i/>
        </w:rPr>
        <w:t>DCA</w:t>
      </w:r>
      <w:r>
        <w:rPr>
          <w:color w:val="1E293B"/>
        </w:rPr>
        <w:t>).</w:t>
      </w:r>
    </w:p>
    <w:p>
      <w:pPr>
        <w:pStyle w:val="ListBullet"/>
        <w:spacing w:after="60" w:before="20" w:line="276" w:lineRule="auto"/>
      </w:pPr>
      <w:r>
        <w:rPr>
          <w:b/>
          <w:color w:val="0F172A"/>
        </w:rPr>
        <w:t>Filter by State / Region</w:t>
      </w:r>
      <w:r>
        <w:rPr>
          <w:color w:val="1E293B"/>
        </w:rPr>
        <w:t>: Filter learners by territory.</w:t>
      </w:r>
    </w:p>
    <w:p>
      <w:pPr>
        <w:spacing w:after="120"/>
      </w:pPr>
    </w:p>
    <w:p>
      <w:pPr>
        <w:spacing w:before="240" w:after="80"/>
      </w:pPr>
      <w:r>
        <w:rPr>
          <w:b/>
          <w:color w:val="4F46E5"/>
          <w:sz w:val="26"/>
        </w:rPr>
        <w:t>3.5 Central Registration Card Verification &amp; Approval</w:t>
      </w:r>
    </w:p>
    <w:p>
      <w:pPr>
        <w:spacing w:after="120" w:before="0" w:line="276" w:lineRule="auto"/>
      </w:pPr>
      <w:r>
        <w:rPr>
          <w:color w:val="1E293B"/>
        </w:rPr>
        <w:t>To prevent unauthorized or fraudulent student registrations:</w:t>
      </w:r>
    </w:p>
    <w:p>
      <w:pPr>
        <w:pStyle w:val="ListNumber"/>
        <w:spacing w:after="60" w:before="20" w:line="276" w:lineRule="auto"/>
      </w:pPr>
      <w:r>
        <w:rPr>
          <w:color w:val="1E293B"/>
        </w:rPr>
        <w:t xml:space="preserve">In </w:t>
      </w:r>
      <w:r>
        <w:rPr>
          <w:b/>
          <w:color w:val="0F172A"/>
        </w:rPr>
        <w:t>Global Students</w:t>
      </w:r>
      <w:r>
        <w:rPr>
          <w:color w:val="1E293B"/>
        </w:rPr>
        <w:t xml:space="preserve"> (</w:t>
      </w:r>
      <w:r>
        <w:rPr>
          <w:rFonts w:ascii="Consolas" w:hAnsi="Consolas"/>
          <w:color w:val="4F46E5"/>
          <w:sz w:val="19"/>
        </w:rPr>
        <w:t>/super-admin/students</w:t>
      </w:r>
      <w:r>
        <w:rPr>
          <w:color w:val="1E293B"/>
        </w:rPr>
        <w:t xml:space="preserve">), click the </w:t>
      </w:r>
      <w:r>
        <w:rPr>
          <w:b/>
          <w:color w:val="0F172A"/>
        </w:rPr>
        <w:t>"Registration Approvals"</w:t>
      </w:r>
      <w:r>
        <w:rPr>
          <w:color w:val="1E293B"/>
        </w:rPr>
        <w:t xml:space="preserve"> tab.</w:t>
      </w:r>
    </w:p>
    <w:p>
      <w:pPr>
        <w:pStyle w:val="ListNumber"/>
        <w:spacing w:after="60" w:before="20" w:line="276" w:lineRule="auto"/>
      </w:pPr>
      <w:r>
        <w:rPr>
          <w:color w:val="1E293B"/>
        </w:rPr>
        <w:t>Centers that submit student registrations for state/central board registration cards appear here.</w:t>
      </w:r>
    </w:p>
    <w:p>
      <w:pPr>
        <w:pStyle w:val="ListNumber"/>
        <w:spacing w:after="60" w:before="20" w:line="276" w:lineRule="auto"/>
      </w:pPr>
      <w:r>
        <w:rPr>
          <w:color w:val="1E293B"/>
        </w:rPr>
        <w:t>Inspect the student's:</w:t>
      </w:r>
    </w:p>
    <w:p>
      <w:pPr>
        <w:pStyle w:val="ListBullet"/>
        <w:spacing w:after="60" w:before="20" w:line="276" w:lineRule="auto"/>
      </w:pPr>
      <w:r>
        <w:rPr>
          <w:color w:val="1E293B"/>
        </w:rPr>
        <w:t>Full Name spelling (must match government ID).</w:t>
      </w:r>
    </w:p>
    <w:p>
      <w:pPr>
        <w:pStyle w:val="ListBullet"/>
        <w:spacing w:after="60" w:before="20" w:line="276" w:lineRule="auto"/>
      </w:pPr>
      <w:r>
        <w:rPr>
          <w:color w:val="1E293B"/>
        </w:rPr>
        <w:t>Uploaded Passport Photo (must meet formal identification clarity standards).</w:t>
      </w:r>
    </w:p>
    <w:p>
      <w:pPr>
        <w:pStyle w:val="ListBullet"/>
        <w:spacing w:after="60" w:before="20" w:line="276" w:lineRule="auto"/>
      </w:pPr>
      <w:r>
        <w:rPr>
          <w:color w:val="1E293B"/>
        </w:rPr>
        <w:t>Father's / Mother's name and Date of Birth.</w:t>
      </w:r>
    </w:p>
    <w:p>
      <w:pPr>
        <w:pStyle w:val="ListBullet"/>
        <w:spacing w:after="60" w:before="20" w:line="276" w:lineRule="auto"/>
      </w:pPr>
      <w:r>
        <w:rPr>
          <w:color w:val="1E293B"/>
        </w:rPr>
        <w:t>Verified Enrollment Number.</w:t>
      </w:r>
    </w:p>
    <w:p>
      <w:pPr>
        <w:pStyle w:val="ListNumber"/>
        <w:spacing w:after="60" w:before="20" w:line="276" w:lineRule="auto"/>
      </w:pPr>
      <w:r>
        <w:rPr>
          <w:b/>
          <w:color w:val="0F172A"/>
        </w:rPr>
        <w:t>Click "Approve Registration Card"</w:t>
      </w:r>
      <w:r>
        <w:rPr>
          <w:color w:val="1E293B"/>
        </w:rPr>
        <w:t>:</w:t>
      </w:r>
    </w:p>
    <w:p>
      <w:pPr>
        <w:pStyle w:val="ListBullet"/>
        <w:spacing w:after="60" w:before="20" w:line="276" w:lineRule="auto"/>
      </w:pPr>
      <w:r>
        <w:rPr>
          <w:color w:val="1E293B"/>
        </w:rPr>
        <w:t xml:space="preserve">The student's record is marked </w:t>
      </w:r>
      <w:r>
        <w:rPr>
          <w:rFonts w:ascii="Consolas" w:hAnsi="Consolas"/>
          <w:color w:val="4F46E5"/>
          <w:sz w:val="19"/>
        </w:rPr>
        <w:t>Registration Card Approved</w:t>
      </w:r>
      <w:r>
        <w:rPr>
          <w:color w:val="1E293B"/>
        </w:rPr>
        <w:t>.</w:t>
      </w:r>
    </w:p>
    <w:p>
      <w:pPr>
        <w:pStyle w:val="ListBullet"/>
        <w:spacing w:after="60" w:before="20" w:line="276" w:lineRule="auto"/>
      </w:pPr>
      <w:r>
        <w:rPr>
          <w:color w:val="1E293B"/>
        </w:rPr>
        <w:t xml:space="preserve">The franchise center and the student are immediately unlocked to download and print the formal </w:t>
      </w:r>
      <w:r>
        <w:rPr>
          <w:b/>
          <w:color w:val="0F172A"/>
        </w:rPr>
        <w:t>Accredited Student Registration Card</w:t>
      </w:r>
      <w:r>
        <w:rPr>
          <w:color w:val="1E293B"/>
        </w:rPr>
        <w:t xml:space="preserve"> bearing the central board seal.</w:t>
      </w:r>
    </w:p>
    <w:p>
      <w:pPr>
        <w:spacing w:after="120"/>
      </w:pPr>
    </w:p>
    <w:p>
      <w:pPr>
        <w:spacing w:before="240" w:after="80"/>
      </w:pPr>
      <w:r>
        <w:rPr>
          <w:b/>
          <w:color w:val="4F46E5"/>
          <w:sz w:val="26"/>
        </w:rPr>
        <w:t>3.6 Central Certificate &amp; Marksheet Audit</w:t>
      </w:r>
    </w:p>
    <w:p>
      <w:pPr>
        <w:spacing w:after="120" w:before="0" w:line="276" w:lineRule="auto"/>
      </w:pPr>
      <w:r>
        <w:rPr>
          <w:color w:val="1E293B"/>
        </w:rPr>
        <w:t>When a franchise requests a certificate for a student (or if the franchise lacks autonomous document authority):</w:t>
      </w:r>
    </w:p>
    <w:p>
      <w:pPr>
        <w:pStyle w:val="ListNumber"/>
        <w:spacing w:after="60" w:before="20" w:line="276" w:lineRule="auto"/>
      </w:pPr>
      <w:r>
        <w:rPr>
          <w:color w:val="1E293B"/>
        </w:rPr>
        <w:t>Head Office inspects the student's attendance record and examination marks.</w:t>
      </w:r>
    </w:p>
    <w:p>
      <w:pPr>
        <w:pStyle w:val="ListNumber"/>
        <w:spacing w:after="60" w:before="20" w:line="276" w:lineRule="auto"/>
      </w:pPr>
      <w:r>
        <w:rPr>
          <w:color w:val="1E293B"/>
        </w:rPr>
        <w:t xml:space="preserve">Super Admin clicks </w:t>
      </w:r>
      <w:r>
        <w:rPr>
          <w:b/>
          <w:color w:val="0F172A"/>
        </w:rPr>
        <w:t>"Approve Certificate Issuance"</w:t>
      </w:r>
      <w:r>
        <w:rPr>
          <w:color w:val="1E293B"/>
        </w:rPr>
        <w:t>.</w:t>
      </w:r>
    </w:p>
    <w:p>
      <w:pPr>
        <w:pStyle w:val="ListNumber"/>
        <w:spacing w:after="60" w:before="20" w:line="276" w:lineRule="auto"/>
      </w:pPr>
      <w:r>
        <w:rPr>
          <w:color w:val="1E293B"/>
        </w:rPr>
        <w:t>A tamper-proof QR code is embedded on the certificate, linking to the central verification server (</w:t>
      </w:r>
      <w:r>
        <w:rPr>
          <w:rFonts w:ascii="Consolas" w:hAnsi="Consolas"/>
          <w:color w:val="4F46E5"/>
          <w:sz w:val="19"/>
        </w:rPr>
        <w:t>/verify/certificate/{certificateNo}</w:t>
      </w:r>
      <w:r>
        <w:rPr>
          <w:color w:val="1E293B"/>
        </w:rPr>
        <w:t>).</w:t>
      </w:r>
    </w:p>
    <w:p>
      <w:r>
        <w:br w:type="page"/>
      </w:r>
    </w:p>
    <w:p>
      <w:pPr>
        <w:spacing w:before="320" w:after="120"/>
      </w:pPr>
      <w:r>
        <w:rPr>
          <w:b/>
          <w:color w:val="0F172A"/>
          <w:sz w:val="32"/>
        </w:rPr>
        <w:t>Chapter 4: Global Course Catalog &amp; Accredited Syllabi</w:t>
      </w:r>
    </w:p>
    <w:p>
      <w:pPr>
        <w:spacing w:before="240" w:after="80"/>
      </w:pPr>
      <w:r>
        <w:rPr>
          <w:b/>
          <w:color w:val="4F46E5"/>
          <w:sz w:val="26"/>
        </w:rPr>
        <w:t>4.1 The Central Course Master</w:t>
      </w:r>
    </w:p>
    <w:p>
      <w:pPr>
        <w:spacing w:after="120" w:before="0" w:line="276" w:lineRule="auto"/>
      </w:pPr>
      <w:r>
        <w:rPr>
          <w:color w:val="1E293B"/>
        </w:rPr>
        <w:t xml:space="preserve">The </w:t>
      </w:r>
      <w:r>
        <w:rPr>
          <w:b/>
          <w:color w:val="0F172A"/>
        </w:rPr>
        <w:t>Global Course Master</w:t>
      </w:r>
      <w:r>
        <w:rPr>
          <w:color w:val="1E293B"/>
        </w:rPr>
        <w:t xml:space="preserve"> (</w:t>
      </w:r>
      <w:r>
        <w:rPr>
          <w:rFonts w:ascii="Consolas" w:hAnsi="Consolas"/>
          <w:color w:val="4F46E5"/>
          <w:sz w:val="19"/>
        </w:rPr>
        <w:t>/super-admin/courses</w:t>
      </w:r>
      <w:r>
        <w:rPr>
          <w:color w:val="1E293B"/>
        </w:rPr>
        <w:t>) is the single source of academic truth across ABCD Edu Hub. As Super Admin, you define the accredited programs of study taught nationwide.</w:t>
      </w:r>
    </w:p>
    <w:p>
      <w:pPr>
        <w:spacing w:after="120"/>
      </w:pPr>
    </w:p>
    <w:p>
      <w:pPr>
        <w:spacing w:before="240" w:after="80"/>
      </w:pPr>
      <w:r>
        <w:rPr>
          <w:b/>
          <w:color w:val="4F46E5"/>
          <w:sz w:val="26"/>
        </w:rPr>
        <w:t>4.2 Managing Course Category Groups</w:t>
      </w:r>
    </w:p>
    <w:p>
      <w:pPr>
        <w:spacing w:after="120" w:before="0" w:line="276" w:lineRule="auto"/>
      </w:pPr>
      <w:r>
        <w:rPr>
          <w:color w:val="1E293B"/>
        </w:rPr>
        <w:t>Before creating individual courses, organize them into recognized educational categories:</w:t>
      </w:r>
    </w:p>
    <w:p>
      <w:pPr>
        <w:pStyle w:val="ListNumber"/>
        <w:spacing w:after="60" w:before="20" w:line="276" w:lineRule="auto"/>
      </w:pPr>
      <w:r>
        <w:rPr>
          <w:color w:val="1E293B"/>
        </w:rPr>
        <w:t xml:space="preserve">Navigate to </w:t>
      </w:r>
      <w:r>
        <w:rPr>
          <w:b/>
          <w:color w:val="0F172A"/>
        </w:rPr>
        <w:t>Courses</w:t>
      </w:r>
      <w:r>
        <w:rPr>
          <w:color w:val="1E293B"/>
        </w:rPr>
        <w:t xml:space="preserve"> (</w:t>
      </w:r>
      <w:r>
        <w:rPr>
          <w:rFonts w:ascii="Consolas" w:hAnsi="Consolas"/>
          <w:color w:val="4F46E5"/>
          <w:sz w:val="19"/>
        </w:rPr>
        <w:t>/super-admin/courses</w:t>
      </w:r>
      <w:r>
        <w:rPr>
          <w:color w:val="1E293B"/>
        </w:rPr>
        <w:t>).</w:t>
      </w:r>
    </w:p>
    <w:p>
      <w:pPr>
        <w:pStyle w:val="ListNumber"/>
        <w:spacing w:after="60" w:before="20" w:line="276" w:lineRule="auto"/>
      </w:pPr>
      <w:r>
        <w:rPr>
          <w:color w:val="1E293B"/>
        </w:rPr>
        <w:t xml:space="preserve">Click </w:t>
      </w:r>
      <w:r>
        <w:rPr>
          <w:b/>
          <w:color w:val="0F172A"/>
        </w:rPr>
        <w:t>"Manage Course Groups"</w:t>
      </w:r>
      <w:r>
        <w:rPr>
          <w:color w:val="1E293B"/>
        </w:rPr>
        <w:t>.</w:t>
      </w:r>
    </w:p>
    <w:p>
      <w:pPr>
        <w:pStyle w:val="ListNumber"/>
        <w:spacing w:after="60" w:before="20" w:line="276" w:lineRule="auto"/>
      </w:pPr>
      <w:r>
        <w:rPr>
          <w:color w:val="1E293B"/>
        </w:rPr>
        <w:t>The platform includes standard groups:</w:t>
      </w:r>
    </w:p>
    <w:p>
      <w:pPr>
        <w:pStyle w:val="ListBullet"/>
        <w:spacing w:after="60" w:before="20" w:line="276" w:lineRule="auto"/>
      </w:pPr>
      <w:r>
        <w:rPr>
          <w:i/>
        </w:rPr>
        <w:t>Diploma Courses</w:t>
      </w:r>
      <w:r>
        <w:rPr>
          <w:color w:val="1E293B"/>
        </w:rPr>
        <w:t xml:space="preserve"> (e.g., ADCA, DCA, DIT)</w:t>
      </w:r>
    </w:p>
    <w:p>
      <w:pPr>
        <w:pStyle w:val="ListBullet"/>
        <w:spacing w:after="60" w:before="20" w:line="276" w:lineRule="auto"/>
      </w:pPr>
      <w:r>
        <w:rPr>
          <w:i/>
        </w:rPr>
        <w:t>Office &amp; Accounting</w:t>
      </w:r>
      <w:r>
        <w:rPr>
          <w:color w:val="1E293B"/>
        </w:rPr>
        <w:t xml:space="preserve"> (e.g., Tally Prime, Advanced Excel, GST)</w:t>
      </w:r>
    </w:p>
    <w:p>
      <w:pPr>
        <w:pStyle w:val="ListBullet"/>
        <w:spacing w:after="60" w:before="20" w:line="276" w:lineRule="auto"/>
      </w:pPr>
      <w:r>
        <w:rPr>
          <w:i/>
        </w:rPr>
        <w:t>Programming &amp; Software Development</w:t>
      </w:r>
      <w:r>
        <w:rPr>
          <w:color w:val="1E293B"/>
        </w:rPr>
        <w:t xml:space="preserve"> (e.g., Python, Full-Stack Web Development)</w:t>
      </w:r>
    </w:p>
    <w:p>
      <w:pPr>
        <w:pStyle w:val="ListBullet"/>
        <w:spacing w:after="60" w:before="20" w:line="276" w:lineRule="auto"/>
      </w:pPr>
      <w:r>
        <w:rPr>
          <w:i/>
        </w:rPr>
        <w:t>Graphic &amp; Multimedia Design</w:t>
      </w:r>
      <w:r>
        <w:rPr>
          <w:color w:val="1E293B"/>
        </w:rPr>
        <w:t xml:space="preserve"> (e.g., Photoshop, CorelDRAW, Video Editing)</w:t>
      </w:r>
    </w:p>
    <w:p>
      <w:pPr>
        <w:pStyle w:val="ListBullet"/>
        <w:spacing w:after="60" w:before="20" w:line="276" w:lineRule="auto"/>
      </w:pPr>
      <w:r>
        <w:rPr>
          <w:i/>
        </w:rPr>
        <w:t>Vocational &amp; Short-Term Certifications</w:t>
      </w:r>
    </w:p>
    <w:p>
      <w:pPr>
        <w:pStyle w:val="ListNumber"/>
        <w:spacing w:after="60" w:before="20" w:line="276" w:lineRule="auto"/>
      </w:pPr>
      <w:r>
        <w:rPr>
          <w:color w:val="1E293B"/>
        </w:rPr>
        <w:t xml:space="preserve">Click </w:t>
      </w:r>
      <w:r>
        <w:rPr>
          <w:b/>
          <w:color w:val="0F172A"/>
        </w:rPr>
        <w:t>"+ Add Group"</w:t>
      </w:r>
      <w:r>
        <w:rPr>
          <w:color w:val="1E293B"/>
        </w:rPr>
        <w:t xml:space="preserve"> to define new categories as market demands evolve.</w:t>
      </w:r>
    </w:p>
    <w:p>
      <w:pPr>
        <w:spacing w:after="120"/>
      </w:pPr>
    </w:p>
    <w:p>
      <w:pPr>
        <w:spacing w:before="240" w:after="80"/>
      </w:pPr>
      <w:r>
        <w:rPr>
          <w:b/>
          <w:color w:val="4F46E5"/>
          <w:sz w:val="26"/>
        </w:rPr>
        <w:t>4.3 Creating a New Global Accredited Course (Step-by-Step)</w:t>
      </w:r>
    </w:p>
    <w:p>
      <w:pPr>
        <w:spacing w:before="200" w:after="60"/>
      </w:pPr>
      <w:r>
        <w:rPr>
          <w:b/>
          <w:color w:val="1E3A8A"/>
          <w:sz w:val="22"/>
        </w:rPr>
        <w:t>Step 1: Basic Course Identity</w:t>
      </w:r>
    </w:p>
    <w:p>
      <w:pPr>
        <w:pStyle w:val="ListNumber"/>
        <w:spacing w:after="60" w:before="20" w:line="276" w:lineRule="auto"/>
      </w:pPr>
      <w:r>
        <w:rPr>
          <w:color w:val="1E293B"/>
        </w:rPr>
        <w:t xml:space="preserve">In the Courses dashboard, click </w:t>
      </w:r>
      <w:r>
        <w:rPr>
          <w:b/>
          <w:color w:val="0F172A"/>
        </w:rPr>
        <w:t>"+ Add Global Course"</w:t>
      </w:r>
      <w:r>
        <w:rPr>
          <w:color w:val="1E293B"/>
        </w:rPr>
        <w:t>.</w:t>
      </w:r>
    </w:p>
    <w:p>
      <w:pPr>
        <w:pStyle w:val="ListNumber"/>
        <w:spacing w:after="60" w:before="20" w:line="276" w:lineRule="auto"/>
      </w:pPr>
      <w:r>
        <w:rPr>
          <w:b/>
          <w:color w:val="0F172A"/>
        </w:rPr>
        <w:t>Course Title</w:t>
      </w:r>
      <w:r>
        <w:rPr>
          <w:color w:val="1E293B"/>
        </w:rPr>
        <w:t xml:space="preserve">: Official accredited title (e.g., </w:t>
      </w:r>
      <w:r>
        <w:rPr>
          <w:i/>
        </w:rPr>
        <w:t>Advanced Diploma in Computer Applications (ADCA)</w:t>
      </w:r>
      <w:r>
        <w:rPr>
          <w:color w:val="1E293B"/>
        </w:rPr>
        <w:t>).</w:t>
      </w:r>
    </w:p>
    <w:p>
      <w:pPr>
        <w:pStyle w:val="ListNumber"/>
        <w:spacing w:after="60" w:before="20" w:line="276" w:lineRule="auto"/>
      </w:pPr>
      <w:r>
        <w:rPr>
          <w:b/>
          <w:color w:val="0F172A"/>
        </w:rPr>
        <w:t>Course Code</w:t>
      </w:r>
      <w:r>
        <w:rPr>
          <w:color w:val="1E293B"/>
        </w:rPr>
        <w:t xml:space="preserve">: Unique academic identifier (e.g., </w:t>
      </w:r>
      <w:r>
        <w:rPr>
          <w:i/>
        </w:rPr>
        <w:t>ADCA-101</w:t>
      </w:r>
      <w:r>
        <w:rPr>
          <w:color w:val="1E293B"/>
        </w:rPr>
        <w:t>).</w:t>
      </w:r>
    </w:p>
    <w:p>
      <w:pPr>
        <w:pStyle w:val="ListNumber"/>
        <w:spacing w:after="60" w:before="20" w:line="276" w:lineRule="auto"/>
      </w:pPr>
      <w:r>
        <w:rPr>
          <w:b/>
          <w:color w:val="0F172A"/>
        </w:rPr>
        <w:t>Category Group</w:t>
      </w:r>
      <w:r>
        <w:rPr>
          <w:color w:val="1E293B"/>
        </w:rPr>
        <w:t>: Assign to an established course group.</w:t>
      </w:r>
    </w:p>
    <w:p>
      <w:pPr>
        <w:pStyle w:val="ListNumber"/>
        <w:spacing w:after="60" w:before="20" w:line="276" w:lineRule="auto"/>
      </w:pPr>
      <w:r>
        <w:rPr>
          <w:b/>
          <w:color w:val="0F172A"/>
        </w:rPr>
        <w:t>Difficulty Level</w:t>
      </w:r>
      <w:r>
        <w:rPr>
          <w:color w:val="1E293B"/>
        </w:rPr>
        <w:t xml:space="preserve">: Select </w:t>
      </w:r>
      <w:r>
        <w:rPr>
          <w:i/>
        </w:rPr>
        <w:t>Beginner</w:t>
      </w:r>
      <w:r>
        <w:rPr>
          <w:color w:val="1E293B"/>
        </w:rPr>
        <w:t xml:space="preserve">, </w:t>
      </w:r>
      <w:r>
        <w:rPr>
          <w:i/>
        </w:rPr>
        <w:t>Intermediate</w:t>
      </w:r>
      <w:r>
        <w:rPr>
          <w:color w:val="1E293B"/>
        </w:rPr>
        <w:t xml:space="preserve">, or </w:t>
      </w:r>
      <w:r>
        <w:rPr>
          <w:i/>
        </w:rPr>
        <w:t>Advanced</w:t>
      </w:r>
      <w:r>
        <w:rPr>
          <w:color w:val="1E293B"/>
        </w:rPr>
        <w:t>.</w:t>
      </w:r>
    </w:p>
    <w:p>
      <w:pPr>
        <w:pStyle w:val="ListNumber"/>
        <w:spacing w:after="60" w:before="20" w:line="276" w:lineRule="auto"/>
      </w:pPr>
      <w:r>
        <w:rPr>
          <w:b/>
          <w:color w:val="0F172A"/>
        </w:rPr>
        <w:t>Duration</w:t>
      </w:r>
      <w:r>
        <w:rPr>
          <w:color w:val="1E293B"/>
        </w:rPr>
        <w:t xml:space="preserve">: Specify standard completion timeline (e.g., </w:t>
      </w:r>
      <w:r>
        <w:rPr>
          <w:i/>
        </w:rPr>
        <w:t>12 Months / 360 Hours</w:t>
      </w:r>
      <w:r>
        <w:rPr>
          <w:color w:val="1E293B"/>
        </w:rPr>
        <w:t>).</w:t>
      </w:r>
    </w:p>
    <w:p>
      <w:pPr>
        <w:spacing w:before="200" w:after="60"/>
      </w:pPr>
      <w:r>
        <w:rPr>
          <w:b/>
          <w:color w:val="1E3A8A"/>
          <w:sz w:val="22"/>
        </w:rPr>
        <w:t>Step 2: Financial &amp; Promotional Parameters</w:t>
      </w:r>
    </w:p>
    <w:p>
      <w:pPr>
        <w:pStyle w:val="ListBullet"/>
        <w:spacing w:after="60" w:before="20" w:line="276" w:lineRule="auto"/>
      </w:pPr>
      <w:r>
        <w:rPr>
          <w:b/>
          <w:color w:val="0F172A"/>
        </w:rPr>
        <w:t>Recommended Base Fee (₹)</w:t>
      </w:r>
      <w:r>
        <w:rPr>
          <w:color w:val="1E293B"/>
        </w:rPr>
        <w:t xml:space="preserve">: Suggested tuition fee for affiliated franchises (e.g., </w:t>
      </w:r>
      <w:r>
        <w:rPr>
          <w:rFonts w:ascii="Consolas" w:hAnsi="Consolas"/>
          <w:color w:val="4F46E5"/>
          <w:sz w:val="19"/>
        </w:rPr>
        <w:t>₹6,500</w:t>
      </w:r>
      <w:r>
        <w:rPr>
          <w:color w:val="1E293B"/>
        </w:rPr>
        <w:t>).</w:t>
      </w:r>
    </w:p>
    <w:p>
      <w:pPr>
        <w:pStyle w:val="ListBullet"/>
        <w:spacing w:after="60" w:before="20" w:line="276" w:lineRule="auto"/>
      </w:pPr>
      <w:r>
        <w:rPr>
          <w:b/>
          <w:color w:val="0F172A"/>
        </w:rPr>
        <w:t>Display Price (Text)</w:t>
      </w:r>
      <w:r>
        <w:rPr>
          <w:color w:val="1E293B"/>
        </w:rPr>
        <w:t xml:space="preserve">: Default marketing string (e.g., </w:t>
      </w:r>
      <w:r>
        <w:rPr>
          <w:rFonts w:ascii="Consolas" w:hAnsi="Consolas"/>
          <w:color w:val="4F46E5"/>
          <w:sz w:val="19"/>
        </w:rPr>
        <w:t>₹5,499 (Limited Time Offer)</w:t>
      </w:r>
      <w:r>
        <w:rPr>
          <w:color w:val="1E293B"/>
        </w:rPr>
        <w:t>).</w:t>
      </w:r>
    </w:p>
    <w:p>
      <w:pPr>
        <w:pStyle w:val="ListBullet"/>
        <w:spacing w:after="60" w:before="20" w:line="276" w:lineRule="auto"/>
      </w:pPr>
      <w:r>
        <w:rPr>
          <w:b/>
          <w:color w:val="0F172A"/>
        </w:rPr>
        <w:t>Demand Badge</w:t>
      </w:r>
      <w:r>
        <w:rPr>
          <w:color w:val="1E293B"/>
        </w:rPr>
        <w:t xml:space="preserve">: Tag as </w:t>
      </w:r>
      <w:r>
        <w:rPr>
          <w:i/>
        </w:rPr>
        <w:t>High Demand</w:t>
      </w:r>
      <w:r>
        <w:rPr>
          <w:color w:val="1E293B"/>
        </w:rPr>
        <w:t xml:space="preserve">, </w:t>
      </w:r>
      <w:r>
        <w:rPr>
          <w:i/>
        </w:rPr>
        <w:t>Trending</w:t>
      </w:r>
      <w:r>
        <w:rPr>
          <w:color w:val="1E293B"/>
        </w:rPr>
        <w:t xml:space="preserve">, or </w:t>
      </w:r>
      <w:r>
        <w:rPr>
          <w:i/>
        </w:rPr>
        <w:t>Industry Standard</w:t>
      </w:r>
      <w:r>
        <w:rPr>
          <w:color w:val="1E293B"/>
        </w:rPr>
        <w:t>.</w:t>
      </w:r>
    </w:p>
    <w:p>
      <w:pPr>
        <w:pStyle w:val="ListBullet"/>
        <w:spacing w:after="60" w:before="20" w:line="276" w:lineRule="auto"/>
      </w:pPr>
      <w:r>
        <w:rPr>
          <w:b/>
          <w:color w:val="0F172A"/>
        </w:rPr>
        <w:t>Featured / Popular</w:t>
      </w:r>
      <w:r>
        <w:rPr>
          <w:color w:val="1E293B"/>
        </w:rPr>
        <w:t>: Toggle to display prominently on the main platform homepage and franchise landing pages.</w:t>
      </w:r>
    </w:p>
    <w:p>
      <w:pPr>
        <w:spacing w:before="200" w:after="60"/>
      </w:pPr>
      <w:r>
        <w:rPr>
          <w:b/>
          <w:color w:val="1E3A8A"/>
          <w:sz w:val="22"/>
        </w:rPr>
        <w:t>Step 3: Accredited Syllabus Builder</w:t>
      </w:r>
    </w:p>
    <w:p>
      <w:pPr>
        <w:spacing w:after="120" w:before="0" w:line="276" w:lineRule="auto"/>
      </w:pPr>
      <w:r>
        <w:rPr>
          <w:color w:val="1E293B"/>
        </w:rPr>
        <w:t>Build the curriculum taught by all centers:</w:t>
      </w:r>
    </w:p>
    <w:p>
      <w:pPr>
        <w:pStyle w:val="ListNumber"/>
        <w:spacing w:after="60" w:before="20" w:line="276" w:lineRule="auto"/>
      </w:pPr>
      <w:r>
        <w:rPr>
          <w:color w:val="1E293B"/>
        </w:rPr>
        <w:t xml:space="preserve">Click </w:t>
      </w:r>
      <w:r>
        <w:rPr>
          <w:b/>
          <w:color w:val="0F172A"/>
        </w:rPr>
        <w:t>"+ Add Syllabus Module"</w:t>
      </w:r>
      <w:r>
        <w:rPr>
          <w:color w:val="1E293B"/>
        </w:rPr>
        <w:t>.</w:t>
      </w:r>
    </w:p>
    <w:p>
      <w:pPr>
        <w:pStyle w:val="ListNumber"/>
        <w:spacing w:after="60" w:before="20" w:line="276" w:lineRule="auto"/>
      </w:pPr>
      <w:r>
        <w:rPr>
          <w:color w:val="1E293B"/>
        </w:rPr>
        <w:t xml:space="preserve">Enter the Module Title (e.g., </w:t>
      </w:r>
      <w:r>
        <w:rPr>
          <w:i/>
        </w:rPr>
        <w:t>Semester 1 — Module 1: Computer Hardware &amp; Operating Systems</w:t>
      </w:r>
      <w:r>
        <w:rPr>
          <w:color w:val="1E293B"/>
        </w:rPr>
        <w:t>).</w:t>
      </w:r>
    </w:p>
    <w:p>
      <w:pPr>
        <w:pStyle w:val="ListNumber"/>
        <w:spacing w:after="60" w:before="20" w:line="276" w:lineRule="auto"/>
      </w:pPr>
      <w:r>
        <w:rPr>
          <w:color w:val="1E293B"/>
        </w:rPr>
        <w:t>Add specific instructional topics:</w:t>
      </w:r>
    </w:p>
    <w:p>
      <w:pPr>
        <w:pStyle w:val="ListBullet"/>
        <w:spacing w:after="60" w:before="20" w:line="276" w:lineRule="auto"/>
      </w:pPr>
      <w:r>
        <w:rPr>
          <w:i/>
        </w:rPr>
        <w:t>Topic 1</w:t>
      </w:r>
      <w:r>
        <w:rPr>
          <w:color w:val="1E293B"/>
        </w:rPr>
        <w:t>: Computer Architecture &amp; Motherboard Components.</w:t>
      </w:r>
    </w:p>
    <w:p>
      <w:pPr>
        <w:pStyle w:val="ListBullet"/>
        <w:spacing w:after="60" w:before="20" w:line="276" w:lineRule="auto"/>
      </w:pPr>
      <w:r>
        <w:rPr>
          <w:i/>
        </w:rPr>
        <w:t>Topic 2</w:t>
      </w:r>
      <w:r>
        <w:rPr>
          <w:color w:val="1E293B"/>
        </w:rPr>
        <w:t>: BIOS Configuration &amp; Windows Installation.</w:t>
      </w:r>
    </w:p>
    <w:p>
      <w:pPr>
        <w:pStyle w:val="ListBullet"/>
        <w:spacing w:after="60" w:before="20" w:line="276" w:lineRule="auto"/>
      </w:pPr>
      <w:r>
        <w:rPr>
          <w:i/>
        </w:rPr>
        <w:t>Topic 3</w:t>
      </w:r>
      <w:r>
        <w:rPr>
          <w:color w:val="1E293B"/>
        </w:rPr>
        <w:t>: Command Prompt &amp; System Administration.</w:t>
      </w:r>
    </w:p>
    <w:p>
      <w:pPr>
        <w:pStyle w:val="ListNumber"/>
        <w:spacing w:after="60" w:before="20" w:line="276" w:lineRule="auto"/>
      </w:pPr>
      <w:r>
        <w:rPr>
          <w:color w:val="1E293B"/>
        </w:rPr>
        <w:t>Add subsequent modules for Office Suites, Financial Accounting, Programming, and Final Project Work.</w:t>
      </w:r>
    </w:p>
    <w:p>
      <w:pPr>
        <w:spacing w:before="200" w:after="60"/>
      </w:pPr>
      <w:r>
        <w:rPr>
          <w:b/>
          <w:color w:val="1E3A8A"/>
          <w:sz w:val="22"/>
        </w:rPr>
        <w:t>Step 4: Visual Banner &amp; Publishing</w:t>
      </w:r>
    </w:p>
    <w:p>
      <w:pPr>
        <w:pStyle w:val="ListNumber"/>
        <w:spacing w:after="60" w:before="20" w:line="276" w:lineRule="auto"/>
      </w:pPr>
      <w:r>
        <w:rPr>
          <w:color w:val="1E293B"/>
        </w:rPr>
        <w:t xml:space="preserve">Upload a high-resolution </w:t>
      </w:r>
      <w:r>
        <w:rPr>
          <w:b/>
          <w:color w:val="0F172A"/>
        </w:rPr>
        <w:t>Course Banner</w:t>
      </w:r>
      <w:r>
        <w:rPr>
          <w:color w:val="1E293B"/>
        </w:rPr>
        <w:t xml:space="preserve"> (recommended 1200x630 pixels).</w:t>
      </w:r>
    </w:p>
    <w:p>
      <w:pPr>
        <w:pStyle w:val="ListNumber"/>
        <w:spacing w:after="60" w:before="20" w:line="276" w:lineRule="auto"/>
      </w:pPr>
      <w:r>
        <w:rPr>
          <w:color w:val="1E293B"/>
        </w:rPr>
        <w:t xml:space="preserve">Click </w:t>
      </w:r>
      <w:r>
        <w:rPr>
          <w:b/>
          <w:color w:val="0F172A"/>
        </w:rPr>
        <w:t>"Publish Global Course"</w:t>
      </w:r>
      <w:r>
        <w:rPr>
          <w:color w:val="1E293B"/>
        </w:rPr>
        <w:t>.</w:t>
      </w:r>
    </w:p>
    <w:p>
      <w:pPr>
        <w:pStyle w:val="ListNumber"/>
        <w:spacing w:after="60" w:before="20" w:line="276" w:lineRule="auto"/>
      </w:pPr>
      <w:r>
        <w:rPr>
          <w:b/>
          <w:color w:val="0F172A"/>
        </w:rPr>
        <w:t>Instant Global Deployment</w:t>
      </w:r>
      <w:r>
        <w:rPr>
          <w:color w:val="1E293B"/>
        </w:rPr>
        <w:t>: The course immediately appears in every affiliated franchise's course directory, allowing local centers to activate it and start enrolling students.</w:t>
      </w:r>
    </w:p>
    <w:p>
      <w:r>
        <w:br w:type="page"/>
      </w:r>
    </w:p>
    <w:p>
      <w:pPr>
        <w:spacing w:before="320" w:after="120"/>
      </w:pPr>
      <w:r>
        <w:rPr>
          <w:b/>
          <w:color w:val="0F172A"/>
          <w:sz w:val="32"/>
        </w:rPr>
        <w:t>Chapter 5: Central Financials, Wallet Top-Ups &amp; Token Economy</w:t>
      </w:r>
    </w:p>
    <w:p>
      <w:pPr>
        <w:spacing w:before="240" w:after="80"/>
      </w:pPr>
      <w:r>
        <w:rPr>
          <w:b/>
          <w:color w:val="4F46E5"/>
          <w:sz w:val="26"/>
        </w:rPr>
        <w:t>5.1 Architecture of the Token Economy</w:t>
      </w:r>
    </w:p>
    <w:p>
      <w:pPr>
        <w:spacing w:after="120" w:before="0" w:line="276" w:lineRule="auto"/>
      </w:pPr>
      <w:r>
        <w:rPr>
          <w:color w:val="1E293B"/>
        </w:rPr>
        <w:t xml:space="preserve">ABCD Edu Hub avoids cumbersome payment gateway surcharges and delayed settlements by utilizing an internal </w:t>
      </w:r>
      <w:r>
        <w:rPr>
          <w:b/>
          <w:color w:val="0F172A"/>
        </w:rPr>
        <w:t>Token / Credit Economy</w:t>
      </w:r>
      <w:r>
        <w:rPr>
          <w:color w:val="1E293B"/>
        </w:rPr>
        <w:t>.</w:t>
      </w:r>
    </w:p>
    <w:p>
      <w:pPr>
        <w:spacing w:before="200" w:after="60"/>
      </w:pPr>
      <w:r>
        <w:rPr>
          <w:b/>
          <w:color w:val="1E3A8A"/>
          <w:sz w:val="22"/>
        </w:rPr>
        <w:t>Token Value &amp; Utility:</w:t>
      </w:r>
    </w:p>
    <w:p>
      <w:pPr>
        <w:pStyle w:val="ListBullet"/>
        <w:spacing w:after="60" w:before="20" w:line="276" w:lineRule="auto"/>
      </w:pPr>
      <w:r>
        <w:rPr>
          <w:b/>
          <w:color w:val="0F172A"/>
        </w:rPr>
        <w:t>1 Token = ₹1</w:t>
      </w:r>
      <w:r>
        <w:rPr>
          <w:color w:val="1E293B"/>
        </w:rPr>
        <w:t xml:space="preserve"> (or custom exchange defined by Head Office).</w:t>
      </w:r>
    </w:p>
    <w:p>
      <w:pPr>
        <w:pStyle w:val="ListBullet"/>
        <w:spacing w:after="60" w:before="20" w:line="276" w:lineRule="auto"/>
      </w:pPr>
      <w:r>
        <w:rPr>
          <w:color w:val="1E293B"/>
        </w:rPr>
        <w:t>Franchises purchase token packages in bulk via direct UPI or Bank Transfer to Head Office.</w:t>
      </w:r>
    </w:p>
    <w:p>
      <w:pPr>
        <w:pStyle w:val="ListBullet"/>
        <w:spacing w:after="60" w:before="20" w:line="276" w:lineRule="auto"/>
      </w:pPr>
      <w:r>
        <w:rPr>
          <w:color w:val="1E293B"/>
        </w:rPr>
        <w:t>Tokens are automatically deducted from the franchise's wallet whenever the center uses central automated services:</w:t>
      </w:r>
    </w:p>
    <w:p>
      <w:pPr>
        <w:pStyle w:val="ListBullet"/>
        <w:spacing w:after="60" w:before="20" w:line="276" w:lineRule="auto"/>
      </w:pPr>
      <w:r>
        <w:rPr>
          <w:color w:val="1E293B"/>
        </w:rPr>
        <w:t xml:space="preserve">AI Exam Paper Generation (e.g., </w:t>
      </w:r>
      <w:r>
        <w:rPr>
          <w:i/>
        </w:rPr>
        <w:t>15 Tokens</w:t>
      </w:r>
      <w:r>
        <w:rPr>
          <w:color w:val="1E293B"/>
        </w:rPr>
        <w:t>).</w:t>
      </w:r>
    </w:p>
    <w:p>
      <w:pPr>
        <w:pStyle w:val="ListBullet"/>
        <w:spacing w:after="60" w:before="20" w:line="276" w:lineRule="auto"/>
      </w:pPr>
      <w:r>
        <w:rPr>
          <w:color w:val="1E293B"/>
        </w:rPr>
        <w:t xml:space="preserve">High-Resolution PVC Student ID Card Issuance (e.g., </w:t>
      </w:r>
      <w:r>
        <w:rPr>
          <w:i/>
        </w:rPr>
        <w:t>20 Tokens</w:t>
      </w:r>
      <w:r>
        <w:rPr>
          <w:color w:val="1E293B"/>
        </w:rPr>
        <w:t>).</w:t>
      </w:r>
    </w:p>
    <w:p>
      <w:pPr>
        <w:pStyle w:val="ListBullet"/>
        <w:spacing w:after="60" w:before="20" w:line="276" w:lineRule="auto"/>
      </w:pPr>
      <w:r>
        <w:rPr>
          <w:color w:val="1E293B"/>
        </w:rPr>
        <w:t xml:space="preserve">Accredited Certificate with Anti-Counterfeit QR Code (e.g., </w:t>
      </w:r>
      <w:r>
        <w:rPr>
          <w:i/>
        </w:rPr>
        <w:t>50 Tokens</w:t>
      </w:r>
      <w:r>
        <w:rPr>
          <w:color w:val="1E293B"/>
        </w:rPr>
        <w:t>).</w:t>
      </w:r>
    </w:p>
    <w:p>
      <w:pPr>
        <w:spacing w:after="120"/>
      </w:pPr>
    </w:p>
    <w:p>
      <w:pPr>
        <w:spacing w:before="240" w:after="80"/>
      </w:pPr>
      <w:r>
        <w:rPr>
          <w:b/>
          <w:color w:val="4F46E5"/>
          <w:sz w:val="26"/>
        </w:rPr>
        <w:t>5.2 Configuring Central Payment Credentials</w:t>
      </w:r>
    </w:p>
    <w:p>
      <w:pPr>
        <w:spacing w:after="120" w:before="0" w:line="276" w:lineRule="auto"/>
      </w:pPr>
      <w:r>
        <w:rPr>
          <w:color w:val="1E293B"/>
        </w:rPr>
        <w:t>Franchise owners see Head Office banking details when requesting a wallet top-up. Keep these up to date:</w:t>
      </w:r>
    </w:p>
    <w:p>
      <w:pPr>
        <w:pStyle w:val="ListNumber"/>
        <w:spacing w:after="60" w:before="20" w:line="276" w:lineRule="auto"/>
      </w:pPr>
      <w:r>
        <w:rPr>
          <w:color w:val="1E293B"/>
        </w:rPr>
        <w:t xml:space="preserve">Navigate to </w:t>
      </w:r>
      <w:r>
        <w:rPr>
          <w:b/>
          <w:color w:val="0F172A"/>
        </w:rPr>
        <w:t>Wallet Economy</w:t>
      </w:r>
      <w:r>
        <w:rPr>
          <w:color w:val="1E293B"/>
        </w:rPr>
        <w:t xml:space="preserve"> (</w:t>
      </w:r>
      <w:r>
        <w:rPr>
          <w:rFonts w:ascii="Consolas" w:hAnsi="Consolas"/>
          <w:color w:val="4F46E5"/>
          <w:sz w:val="19"/>
        </w:rPr>
        <w:t>/super-admin/wallet</w:t>
      </w:r>
      <w:r>
        <w:rPr>
          <w:color w:val="1E293B"/>
        </w:rPr>
        <w:t>).</w:t>
      </w:r>
    </w:p>
    <w:p>
      <w:pPr>
        <w:pStyle w:val="ListNumber"/>
        <w:spacing w:after="60" w:before="20" w:line="276" w:lineRule="auto"/>
      </w:pPr>
      <w:r>
        <w:rPr>
          <w:color w:val="1E293B"/>
        </w:rPr>
        <w:t xml:space="preserve">Click the </w:t>
      </w:r>
      <w:r>
        <w:rPr>
          <w:b/>
          <w:color w:val="0F172A"/>
        </w:rPr>
        <w:t>"Payment Methods Config"</w:t>
      </w:r>
      <w:r>
        <w:rPr>
          <w:color w:val="1E293B"/>
        </w:rPr>
        <w:t xml:space="preserve"> tab.</w:t>
      </w:r>
    </w:p>
    <w:p>
      <w:pPr>
        <w:pStyle w:val="ListNumber"/>
        <w:spacing w:after="60" w:before="20" w:line="276" w:lineRule="auto"/>
      </w:pPr>
      <w:r>
        <w:rPr>
          <w:color w:val="1E293B"/>
        </w:rPr>
        <w:t>Update the following fields:</w:t>
      </w:r>
    </w:p>
    <w:p>
      <w:pPr>
        <w:pStyle w:val="ListBullet"/>
        <w:spacing w:after="60" w:before="20" w:line="276" w:lineRule="auto"/>
      </w:pPr>
      <w:r>
        <w:rPr>
          <w:b/>
          <w:color w:val="0F172A"/>
        </w:rPr>
        <w:t>Central UPI ID</w:t>
      </w:r>
      <w:r>
        <w:rPr>
          <w:color w:val="1E293B"/>
        </w:rPr>
        <w:t xml:space="preserve">: (e.g., </w:t>
      </w:r>
      <w:r>
        <w:rPr>
          <w:rFonts w:ascii="Consolas" w:hAnsi="Consolas"/>
          <w:color w:val="4F46E5"/>
          <w:sz w:val="19"/>
        </w:rPr>
        <w:t>abcdeduhub@okhdfcbank</w:t>
      </w:r>
      <w:r>
        <w:rPr>
          <w:color w:val="1E293B"/>
        </w:rPr>
        <w:t>).</w:t>
      </w:r>
    </w:p>
    <w:p>
      <w:pPr>
        <w:pStyle w:val="ListBullet"/>
        <w:spacing w:after="60" w:before="20" w:line="276" w:lineRule="auto"/>
      </w:pPr>
      <w:r>
        <w:rPr>
          <w:b/>
          <w:color w:val="0F172A"/>
        </w:rPr>
        <w:t>UPI QR Code Image</w:t>
      </w:r>
      <w:r>
        <w:rPr>
          <w:color w:val="1E293B"/>
        </w:rPr>
        <w:t>: Upload your central merchant QR code graphic.</w:t>
      </w:r>
    </w:p>
    <w:p>
      <w:pPr>
        <w:pStyle w:val="ListBullet"/>
        <w:spacing w:after="60" w:before="20" w:line="276" w:lineRule="auto"/>
      </w:pPr>
      <w:r>
        <w:rPr>
          <w:b/>
          <w:color w:val="0F172A"/>
        </w:rPr>
        <w:t>Bank Account Name</w:t>
      </w:r>
      <w:r>
        <w:rPr>
          <w:color w:val="1E293B"/>
        </w:rPr>
        <w:t xml:space="preserve">: (e.g., </w:t>
      </w:r>
      <w:r>
        <w:rPr>
          <w:i/>
        </w:rPr>
        <w:t>ABCD Educational Trust Private Limited</w:t>
      </w:r>
      <w:r>
        <w:rPr>
          <w:color w:val="1E293B"/>
        </w:rPr>
        <w:t>).</w:t>
      </w:r>
    </w:p>
    <w:p>
      <w:pPr>
        <w:pStyle w:val="ListBullet"/>
        <w:spacing w:after="60" w:before="20" w:line="276" w:lineRule="auto"/>
      </w:pPr>
      <w:r>
        <w:rPr>
          <w:b/>
          <w:color w:val="0F172A"/>
        </w:rPr>
        <w:t>Bank Name &amp; Branch</w:t>
      </w:r>
      <w:r>
        <w:rPr>
          <w:color w:val="1E293B"/>
        </w:rPr>
        <w:t xml:space="preserve">: (e.g., </w:t>
      </w:r>
      <w:r>
        <w:rPr>
          <w:i/>
        </w:rPr>
        <w:t>HDFC Bank, Salt Lake Branch</w:t>
      </w:r>
      <w:r>
        <w:rPr>
          <w:color w:val="1E293B"/>
        </w:rPr>
        <w:t>).</w:t>
      </w:r>
    </w:p>
    <w:p>
      <w:pPr>
        <w:pStyle w:val="ListBullet"/>
        <w:spacing w:after="60" w:before="20" w:line="276" w:lineRule="auto"/>
      </w:pPr>
      <w:r>
        <w:rPr>
          <w:b/>
          <w:color w:val="0F172A"/>
        </w:rPr>
        <w:t>Account Number &amp; IFSC Code</w:t>
      </w:r>
      <w:r>
        <w:rPr>
          <w:color w:val="1E293B"/>
        </w:rPr>
        <w:t>.</w:t>
      </w:r>
    </w:p>
    <w:p>
      <w:pPr>
        <w:pStyle w:val="ListNumber"/>
        <w:spacing w:after="60" w:before="20" w:line="276" w:lineRule="auto"/>
      </w:pPr>
      <w:r>
        <w:rPr>
          <w:color w:val="1E293B"/>
        </w:rPr>
        <w:t xml:space="preserve">Click </w:t>
      </w:r>
      <w:r>
        <w:rPr>
          <w:b/>
          <w:color w:val="0F172A"/>
        </w:rPr>
        <w:t>"Save Payment Methods"</w:t>
      </w:r>
      <w:r>
        <w:rPr>
          <w:color w:val="1E293B"/>
        </w:rPr>
        <w:t>.</w:t>
      </w:r>
    </w:p>
    <w:p>
      <w:pPr>
        <w:spacing w:after="120"/>
      </w:pPr>
    </w:p>
    <w:p>
      <w:pPr>
        <w:spacing w:before="240" w:after="80"/>
      </w:pPr>
      <w:r>
        <w:rPr>
          <w:b/>
          <w:color w:val="4F46E5"/>
          <w:sz w:val="26"/>
        </w:rPr>
        <w:t>5.3 Reviewing &amp; Approving Franchise Wallet Recharge Requests</w:t>
      </w:r>
    </w:p>
    <w:p>
      <w:pPr>
        <w:spacing w:after="120" w:before="0" w:line="276" w:lineRule="auto"/>
      </w:pPr>
      <w:r>
        <w:rPr>
          <w:color w:val="1E293B"/>
        </w:rPr>
        <w:t>When a franchise submits a top-up request, a pulsing badge appears on the Super Admin sidebar.</w:t>
      </w:r>
    </w:p>
    <w:p>
      <w:pPr>
        <w:spacing w:before="200" w:after="60"/>
      </w:pPr>
      <w:r>
        <w:rPr>
          <w:b/>
          <w:color w:val="1E3A8A"/>
          <w:sz w:val="22"/>
        </w:rPr>
        <w:t>Step-by-Step Approval Workflow:</w:t>
      </w:r>
    </w:p>
    <w:p>
      <w:pPr>
        <w:pStyle w:val="ListNumber"/>
        <w:spacing w:after="60" w:before="20" w:line="276" w:lineRule="auto"/>
      </w:pPr>
      <w:r>
        <w:rPr>
          <w:color w:val="1E293B"/>
        </w:rPr>
        <w:t xml:space="preserve">Go to </w:t>
      </w:r>
      <w:r>
        <w:rPr>
          <w:b/>
          <w:color w:val="0F172A"/>
        </w:rPr>
        <w:t>Wallet Economy</w:t>
      </w:r>
      <w:r>
        <w:rPr>
          <w:color w:val="1E293B"/>
        </w:rPr>
        <w:t xml:space="preserve"> (</w:t>
      </w:r>
      <w:r>
        <w:rPr>
          <w:rFonts w:ascii="Consolas" w:hAnsi="Consolas"/>
          <w:color w:val="4F46E5"/>
          <w:sz w:val="19"/>
        </w:rPr>
        <w:t>/super-admin/wallet</w:t>
      </w:r>
      <w:r>
        <w:rPr>
          <w:color w:val="1E293B"/>
        </w:rPr>
        <w:t>).</w:t>
      </w:r>
    </w:p>
    <w:p>
      <w:pPr>
        <w:pStyle w:val="ListNumber"/>
        <w:spacing w:after="60" w:before="20" w:line="276" w:lineRule="auto"/>
      </w:pPr>
      <w:r>
        <w:rPr>
          <w:color w:val="1E293B"/>
        </w:rPr>
        <w:t xml:space="preserve">In the </w:t>
      </w:r>
      <w:r>
        <w:rPr>
          <w:b/>
          <w:color w:val="0F172A"/>
        </w:rPr>
        <w:t>"Pending Top-Up Requests"</w:t>
      </w:r>
      <w:r>
        <w:rPr>
          <w:color w:val="1E293B"/>
        </w:rPr>
        <w:t xml:space="preserve"> table, review each submission:</w:t>
      </w:r>
    </w:p>
    <w:p>
      <w:pPr>
        <w:pStyle w:val="ListBullet"/>
        <w:spacing w:after="60" w:before="20" w:line="276" w:lineRule="auto"/>
      </w:pPr>
      <w:r>
        <w:rPr>
          <w:b/>
          <w:color w:val="0F172A"/>
        </w:rPr>
        <w:t>Franchise Name &amp; Center Code</w:t>
      </w:r>
      <w:r>
        <w:rPr>
          <w:color w:val="1E293B"/>
        </w:rPr>
        <w:t xml:space="preserve"> (e.g., </w:t>
      </w:r>
      <w:r>
        <w:rPr>
          <w:i/>
        </w:rPr>
        <w:t>WB-002 Kolkata</w:t>
      </w:r>
      <w:r>
        <w:rPr>
          <w:color w:val="1E293B"/>
        </w:rPr>
        <w:t>).</w:t>
      </w:r>
    </w:p>
    <w:p>
      <w:pPr>
        <w:pStyle w:val="ListBullet"/>
        <w:spacing w:after="60" w:before="20" w:line="276" w:lineRule="auto"/>
      </w:pPr>
      <w:r>
        <w:rPr>
          <w:b/>
          <w:color w:val="0F172A"/>
        </w:rPr>
        <w:t>Amount Paid (₹)</w:t>
      </w:r>
      <w:r>
        <w:rPr>
          <w:color w:val="1E293B"/>
        </w:rPr>
        <w:t xml:space="preserve"> and </w:t>
      </w:r>
      <w:r>
        <w:rPr>
          <w:b/>
          <w:color w:val="0F172A"/>
        </w:rPr>
        <w:t>Tokens Requested</w:t>
      </w:r>
      <w:r>
        <w:rPr>
          <w:color w:val="1E293B"/>
        </w:rPr>
        <w:t>.</w:t>
      </w:r>
    </w:p>
    <w:p>
      <w:pPr>
        <w:pStyle w:val="ListBullet"/>
        <w:spacing w:after="60" w:before="20" w:line="276" w:lineRule="auto"/>
      </w:pPr>
      <w:r>
        <w:rPr>
          <w:b/>
          <w:color w:val="0F172A"/>
        </w:rPr>
        <w:t>UTR / Bank Reference Number</w:t>
      </w:r>
      <w:r>
        <w:rPr>
          <w:color w:val="1E293B"/>
        </w:rPr>
        <w:t>.</w:t>
      </w:r>
    </w:p>
    <w:p>
      <w:pPr>
        <w:pStyle w:val="ListBullet"/>
        <w:spacing w:after="60" w:before="20" w:line="276" w:lineRule="auto"/>
      </w:pPr>
      <w:r>
        <w:rPr>
          <w:b/>
          <w:color w:val="0F172A"/>
        </w:rPr>
        <w:t>Date &amp; Timestamp</w:t>
      </w:r>
      <w:r>
        <w:rPr>
          <w:color w:val="1E293B"/>
        </w:rPr>
        <w:t>.</w:t>
      </w:r>
    </w:p>
    <w:p>
      <w:pPr>
        <w:pStyle w:val="ListNumber"/>
        <w:spacing w:after="60" w:before="20" w:line="276" w:lineRule="auto"/>
      </w:pPr>
      <w:r>
        <w:rPr>
          <w:color w:val="1E293B"/>
        </w:rPr>
        <w:t xml:space="preserve">Click the </w:t>
      </w:r>
      <w:r>
        <w:rPr>
          <w:b/>
          <w:color w:val="0F172A"/>
        </w:rPr>
        <w:t>"Inspect Slip"</w:t>
      </w:r>
      <w:r>
        <w:rPr>
          <w:color w:val="1E293B"/>
        </w:rPr>
        <w:t xml:space="preserve"> icon to view the uploaded payment screenshot.</w:t>
      </w:r>
    </w:p>
    <w:p>
      <w:pPr>
        <w:pStyle w:val="ListNumber"/>
        <w:spacing w:after="60" w:before="20" w:line="276" w:lineRule="auto"/>
      </w:pPr>
      <w:r>
        <w:rPr>
          <w:b/>
          <w:color w:val="0F172A"/>
        </w:rPr>
        <w:t>Reconcile with Head Office Bank</w:t>
      </w:r>
      <w:r>
        <w:rPr>
          <w:color w:val="1E293B"/>
        </w:rPr>
        <w:t>:</w:t>
      </w:r>
    </w:p>
    <w:p>
      <w:pPr>
        <w:pStyle w:val="ListBullet"/>
        <w:spacing w:after="60" w:before="20" w:line="276" w:lineRule="auto"/>
      </w:pPr>
      <w:r>
        <w:rPr>
          <w:color w:val="1E293B"/>
        </w:rPr>
        <w:t>Verify the 12-digit UTR in your business bank statement or merchant UPI app.</w:t>
      </w:r>
    </w:p>
    <w:p>
      <w:pPr>
        <w:pStyle w:val="ListNumber"/>
        <w:spacing w:after="60" w:before="20" w:line="276" w:lineRule="auto"/>
      </w:pPr>
      <w:r>
        <w:rPr>
          <w:b/>
          <w:color w:val="0F172A"/>
        </w:rPr>
        <w:t>Take Action</w:t>
      </w:r>
      <w:r>
        <w:rPr>
          <w:color w:val="1E293B"/>
        </w:rPr>
        <w:t>:</w:t>
      </w:r>
    </w:p>
    <w:p>
      <w:pPr>
        <w:pStyle w:val="ListBullet"/>
        <w:spacing w:after="60" w:before="20" w:line="276" w:lineRule="auto"/>
      </w:pPr>
      <w:r>
        <w:rPr>
          <w:b/>
          <w:color w:val="0F172A"/>
        </w:rPr>
        <w:t>Approve Request</w:t>
      </w:r>
      <w:r>
        <w:rPr>
          <w:color w:val="1E293B"/>
        </w:rPr>
        <w:t xml:space="preserve">: Click </w:t>
      </w:r>
      <w:r>
        <w:rPr>
          <w:b/>
          <w:color w:val="0F172A"/>
        </w:rPr>
        <w:t>"Approve Top-Up"</w:t>
      </w:r>
      <w:r>
        <w:rPr>
          <w:color w:val="1E293B"/>
        </w:rPr>
        <w:t xml:space="preserve">. The system executes an atomic transaction, mints the exact token amount into the franchise's wallet, and marks the transaction </w:t>
      </w:r>
      <w:r>
        <w:rPr>
          <w:rFonts w:ascii="Consolas" w:hAnsi="Consolas"/>
          <w:color w:val="4F46E5"/>
          <w:sz w:val="19"/>
        </w:rPr>
        <w:t>COMPLETED</w:t>
      </w:r>
      <w:r>
        <w:rPr>
          <w:color w:val="1E293B"/>
        </w:rPr>
        <w:t>. The center can immediately resume operations.</w:t>
      </w:r>
    </w:p>
    <w:p>
      <w:pPr>
        <w:pStyle w:val="ListBullet"/>
        <w:spacing w:after="60" w:before="20" w:line="276" w:lineRule="auto"/>
      </w:pPr>
      <w:r>
        <w:rPr>
          <w:b/>
          <w:color w:val="0F172A"/>
        </w:rPr>
        <w:t>Reject Request</w:t>
      </w:r>
      <w:r>
        <w:rPr>
          <w:color w:val="1E293B"/>
        </w:rPr>
        <w:t xml:space="preserve">: If the payment reference is fake, duplicate, or not reflected in the bank, click </w:t>
      </w:r>
      <w:r>
        <w:rPr>
          <w:b/>
          <w:color w:val="0F172A"/>
        </w:rPr>
        <w:t>"Reject"</w:t>
      </w:r>
      <w:r>
        <w:rPr>
          <w:color w:val="1E293B"/>
        </w:rPr>
        <w:t xml:space="preserve"> and enter a note (e.g., </w:t>
      </w:r>
      <w:r>
        <w:rPr>
          <w:i/>
        </w:rPr>
        <w:t>UTR not reflected in HDFC statement; please re-upload valid bank transfer receipt</w:t>
      </w:r>
      <w:r>
        <w:rPr>
          <w:color w:val="1E293B"/>
        </w:rPr>
        <w:t>).</w:t>
      </w:r>
    </w:p>
    <w:p>
      <w:pPr>
        <w:spacing w:after="120"/>
      </w:pPr>
    </w:p>
    <w:p>
      <w:pPr>
        <w:spacing w:before="240" w:after="80"/>
      </w:pPr>
      <w:r>
        <w:rPr>
          <w:b/>
          <w:color w:val="4F46E5"/>
          <w:sz w:val="26"/>
        </w:rPr>
        <w:t>5.4 Manual Wallet Token Adjustments</w:t>
      </w:r>
    </w:p>
    <w:p>
      <w:pPr>
        <w:spacing w:after="120" w:before="0" w:line="276" w:lineRule="auto"/>
      </w:pPr>
      <w:r>
        <w:rPr>
          <w:color w:val="1E293B"/>
        </w:rPr>
        <w:t>If you need to grant promotional tokens, issue goodwill compensation, or deduct tokens:</w:t>
      </w:r>
    </w:p>
    <w:p>
      <w:pPr>
        <w:pStyle w:val="ListNumber"/>
        <w:spacing w:after="60" w:before="20" w:line="276" w:lineRule="auto"/>
      </w:pPr>
      <w:r>
        <w:rPr>
          <w:color w:val="1E293B"/>
        </w:rPr>
        <w:t xml:space="preserve">In the </w:t>
      </w:r>
      <w:r>
        <w:rPr>
          <w:b/>
          <w:color w:val="0F172A"/>
        </w:rPr>
        <w:t>"Franchise Wallets"</w:t>
      </w:r>
      <w:r>
        <w:rPr>
          <w:color w:val="1E293B"/>
        </w:rPr>
        <w:t xml:space="preserve"> directory, locate the target center.</w:t>
      </w:r>
    </w:p>
    <w:p>
      <w:pPr>
        <w:pStyle w:val="ListNumber"/>
        <w:spacing w:after="60" w:before="20" w:line="276" w:lineRule="auto"/>
      </w:pPr>
      <w:r>
        <w:rPr>
          <w:color w:val="1E293B"/>
        </w:rPr>
        <w:t xml:space="preserve">Click </w:t>
      </w:r>
      <w:r>
        <w:rPr>
          <w:b/>
          <w:color w:val="0F172A"/>
        </w:rPr>
        <w:t>"Adjust Wallet Balance"</w:t>
      </w:r>
      <w:r>
        <w:rPr>
          <w:color w:val="1E293B"/>
        </w:rPr>
        <w:t>.</w:t>
      </w:r>
    </w:p>
    <w:p>
      <w:pPr>
        <w:pStyle w:val="ListNumber"/>
        <w:spacing w:after="60" w:before="20" w:line="276" w:lineRule="auto"/>
      </w:pPr>
      <w:r>
        <w:rPr>
          <w:color w:val="1E293B"/>
        </w:rPr>
        <w:t xml:space="preserve">Select </w:t>
      </w:r>
      <w:r>
        <w:rPr>
          <w:b/>
          <w:color w:val="0F172A"/>
        </w:rPr>
        <w:t>Credit (+)</w:t>
      </w:r>
      <w:r>
        <w:rPr>
          <w:color w:val="1E293B"/>
        </w:rPr>
        <w:t xml:space="preserve"> or </w:t>
      </w:r>
      <w:r>
        <w:rPr>
          <w:b/>
          <w:color w:val="0F172A"/>
        </w:rPr>
        <w:t>Debit (-)</w:t>
      </w:r>
      <w:r>
        <w:rPr>
          <w:color w:val="1E293B"/>
        </w:rPr>
        <w:t>.</w:t>
      </w:r>
    </w:p>
    <w:p>
      <w:pPr>
        <w:pStyle w:val="ListNumber"/>
        <w:spacing w:after="60" w:before="20" w:line="276" w:lineRule="auto"/>
      </w:pPr>
      <w:r>
        <w:rPr>
          <w:color w:val="1E293B"/>
        </w:rPr>
        <w:t xml:space="preserve">Enter the token amount and an </w:t>
      </w:r>
      <w:r>
        <w:rPr>
          <w:b/>
          <w:color w:val="0F172A"/>
        </w:rPr>
        <w:t>Audit Reason</w:t>
      </w:r>
      <w:r>
        <w:rPr>
          <w:color w:val="1E293B"/>
        </w:rPr>
        <w:t xml:space="preserve"> (e.g., </w:t>
      </w:r>
      <w:r>
        <w:rPr>
          <w:i/>
        </w:rPr>
        <w:t>Annual Affiliation Bonus Credits</w:t>
      </w:r>
      <w:r>
        <w:rPr>
          <w:color w:val="1E293B"/>
        </w:rPr>
        <w:t>).</w:t>
      </w:r>
    </w:p>
    <w:p>
      <w:pPr>
        <w:pStyle w:val="ListNumber"/>
        <w:spacing w:after="60" w:before="20" w:line="276" w:lineRule="auto"/>
      </w:pPr>
      <w:r>
        <w:rPr>
          <w:color w:val="1E293B"/>
        </w:rPr>
        <w:t>Confirm the transaction. The adjustment is permanently logged in the system audit trail.</w:t>
      </w:r>
    </w:p>
    <w:p>
      <w:pPr>
        <w:spacing w:after="120"/>
      </w:pPr>
    </w:p>
    <w:p>
      <w:pPr>
        <w:spacing w:before="240" w:after="80"/>
      </w:pPr>
      <w:r>
        <w:rPr>
          <w:b/>
          <w:color w:val="4F46E5"/>
          <w:sz w:val="26"/>
        </w:rPr>
        <w:t>5.5 Financial Analytics &amp; Reporting</w:t>
      </w:r>
    </w:p>
    <w:p>
      <w:pPr>
        <w:spacing w:after="120" w:before="0" w:line="276" w:lineRule="auto"/>
      </w:pPr>
      <w:r>
        <w:rPr>
          <w:color w:val="1E293B"/>
        </w:rPr>
        <w:t xml:space="preserve">The </w:t>
      </w:r>
      <w:r>
        <w:rPr>
          <w:b/>
          <w:color w:val="0F172A"/>
        </w:rPr>
        <w:t>Wallet Analytics Tab</w:t>
      </w:r>
      <w:r>
        <w:rPr>
          <w:color w:val="1E293B"/>
        </w:rPr>
        <w:t xml:space="preserve"> (</w:t>
      </w:r>
      <w:r>
        <w:rPr>
          <w:rFonts w:ascii="Consolas" w:hAnsi="Consolas"/>
          <w:color w:val="4F46E5"/>
          <w:sz w:val="19"/>
        </w:rPr>
        <w:t>/super-admin/wallet</w:t>
      </w:r>
      <w:r>
        <w:rPr>
          <w:color w:val="1E293B"/>
        </w:rPr>
        <w:t>) aggregates network-wide metrics:</w:t>
      </w:r>
    </w:p>
    <w:p>
      <w:pPr>
        <w:pStyle w:val="ListBullet"/>
        <w:spacing w:after="60" w:before="20" w:line="276" w:lineRule="auto"/>
      </w:pPr>
      <w:r>
        <w:rPr>
          <w:color w:val="1E293B"/>
        </w:rPr>
        <w:t>Total Gross Token Sales (Weekly, Monthly, Lifetime).</w:t>
      </w:r>
    </w:p>
    <w:p>
      <w:pPr>
        <w:pStyle w:val="ListBullet"/>
        <w:spacing w:after="60" w:before="20" w:line="276" w:lineRule="auto"/>
      </w:pPr>
      <w:r>
        <w:rPr>
          <w:color w:val="1E293B"/>
        </w:rPr>
        <w:t>Most Active Franchises by Token Utilization.</w:t>
      </w:r>
    </w:p>
    <w:p>
      <w:pPr>
        <w:pStyle w:val="ListBullet"/>
        <w:spacing w:after="60" w:before="20" w:line="276" w:lineRule="auto"/>
      </w:pPr>
      <w:r>
        <w:rPr>
          <w:color w:val="1E293B"/>
        </w:rPr>
        <w:t>Central Service Usage Breakdown (Percentage spent on ID cards vs Certificates vs AI Exams).</w:t>
      </w:r>
    </w:p>
    <w:p>
      <w:r>
        <w:br w:type="page"/>
      </w:r>
    </w:p>
    <w:p>
      <w:pPr>
        <w:spacing w:before="320" w:after="120"/>
      </w:pPr>
      <w:r>
        <w:rPr>
          <w:b/>
          <w:color w:val="0F172A"/>
          <w:sz w:val="32"/>
        </w:rPr>
        <w:t>Chapter 6: Document Designer System</w:t>
      </w:r>
    </w:p>
    <w:p>
      <w:pPr>
        <w:spacing w:before="240" w:after="80"/>
      </w:pPr>
      <w:r>
        <w:rPr>
          <w:b/>
          <w:color w:val="4F46E5"/>
          <w:sz w:val="26"/>
        </w:rPr>
        <w:t>6.1 Central Credential Standardization</w:t>
      </w:r>
    </w:p>
    <w:p>
      <w:pPr>
        <w:spacing w:after="120" w:before="0" w:line="276" w:lineRule="auto"/>
      </w:pPr>
      <w:r>
        <w:rPr>
          <w:color w:val="1E293B"/>
        </w:rPr>
        <w:t xml:space="preserve">To maintain academic credibility, certificates and ID cards issued across all franchises must adhere to strict, unified visual and legal standards. The </w:t>
      </w:r>
      <w:r>
        <w:rPr>
          <w:b/>
          <w:color w:val="0F172A"/>
        </w:rPr>
        <w:t>Document Designer</w:t>
      </w:r>
      <w:r>
        <w:rPr>
          <w:color w:val="1E293B"/>
        </w:rPr>
        <w:t xml:space="preserve"> (</w:t>
      </w:r>
      <w:r>
        <w:rPr>
          <w:rFonts w:ascii="Consolas" w:hAnsi="Consolas"/>
          <w:color w:val="4F46E5"/>
          <w:sz w:val="19"/>
        </w:rPr>
        <w:t>/super-admin/documents</w:t>
      </w:r>
      <w:r>
        <w:rPr>
          <w:color w:val="1E293B"/>
        </w:rPr>
        <w:t>) gives the Super Admin complete control over template layouts and dynamic data bindings.</w:t>
      </w:r>
    </w:p>
    <w:p>
      <w:pPr>
        <w:spacing w:after="120"/>
      </w:pPr>
    </w:p>
    <w:p>
      <w:pPr>
        <w:spacing w:before="240" w:after="80"/>
      </w:pPr>
      <w:r>
        <w:rPr>
          <w:b/>
          <w:color w:val="4F46E5"/>
          <w:sz w:val="26"/>
        </w:rPr>
        <w:t>6.2 Supported Document Templates</w:t>
      </w:r>
    </w:p>
    <w:p>
      <w:pPr>
        <w:pStyle w:val="ListNumber"/>
        <w:spacing w:after="60" w:before="20" w:line="276" w:lineRule="auto"/>
      </w:pPr>
      <w:r>
        <w:rPr>
          <w:b/>
          <w:color w:val="0F172A"/>
        </w:rPr>
        <w:t>Accredited Course Certificates</w:t>
      </w:r>
      <w:r>
        <w:rPr>
          <w:color w:val="1E293B"/>
        </w:rPr>
        <w:t>: High-resolution, ornamental landscape documents awarded upon curriculum completion.</w:t>
      </w:r>
    </w:p>
    <w:p>
      <w:pPr>
        <w:pStyle w:val="ListNumber"/>
        <w:spacing w:after="60" w:before="20" w:line="276" w:lineRule="auto"/>
      </w:pPr>
      <w:r>
        <w:rPr>
          <w:b/>
          <w:color w:val="0F172A"/>
        </w:rPr>
        <w:t>Student PVC ID Cards</w:t>
      </w:r>
      <w:r>
        <w:rPr>
          <w:color w:val="1E293B"/>
        </w:rPr>
        <w:t>: Compact portrait credit-card format (CR80 standard: 85.6mm x 53.98mm) featuring dual-sided layouts.</w:t>
      </w:r>
    </w:p>
    <w:p>
      <w:pPr>
        <w:pStyle w:val="ListNumber"/>
        <w:spacing w:after="60" w:before="20" w:line="276" w:lineRule="auto"/>
      </w:pPr>
      <w:r>
        <w:rPr>
          <w:b/>
          <w:color w:val="0F172A"/>
        </w:rPr>
        <w:t>Student Registration Cards</w:t>
      </w:r>
      <w:r>
        <w:rPr>
          <w:color w:val="1E293B"/>
        </w:rPr>
        <w:t>: Official enrollment proof cards with central board registration seals.</w:t>
      </w:r>
    </w:p>
    <w:p>
      <w:pPr>
        <w:pStyle w:val="ListNumber"/>
        <w:spacing w:after="60" w:before="20" w:line="276" w:lineRule="auto"/>
      </w:pPr>
      <w:r>
        <w:rPr>
          <w:b/>
          <w:color w:val="0F172A"/>
        </w:rPr>
        <w:t>Academic Marksheets &amp; Transcripts</w:t>
      </w:r>
      <w:r>
        <w:rPr>
          <w:color w:val="1E293B"/>
        </w:rPr>
        <w:t>: Detailed semester scorecards displaying theory, practical, and viva marks.</w:t>
      </w:r>
    </w:p>
    <w:p>
      <w:pPr>
        <w:spacing w:after="120"/>
      </w:pPr>
    </w:p>
    <w:p>
      <w:pPr>
        <w:spacing w:before="240" w:after="80"/>
      </w:pPr>
      <w:r>
        <w:rPr>
          <w:b/>
          <w:color w:val="4F46E5"/>
          <w:sz w:val="26"/>
        </w:rPr>
        <w:t>6.3 Configuring Dynamic Data Placeholders</w:t>
      </w:r>
    </w:p>
    <w:p>
      <w:pPr>
        <w:spacing w:after="120" w:before="0" w:line="276" w:lineRule="auto"/>
      </w:pPr>
      <w:r>
        <w:rPr>
          <w:color w:val="1E293B"/>
        </w:rPr>
        <w:t>When designing templates, you insert dynamic tokens that automatically resolve to the specific student's verified records upon generation:</w:t>
      </w:r>
    </w:p>
    <w:tbl>
      <w:tblPr>
        <w:tblW w:type="auto" w:w="0"/>
        <w:jc w:val="center"/>
        <w:tblLayout w:type="autofit"/>
        <w:tblLook w:firstColumn="1" w:firstRow="1" w:lastColumn="0" w:lastRow="0" w:noHBand="0" w:noVBand="1" w:val="04A0"/>
      </w:tblPr>
      <w:tblGrid>
        <w:gridCol w:w="4680"/>
        <w:gridCol w:w="4680"/>
      </w:tblGrid>
      <w:tr>
        <w:tc>
          <w:tcPr>
            <w:tcW w:type="dxa" w:w="4680"/>
            <w:vAlign w:val="center"/>
            <w:tcMar>
              <w:top w:w="100" w:type="dxa"/>
              <w:bottom w:w="100" w:type="dxa"/>
              <w:left w:w="140" w:type="dxa"/>
              <w:right w:w="140" w:type="dxa"/>
            </w:tcMar>
            <w:shd w:val="clear" w:color="auto" w:fill="0F172A"/>
          </w:tcPr>
          <w:p>
            <w:pPr>
              <w:spacing w:after="40" w:before="40"/>
            </w:pPr>
            <w:r>
              <w:rPr>
                <w:b/>
                <w:color w:val="FFFFFF"/>
                <w:sz w:val="19"/>
              </w:rPr>
              <w:t>Dynamic Placeholder Token</w:t>
            </w:r>
          </w:p>
        </w:tc>
        <w:tc>
          <w:tcPr>
            <w:tcW w:type="dxa" w:w="4680"/>
            <w:vAlign w:val="center"/>
            <w:tcMar>
              <w:top w:w="100" w:type="dxa"/>
              <w:bottom w:w="100" w:type="dxa"/>
              <w:left w:w="140" w:type="dxa"/>
              <w:right w:w="140" w:type="dxa"/>
            </w:tcMar>
            <w:shd w:val="clear" w:color="auto" w:fill="0F172A"/>
          </w:tcPr>
          <w:p>
            <w:pPr>
              <w:spacing w:after="40" w:before="40"/>
            </w:pPr>
            <w:r>
              <w:rPr>
                <w:b/>
                <w:color w:val="FFFFFF"/>
                <w:sz w:val="19"/>
              </w:rPr>
              <w:t>Output Data Rendered</w:t>
            </w:r>
          </w:p>
        </w:tc>
      </w:tr>
      <w:tr>
        <w:tc>
          <w:tcPr>
            <w:tcW w:type="dxa" w:w="4680"/>
            <w:vAlign w:val="center"/>
            <w:tcMar>
              <w:top w:w="100" w:type="dxa"/>
              <w:bottom w:w="100" w:type="dxa"/>
              <w:left w:w="140" w:type="dxa"/>
              <w:right w:w="140" w:type="dxa"/>
            </w:tcMar>
            <w:shd w:val="clear" w:color="auto" w:fill="F8FAFC"/>
          </w:tcPr>
          <w:p>
            <w:pPr>
              <w:spacing w:after="40" w:before="40"/>
            </w:pPr>
            <w:r>
              <w:rPr>
                <w:rFonts w:ascii="Consolas" w:hAnsi="Consolas"/>
                <w:color w:val="4F46E5"/>
                <w:sz w:val="19"/>
              </w:rPr>
              <w:t>{student_name}</w:t>
            </w:r>
          </w:p>
        </w:tc>
        <w:tc>
          <w:tcPr>
            <w:tcW w:type="dxa" w:w="4680"/>
            <w:vAlign w:val="center"/>
            <w:tcMar>
              <w:top w:w="100" w:type="dxa"/>
              <w:bottom w:w="100" w:type="dxa"/>
              <w:left w:w="140" w:type="dxa"/>
              <w:right w:w="140" w:type="dxa"/>
            </w:tcMar>
            <w:shd w:val="clear" w:color="auto" w:fill="F8FAFC"/>
          </w:tcPr>
          <w:p>
            <w:pPr>
              <w:spacing w:after="40" w:before="40"/>
            </w:pPr>
            <w:r>
              <w:rPr>
                <w:color w:val="1E293B"/>
                <w:sz w:val="19"/>
              </w:rPr>
              <w:t>Full Legal Name of the Student</w:t>
            </w:r>
          </w:p>
        </w:tc>
      </w:tr>
      <w:tr>
        <w:tc>
          <w:tcPr>
            <w:tcW w:type="dxa" w:w="4680"/>
            <w:vAlign w:val="center"/>
            <w:tcMar>
              <w:top w:w="100" w:type="dxa"/>
              <w:bottom w:w="100" w:type="dxa"/>
              <w:left w:w="140" w:type="dxa"/>
              <w:right w:w="140" w:type="dxa"/>
            </w:tcMar>
            <w:shd w:val="clear" w:color="auto" w:fill="FFFFFF"/>
          </w:tcPr>
          <w:p>
            <w:pPr>
              <w:spacing w:after="40" w:before="40"/>
            </w:pPr>
            <w:r>
              <w:rPr>
                <w:rFonts w:ascii="Consolas" w:hAnsi="Consolas"/>
                <w:color w:val="4F46E5"/>
                <w:sz w:val="19"/>
              </w:rPr>
              <w:t>{enrollment_no}</w:t>
            </w:r>
          </w:p>
        </w:tc>
        <w:tc>
          <w:tcPr>
            <w:tcW w:type="dxa" w:w="4680"/>
            <w:vAlign w:val="center"/>
            <w:tcMar>
              <w:top w:w="100" w:type="dxa"/>
              <w:bottom w:w="100" w:type="dxa"/>
              <w:left w:w="140" w:type="dxa"/>
              <w:right w:w="140" w:type="dxa"/>
            </w:tcMar>
            <w:shd w:val="clear" w:color="auto" w:fill="FFFFFF"/>
          </w:tcPr>
          <w:p>
            <w:pPr>
              <w:spacing w:after="40" w:before="40"/>
            </w:pPr>
            <w:r>
              <w:rPr>
                <w:color w:val="1E293B"/>
                <w:sz w:val="19"/>
              </w:rPr>
              <w:t xml:space="preserve">Unique National Enrollment Number (e.g., </w:t>
            </w:r>
            <w:r>
              <w:rPr>
                <w:rFonts w:ascii="Consolas" w:hAnsi="Consolas"/>
                <w:color w:val="4F46E5"/>
                <w:sz w:val="19"/>
              </w:rPr>
              <w:t>WB002-2026-0042</w:t>
            </w:r>
            <w:r>
              <w:rPr>
                <w:color w:val="1E293B"/>
                <w:sz w:val="19"/>
              </w:rPr>
              <w:t>)</w:t>
            </w:r>
          </w:p>
        </w:tc>
      </w:tr>
      <w:tr>
        <w:tc>
          <w:tcPr>
            <w:tcW w:type="dxa" w:w="4680"/>
            <w:vAlign w:val="center"/>
            <w:tcMar>
              <w:top w:w="100" w:type="dxa"/>
              <w:bottom w:w="100" w:type="dxa"/>
              <w:left w:w="140" w:type="dxa"/>
              <w:right w:w="140" w:type="dxa"/>
            </w:tcMar>
            <w:shd w:val="clear" w:color="auto" w:fill="F8FAFC"/>
          </w:tcPr>
          <w:p>
            <w:pPr>
              <w:spacing w:after="40" w:before="40"/>
            </w:pPr>
            <w:r>
              <w:rPr>
                <w:rFonts w:ascii="Consolas" w:hAnsi="Consolas"/>
                <w:color w:val="4F46E5"/>
                <w:sz w:val="19"/>
              </w:rPr>
              <w:t>{father_name}</w:t>
            </w:r>
          </w:p>
        </w:tc>
        <w:tc>
          <w:tcPr>
            <w:tcW w:type="dxa" w:w="4680"/>
            <w:vAlign w:val="center"/>
            <w:tcMar>
              <w:top w:w="100" w:type="dxa"/>
              <w:bottom w:w="100" w:type="dxa"/>
              <w:left w:w="140" w:type="dxa"/>
              <w:right w:w="140" w:type="dxa"/>
            </w:tcMar>
            <w:shd w:val="clear" w:color="auto" w:fill="F8FAFC"/>
          </w:tcPr>
          <w:p>
            <w:pPr>
              <w:spacing w:after="40" w:before="40"/>
            </w:pPr>
            <w:r>
              <w:rPr>
                <w:color w:val="1E293B"/>
                <w:sz w:val="19"/>
              </w:rPr>
              <w:t>Father's / Guardian's Name</w:t>
            </w:r>
          </w:p>
        </w:tc>
      </w:tr>
      <w:tr>
        <w:tc>
          <w:tcPr>
            <w:tcW w:type="dxa" w:w="4680"/>
            <w:vAlign w:val="center"/>
            <w:tcMar>
              <w:top w:w="100" w:type="dxa"/>
              <w:bottom w:w="100" w:type="dxa"/>
              <w:left w:w="140" w:type="dxa"/>
              <w:right w:w="140" w:type="dxa"/>
            </w:tcMar>
            <w:shd w:val="clear" w:color="auto" w:fill="FFFFFF"/>
          </w:tcPr>
          <w:p>
            <w:pPr>
              <w:spacing w:after="40" w:before="40"/>
            </w:pPr>
            <w:r>
              <w:rPr>
                <w:rFonts w:ascii="Consolas" w:hAnsi="Consolas"/>
                <w:color w:val="4F46E5"/>
                <w:sz w:val="19"/>
              </w:rPr>
              <w:t>{course_title}</w:t>
            </w:r>
          </w:p>
        </w:tc>
        <w:tc>
          <w:tcPr>
            <w:tcW w:type="dxa" w:w="4680"/>
            <w:vAlign w:val="center"/>
            <w:tcMar>
              <w:top w:w="100" w:type="dxa"/>
              <w:bottom w:w="100" w:type="dxa"/>
              <w:left w:w="140" w:type="dxa"/>
              <w:right w:w="140" w:type="dxa"/>
            </w:tcMar>
            <w:shd w:val="clear" w:color="auto" w:fill="FFFFFF"/>
          </w:tcPr>
          <w:p>
            <w:pPr>
              <w:spacing w:after="40" w:before="40"/>
            </w:pPr>
            <w:r>
              <w:rPr>
                <w:color w:val="1E293B"/>
                <w:sz w:val="19"/>
              </w:rPr>
              <w:t>Full Title of the Accredited Course</w:t>
            </w:r>
          </w:p>
        </w:tc>
      </w:tr>
      <w:tr>
        <w:tc>
          <w:tcPr>
            <w:tcW w:type="dxa" w:w="4680"/>
            <w:vAlign w:val="center"/>
            <w:tcMar>
              <w:top w:w="100" w:type="dxa"/>
              <w:bottom w:w="100" w:type="dxa"/>
              <w:left w:w="140" w:type="dxa"/>
              <w:right w:w="140" w:type="dxa"/>
            </w:tcMar>
            <w:shd w:val="clear" w:color="auto" w:fill="F8FAFC"/>
          </w:tcPr>
          <w:p>
            <w:pPr>
              <w:spacing w:after="40" w:before="40"/>
            </w:pPr>
            <w:r>
              <w:rPr>
                <w:rFonts w:ascii="Consolas" w:hAnsi="Consolas"/>
                <w:color w:val="4F46E5"/>
                <w:sz w:val="19"/>
              </w:rPr>
              <w:t>{course_duration}</w:t>
            </w:r>
          </w:p>
        </w:tc>
        <w:tc>
          <w:tcPr>
            <w:tcW w:type="dxa" w:w="4680"/>
            <w:vAlign w:val="center"/>
            <w:tcMar>
              <w:top w:w="100" w:type="dxa"/>
              <w:bottom w:w="100" w:type="dxa"/>
              <w:left w:w="140" w:type="dxa"/>
              <w:right w:w="140" w:type="dxa"/>
            </w:tcMar>
            <w:shd w:val="clear" w:color="auto" w:fill="F8FAFC"/>
          </w:tcPr>
          <w:p>
            <w:pPr>
              <w:spacing w:after="40" w:before="40"/>
            </w:pPr>
            <w:r>
              <w:rPr>
                <w:color w:val="1E293B"/>
                <w:sz w:val="19"/>
              </w:rPr>
              <w:t xml:space="preserve">Standard Duration (e.g., </w:t>
            </w:r>
            <w:r>
              <w:rPr>
                <w:i/>
                <w:sz w:val="19"/>
              </w:rPr>
              <w:t>12 Months / 360 Hours</w:t>
            </w:r>
            <w:r>
              <w:rPr>
                <w:color w:val="1E293B"/>
                <w:sz w:val="19"/>
              </w:rPr>
              <w:t>)</w:t>
            </w:r>
          </w:p>
        </w:tc>
      </w:tr>
      <w:tr>
        <w:tc>
          <w:tcPr>
            <w:tcW w:type="dxa" w:w="4680"/>
            <w:vAlign w:val="center"/>
            <w:tcMar>
              <w:top w:w="100" w:type="dxa"/>
              <w:bottom w:w="100" w:type="dxa"/>
              <w:left w:w="140" w:type="dxa"/>
              <w:right w:w="140" w:type="dxa"/>
            </w:tcMar>
            <w:shd w:val="clear" w:color="auto" w:fill="FFFFFF"/>
          </w:tcPr>
          <w:p>
            <w:pPr>
              <w:spacing w:after="40" w:before="40"/>
            </w:pPr>
            <w:r>
              <w:rPr>
                <w:rFonts w:ascii="Consolas" w:hAnsi="Consolas"/>
                <w:color w:val="4F46E5"/>
                <w:sz w:val="19"/>
              </w:rPr>
              <w:t>{center_name}</w:t>
            </w:r>
          </w:p>
        </w:tc>
        <w:tc>
          <w:tcPr>
            <w:tcW w:type="dxa" w:w="4680"/>
            <w:vAlign w:val="center"/>
            <w:tcMar>
              <w:top w:w="100" w:type="dxa"/>
              <w:bottom w:w="100" w:type="dxa"/>
              <w:left w:w="140" w:type="dxa"/>
              <w:right w:w="140" w:type="dxa"/>
            </w:tcMar>
            <w:shd w:val="clear" w:color="auto" w:fill="FFFFFF"/>
          </w:tcPr>
          <w:p>
            <w:pPr>
              <w:spacing w:after="40" w:before="40"/>
            </w:pPr>
            <w:r>
              <w:rPr>
                <w:color w:val="1E293B"/>
                <w:sz w:val="19"/>
              </w:rPr>
              <w:t>Affiliated Franchise Center Name</w:t>
            </w:r>
          </w:p>
        </w:tc>
      </w:tr>
      <w:tr>
        <w:tc>
          <w:tcPr>
            <w:tcW w:type="dxa" w:w="4680"/>
            <w:vAlign w:val="center"/>
            <w:tcMar>
              <w:top w:w="100" w:type="dxa"/>
              <w:bottom w:w="100" w:type="dxa"/>
              <w:left w:w="140" w:type="dxa"/>
              <w:right w:w="140" w:type="dxa"/>
            </w:tcMar>
            <w:shd w:val="clear" w:color="auto" w:fill="F8FAFC"/>
          </w:tcPr>
          <w:p>
            <w:pPr>
              <w:spacing w:after="40" w:before="40"/>
            </w:pPr>
            <w:r>
              <w:rPr>
                <w:rFonts w:ascii="Consolas" w:hAnsi="Consolas"/>
                <w:color w:val="4F46E5"/>
                <w:sz w:val="19"/>
              </w:rPr>
              <w:t>{center_code}</w:t>
            </w:r>
          </w:p>
        </w:tc>
        <w:tc>
          <w:tcPr>
            <w:tcW w:type="dxa" w:w="4680"/>
            <w:vAlign w:val="center"/>
            <w:tcMar>
              <w:top w:w="100" w:type="dxa"/>
              <w:bottom w:w="100" w:type="dxa"/>
              <w:left w:w="140" w:type="dxa"/>
              <w:right w:w="140" w:type="dxa"/>
            </w:tcMar>
            <w:shd w:val="clear" w:color="auto" w:fill="F8FAFC"/>
          </w:tcPr>
          <w:p>
            <w:pPr>
              <w:spacing w:after="40" w:before="40"/>
            </w:pPr>
            <w:r>
              <w:rPr>
                <w:color w:val="1E293B"/>
                <w:sz w:val="19"/>
              </w:rPr>
              <w:t xml:space="preserve">Unique Center Accreditation Code (e.g., </w:t>
            </w:r>
            <w:r>
              <w:rPr>
                <w:rFonts w:ascii="Consolas" w:hAnsi="Consolas"/>
                <w:color w:val="4F46E5"/>
                <w:sz w:val="19"/>
              </w:rPr>
              <w:t>WB-002</w:t>
            </w:r>
            <w:r>
              <w:rPr>
                <w:color w:val="1E293B"/>
                <w:sz w:val="19"/>
              </w:rPr>
              <w:t>)</w:t>
            </w:r>
          </w:p>
        </w:tc>
      </w:tr>
      <w:tr>
        <w:tc>
          <w:tcPr>
            <w:tcW w:type="dxa" w:w="4680"/>
            <w:vAlign w:val="center"/>
            <w:tcMar>
              <w:top w:w="100" w:type="dxa"/>
              <w:bottom w:w="100" w:type="dxa"/>
              <w:left w:w="140" w:type="dxa"/>
              <w:right w:w="140" w:type="dxa"/>
            </w:tcMar>
            <w:shd w:val="clear" w:color="auto" w:fill="FFFFFF"/>
          </w:tcPr>
          <w:p>
            <w:pPr>
              <w:spacing w:after="40" w:before="40"/>
            </w:pPr>
            <w:r>
              <w:rPr>
                <w:rFonts w:ascii="Consolas" w:hAnsi="Consolas"/>
                <w:color w:val="4F46E5"/>
                <w:sz w:val="19"/>
              </w:rPr>
              <w:t>{grade_awarded}</w:t>
            </w:r>
          </w:p>
        </w:tc>
        <w:tc>
          <w:tcPr>
            <w:tcW w:type="dxa" w:w="4680"/>
            <w:vAlign w:val="center"/>
            <w:tcMar>
              <w:top w:w="100" w:type="dxa"/>
              <w:bottom w:w="100" w:type="dxa"/>
              <w:left w:w="140" w:type="dxa"/>
              <w:right w:w="140" w:type="dxa"/>
            </w:tcMar>
            <w:shd w:val="clear" w:color="auto" w:fill="FFFFFF"/>
          </w:tcPr>
          <w:p>
            <w:pPr>
              <w:spacing w:after="40" w:before="40"/>
            </w:pPr>
            <w:r>
              <w:rPr>
                <w:color w:val="1E293B"/>
                <w:sz w:val="19"/>
              </w:rPr>
              <w:t xml:space="preserve">Final Examination Grade (e.g., </w:t>
            </w:r>
            <w:r>
              <w:rPr>
                <w:rFonts w:ascii="Consolas" w:hAnsi="Consolas"/>
                <w:color w:val="4F46E5"/>
                <w:sz w:val="19"/>
              </w:rPr>
              <w:t>A+</w:t>
            </w:r>
            <w:r>
              <w:rPr>
                <w:color w:val="1E293B"/>
                <w:sz w:val="19"/>
              </w:rPr>
              <w:t xml:space="preserve">, </w:t>
            </w:r>
            <w:r>
              <w:rPr>
                <w:rFonts w:ascii="Consolas" w:hAnsi="Consolas"/>
                <w:color w:val="4F46E5"/>
                <w:sz w:val="19"/>
              </w:rPr>
              <w:t>A</w:t>
            </w:r>
            <w:r>
              <w:rPr>
                <w:color w:val="1E293B"/>
                <w:sz w:val="19"/>
              </w:rPr>
              <w:t xml:space="preserve">, </w:t>
            </w:r>
            <w:r>
              <w:rPr>
                <w:rFonts w:ascii="Consolas" w:hAnsi="Consolas"/>
                <w:color w:val="4F46E5"/>
                <w:sz w:val="19"/>
              </w:rPr>
              <w:t>Distinction</w:t>
            </w:r>
            <w:r>
              <w:rPr>
                <w:color w:val="1E293B"/>
                <w:sz w:val="19"/>
              </w:rPr>
              <w:t>)</w:t>
            </w:r>
          </w:p>
        </w:tc>
      </w:tr>
      <w:tr>
        <w:tc>
          <w:tcPr>
            <w:tcW w:type="dxa" w:w="4680"/>
            <w:vAlign w:val="center"/>
            <w:tcMar>
              <w:top w:w="100" w:type="dxa"/>
              <w:bottom w:w="100" w:type="dxa"/>
              <w:left w:w="140" w:type="dxa"/>
              <w:right w:w="140" w:type="dxa"/>
            </w:tcMar>
            <w:shd w:val="clear" w:color="auto" w:fill="F8FAFC"/>
          </w:tcPr>
          <w:p>
            <w:pPr>
              <w:spacing w:after="40" w:before="40"/>
            </w:pPr>
            <w:r>
              <w:rPr>
                <w:rFonts w:ascii="Consolas" w:hAnsi="Consolas"/>
                <w:color w:val="4F46E5"/>
                <w:sz w:val="19"/>
              </w:rPr>
              <w:t>{issue_date}</w:t>
            </w:r>
          </w:p>
        </w:tc>
        <w:tc>
          <w:tcPr>
            <w:tcW w:type="dxa" w:w="4680"/>
            <w:vAlign w:val="center"/>
            <w:tcMar>
              <w:top w:w="100" w:type="dxa"/>
              <w:bottom w:w="100" w:type="dxa"/>
              <w:left w:w="140" w:type="dxa"/>
              <w:right w:w="140" w:type="dxa"/>
            </w:tcMar>
            <w:shd w:val="clear" w:color="auto" w:fill="F8FAFC"/>
          </w:tcPr>
          <w:p>
            <w:pPr>
              <w:spacing w:after="40" w:before="40"/>
            </w:pPr>
            <w:r>
              <w:rPr>
                <w:color w:val="1E293B"/>
                <w:sz w:val="19"/>
              </w:rPr>
              <w:t>Date Document Was Formally Issued</w:t>
            </w:r>
          </w:p>
        </w:tc>
      </w:tr>
      <w:tr>
        <w:tc>
          <w:tcPr>
            <w:tcW w:type="dxa" w:w="4680"/>
            <w:vAlign w:val="center"/>
            <w:tcMar>
              <w:top w:w="100" w:type="dxa"/>
              <w:bottom w:w="100" w:type="dxa"/>
              <w:left w:w="140" w:type="dxa"/>
              <w:right w:w="140" w:type="dxa"/>
            </w:tcMar>
            <w:shd w:val="clear" w:color="auto" w:fill="FFFFFF"/>
          </w:tcPr>
          <w:p>
            <w:pPr>
              <w:spacing w:after="40" w:before="40"/>
            </w:pPr>
            <w:r>
              <w:rPr>
                <w:rFonts w:ascii="Consolas" w:hAnsi="Consolas"/>
                <w:color w:val="4F46E5"/>
                <w:sz w:val="19"/>
              </w:rPr>
              <w:t>{student_photo}</w:t>
            </w:r>
          </w:p>
        </w:tc>
        <w:tc>
          <w:tcPr>
            <w:tcW w:type="dxa" w:w="4680"/>
            <w:vAlign w:val="center"/>
            <w:tcMar>
              <w:top w:w="100" w:type="dxa"/>
              <w:bottom w:w="100" w:type="dxa"/>
              <w:left w:w="140" w:type="dxa"/>
              <w:right w:w="140" w:type="dxa"/>
            </w:tcMar>
            <w:shd w:val="clear" w:color="auto" w:fill="FFFFFF"/>
          </w:tcPr>
          <w:p>
            <w:pPr>
              <w:spacing w:after="40" w:before="40"/>
            </w:pPr>
            <w:r>
              <w:rPr>
                <w:color w:val="1E293B"/>
                <w:sz w:val="19"/>
              </w:rPr>
              <w:t>High-Resolution Passport Photo of the Student</w:t>
            </w:r>
          </w:p>
        </w:tc>
      </w:tr>
      <w:tr>
        <w:tc>
          <w:tcPr>
            <w:tcW w:type="dxa" w:w="4680"/>
            <w:vAlign w:val="center"/>
            <w:tcMar>
              <w:top w:w="100" w:type="dxa"/>
              <w:bottom w:w="100" w:type="dxa"/>
              <w:left w:w="140" w:type="dxa"/>
              <w:right w:w="140" w:type="dxa"/>
            </w:tcMar>
            <w:shd w:val="clear" w:color="auto" w:fill="F8FAFC"/>
          </w:tcPr>
          <w:p>
            <w:pPr>
              <w:spacing w:after="40" w:before="40"/>
            </w:pPr>
            <w:r>
              <w:rPr>
                <w:rFonts w:ascii="Consolas" w:hAnsi="Consolas"/>
                <w:color w:val="4F46E5"/>
                <w:sz w:val="19"/>
              </w:rPr>
              <w:t>{qr_code}</w:t>
            </w:r>
          </w:p>
        </w:tc>
        <w:tc>
          <w:tcPr>
            <w:tcW w:type="dxa" w:w="4680"/>
            <w:vAlign w:val="center"/>
            <w:tcMar>
              <w:top w:w="100" w:type="dxa"/>
              <w:bottom w:w="100" w:type="dxa"/>
              <w:left w:w="140" w:type="dxa"/>
              <w:right w:w="140" w:type="dxa"/>
            </w:tcMar>
            <w:shd w:val="clear" w:color="auto" w:fill="F8FAFC"/>
          </w:tcPr>
          <w:p>
            <w:pPr>
              <w:spacing w:after="40" w:before="40"/>
            </w:pPr>
            <w:r>
              <w:rPr>
                <w:color w:val="1E293B"/>
                <w:sz w:val="19"/>
              </w:rPr>
              <w:t>Dynamic Anti-Counterfeit Verification QR Code</w:t>
            </w:r>
          </w:p>
        </w:tc>
      </w:tr>
    </w:tbl>
    <w:p>
      <w:pPr>
        <w:spacing w:after="120"/>
      </w:pPr>
    </w:p>
    <w:p>
      <w:pPr>
        <w:spacing w:after="120"/>
      </w:pPr>
    </w:p>
    <w:p>
      <w:pPr>
        <w:spacing w:before="240" w:after="80"/>
      </w:pPr>
      <w:r>
        <w:rPr>
          <w:b/>
          <w:color w:val="4F46E5"/>
          <w:sz w:val="26"/>
        </w:rPr>
        <w:t>6.4 Designing &amp; Customizing a Certificate (Step-by-Step)</w:t>
      </w:r>
    </w:p>
    <w:p>
      <w:pPr>
        <w:pStyle w:val="ListNumber"/>
        <w:spacing w:after="60" w:before="20" w:line="276" w:lineRule="auto"/>
      </w:pPr>
      <w:r>
        <w:rPr>
          <w:color w:val="1E293B"/>
        </w:rPr>
        <w:t xml:space="preserve">Go to </w:t>
      </w:r>
      <w:r>
        <w:rPr>
          <w:b/>
          <w:color w:val="0F172A"/>
        </w:rPr>
        <w:t>Documents</w:t>
      </w:r>
      <w:r>
        <w:rPr>
          <w:color w:val="1E293B"/>
        </w:rPr>
        <w:t xml:space="preserve"> (</w:t>
      </w:r>
      <w:r>
        <w:rPr>
          <w:rFonts w:ascii="Consolas" w:hAnsi="Consolas"/>
          <w:color w:val="4F46E5"/>
          <w:sz w:val="19"/>
        </w:rPr>
        <w:t>/super-admin/documents</w:t>
      </w:r>
      <w:r>
        <w:rPr>
          <w:color w:val="1E293B"/>
        </w:rPr>
        <w:t>).</w:t>
      </w:r>
    </w:p>
    <w:p>
      <w:pPr>
        <w:pStyle w:val="ListNumber"/>
        <w:spacing w:after="60" w:before="20" w:line="276" w:lineRule="auto"/>
      </w:pPr>
      <w:r>
        <w:rPr>
          <w:color w:val="1E293B"/>
        </w:rPr>
        <w:t xml:space="preserve">Select the </w:t>
      </w:r>
      <w:r>
        <w:rPr>
          <w:b/>
          <w:color w:val="0F172A"/>
        </w:rPr>
        <w:t>"Certificate Template"</w:t>
      </w:r>
      <w:r>
        <w:rPr>
          <w:color w:val="1E293B"/>
        </w:rPr>
        <w:t xml:space="preserve"> tab.</w:t>
      </w:r>
    </w:p>
    <w:p>
      <w:pPr>
        <w:pStyle w:val="ListNumber"/>
        <w:spacing w:after="60" w:before="20" w:line="276" w:lineRule="auto"/>
      </w:pPr>
      <w:r>
        <w:rPr>
          <w:b/>
          <w:color w:val="0F172A"/>
        </w:rPr>
        <w:t>Header &amp; Borders</w:t>
      </w:r>
      <w:r>
        <w:rPr>
          <w:color w:val="1E293B"/>
        </w:rPr>
        <w:t>:</w:t>
      </w:r>
    </w:p>
    <w:p>
      <w:pPr>
        <w:pStyle w:val="ListBullet"/>
        <w:spacing w:after="60" w:before="20" w:line="276" w:lineRule="auto"/>
      </w:pPr>
      <w:r>
        <w:rPr>
          <w:color w:val="1E293B"/>
        </w:rPr>
        <w:t>Upload high-resolution central board crest and national accreditation logos.</w:t>
      </w:r>
    </w:p>
    <w:p>
      <w:pPr>
        <w:pStyle w:val="ListBullet"/>
        <w:spacing w:after="60" w:before="20" w:line="276" w:lineRule="auto"/>
      </w:pPr>
      <w:r>
        <w:rPr>
          <w:color w:val="1E293B"/>
        </w:rPr>
        <w:t>Choose ornate geometric guilloche security borders to prevent physical forgery.</w:t>
      </w:r>
    </w:p>
    <w:p>
      <w:pPr>
        <w:pStyle w:val="ListBullet"/>
        <w:spacing w:after="60" w:before="20" w:line="276" w:lineRule="auto"/>
      </w:pPr>
      <w:r>
        <w:rPr>
          <w:color w:val="1E293B"/>
        </w:rPr>
        <w:t>Set the background watermark opacity (recommended: 8% to 12%).</w:t>
      </w:r>
    </w:p>
    <w:p>
      <w:pPr>
        <w:pStyle w:val="ListNumber"/>
        <w:spacing w:after="60" w:before="20" w:line="276" w:lineRule="auto"/>
      </w:pPr>
      <w:r>
        <w:rPr>
          <w:b/>
          <w:color w:val="0F172A"/>
        </w:rPr>
        <w:t>Typography &amp; Styling</w:t>
      </w:r>
      <w:r>
        <w:rPr>
          <w:color w:val="1E293B"/>
        </w:rPr>
        <w:t>:</w:t>
      </w:r>
    </w:p>
    <w:p>
      <w:pPr>
        <w:pStyle w:val="ListBullet"/>
        <w:spacing w:after="60" w:before="20" w:line="276" w:lineRule="auto"/>
      </w:pPr>
      <w:r>
        <w:rPr>
          <w:color w:val="1E293B"/>
        </w:rPr>
        <w:t xml:space="preserve">Configure regal display fonts for student names (e.g., </w:t>
      </w:r>
      <w:r>
        <w:rPr>
          <w:i/>
        </w:rPr>
        <w:t>Cinzel</w:t>
      </w:r>
      <w:r>
        <w:rPr>
          <w:color w:val="1E293B"/>
        </w:rPr>
        <w:t xml:space="preserve">, </w:t>
      </w:r>
      <w:r>
        <w:rPr>
          <w:i/>
        </w:rPr>
        <w:t>Great Vibes</w:t>
      </w:r>
      <w:r>
        <w:rPr>
          <w:color w:val="1E293B"/>
        </w:rPr>
        <w:t xml:space="preserve">, or </w:t>
      </w:r>
      <w:r>
        <w:rPr>
          <w:i/>
        </w:rPr>
        <w:t>Playfair Display</w:t>
      </w:r>
      <w:r>
        <w:rPr>
          <w:color w:val="1E293B"/>
        </w:rPr>
        <w:t>).</w:t>
      </w:r>
    </w:p>
    <w:p>
      <w:pPr>
        <w:pStyle w:val="ListBullet"/>
        <w:spacing w:after="60" w:before="20" w:line="276" w:lineRule="auto"/>
      </w:pPr>
      <w:r>
        <w:rPr>
          <w:color w:val="1E293B"/>
        </w:rPr>
        <w:t>Configure clean serif or sans-serif body typography for legal accreditation text.</w:t>
      </w:r>
    </w:p>
    <w:p>
      <w:pPr>
        <w:pStyle w:val="ListNumber"/>
        <w:spacing w:after="60" w:before="20" w:line="276" w:lineRule="auto"/>
      </w:pPr>
      <w:r>
        <w:rPr>
          <w:b/>
          <w:color w:val="0F172A"/>
        </w:rPr>
        <w:t>Anti-Counterfeit QR Code Placement</w:t>
      </w:r>
      <w:r>
        <w:rPr>
          <w:color w:val="1E293B"/>
        </w:rPr>
        <w:t>:</w:t>
      </w:r>
    </w:p>
    <w:p>
      <w:pPr>
        <w:pStyle w:val="ListBullet"/>
        <w:spacing w:after="60" w:before="20" w:line="276" w:lineRule="auto"/>
      </w:pPr>
      <w:r>
        <w:rPr>
          <w:color w:val="1E293B"/>
        </w:rPr>
        <w:t>Position the dynamic QR code in the bottom-right or bottom-left corner.</w:t>
      </w:r>
    </w:p>
    <w:p>
      <w:pPr>
        <w:pStyle w:val="ListBullet"/>
        <w:spacing w:after="60" w:before="20" w:line="276" w:lineRule="auto"/>
      </w:pPr>
      <w:r>
        <w:rPr>
          <w:color w:val="1E293B"/>
        </w:rPr>
        <w:t xml:space="preserve">Configure the verification redirect destination: </w:t>
      </w:r>
      <w:r>
        <w:rPr>
          <w:rFonts w:ascii="Consolas" w:hAnsi="Consolas"/>
          <w:color w:val="4F46E5"/>
          <w:sz w:val="19"/>
        </w:rPr>
        <w:t>https://abcdeduhub.com/verify/certificate/{certificateNo}</w:t>
      </w:r>
      <w:r>
        <w:rPr>
          <w:color w:val="1E293B"/>
        </w:rPr>
        <w:t>.</w:t>
      </w:r>
    </w:p>
    <w:p>
      <w:pPr>
        <w:pStyle w:val="ListNumber"/>
        <w:spacing w:after="60" w:before="20" w:line="276" w:lineRule="auto"/>
      </w:pPr>
      <w:r>
        <w:rPr>
          <w:b/>
          <w:color w:val="0F172A"/>
        </w:rPr>
        <w:t>Authorized Signatures &amp; Official Seals</w:t>
      </w:r>
      <w:r>
        <w:rPr>
          <w:color w:val="1E293B"/>
        </w:rPr>
        <w:t>:</w:t>
      </w:r>
    </w:p>
    <w:p>
      <w:pPr>
        <w:pStyle w:val="ListBullet"/>
        <w:spacing w:after="60" w:before="20" w:line="276" w:lineRule="auto"/>
      </w:pPr>
      <w:r>
        <w:rPr>
          <w:color w:val="1E293B"/>
        </w:rPr>
        <w:t xml:space="preserve">Upload transparent PNG images of the </w:t>
      </w:r>
      <w:r>
        <w:rPr>
          <w:b/>
          <w:color w:val="0F172A"/>
        </w:rPr>
        <w:t>President / Chairman's Signature</w:t>
      </w:r>
      <w:r>
        <w:rPr>
          <w:color w:val="1E293B"/>
        </w:rPr>
        <w:t xml:space="preserve"> and </w:t>
      </w:r>
      <w:r>
        <w:rPr>
          <w:b/>
          <w:color w:val="0F172A"/>
        </w:rPr>
        <w:t>Controller of Examinations' Signature</w:t>
      </w:r>
      <w:r>
        <w:rPr>
          <w:color w:val="1E293B"/>
        </w:rPr>
        <w:t>.</w:t>
      </w:r>
    </w:p>
    <w:p>
      <w:pPr>
        <w:pStyle w:val="ListBullet"/>
        <w:spacing w:after="60" w:before="20" w:line="276" w:lineRule="auto"/>
      </w:pPr>
      <w:r>
        <w:rPr>
          <w:color w:val="1E293B"/>
        </w:rPr>
        <w:t>Position the central embossed golden seal.</w:t>
      </w:r>
    </w:p>
    <w:p>
      <w:pPr>
        <w:pStyle w:val="ListNumber"/>
        <w:spacing w:after="60" w:before="20" w:line="276" w:lineRule="auto"/>
      </w:pPr>
      <w:r>
        <w:rPr>
          <w:b/>
          <w:color w:val="0F172A"/>
        </w:rPr>
        <w:t>Test with Sample Data</w:t>
      </w:r>
      <w:r>
        <w:rPr>
          <w:color w:val="1E293B"/>
        </w:rPr>
        <w:t>:</w:t>
      </w:r>
    </w:p>
    <w:p>
      <w:pPr>
        <w:pStyle w:val="ListBullet"/>
        <w:spacing w:after="60" w:before="20" w:line="276" w:lineRule="auto"/>
      </w:pPr>
      <w:r>
        <w:rPr>
          <w:color w:val="1E293B"/>
        </w:rPr>
        <w:t xml:space="preserve">Click </w:t>
      </w:r>
      <w:r>
        <w:rPr>
          <w:b/>
          <w:color w:val="0F172A"/>
        </w:rPr>
        <w:t>"Preview with Sample Data"</w:t>
      </w:r>
      <w:r>
        <w:rPr>
          <w:color w:val="1E293B"/>
        </w:rPr>
        <w:t xml:space="preserve"> to verify text alignment, character overflow, and image rendering.</w:t>
      </w:r>
    </w:p>
    <w:p>
      <w:pPr>
        <w:pStyle w:val="ListNumber"/>
        <w:spacing w:after="60" w:before="20" w:line="276" w:lineRule="auto"/>
      </w:pPr>
      <w:r>
        <w:rPr>
          <w:color w:val="1E293B"/>
        </w:rPr>
        <w:t xml:space="preserve">Click </w:t>
      </w:r>
      <w:r>
        <w:rPr>
          <w:b/>
          <w:color w:val="0F172A"/>
        </w:rPr>
        <w:t>"Save &amp; Set as Active Template"</w:t>
      </w:r>
      <w:r>
        <w:rPr>
          <w:color w:val="1E293B"/>
        </w:rPr>
        <w:t>. The new design instantly applies to all future certificate print jobs nationwide.</w:t>
      </w:r>
    </w:p>
    <w:p>
      <w:r>
        <w:br w:type="page"/>
      </w:r>
    </w:p>
    <w:p>
      <w:pPr>
        <w:spacing w:before="320" w:after="120"/>
      </w:pPr>
      <w:r>
        <w:rPr>
          <w:b/>
          <w:color w:val="0F172A"/>
          <w:sz w:val="32"/>
        </w:rPr>
        <w:t>Chapter 7: Global User Management &amp; Role Delegation</w:t>
      </w:r>
    </w:p>
    <w:p>
      <w:pPr>
        <w:spacing w:before="240" w:after="80"/>
      </w:pPr>
      <w:r>
        <w:rPr>
          <w:b/>
          <w:color w:val="4F46E5"/>
          <w:sz w:val="26"/>
        </w:rPr>
        <w:t>7.1 Global User Directory</w:t>
      </w:r>
    </w:p>
    <w:p>
      <w:pPr>
        <w:spacing w:after="120" w:before="0" w:line="276" w:lineRule="auto"/>
      </w:pPr>
      <w:r>
        <w:rPr>
          <w:color w:val="1E293B"/>
        </w:rPr>
        <w:t xml:space="preserve">The </w:t>
      </w:r>
      <w:r>
        <w:rPr>
          <w:b/>
          <w:color w:val="0F172A"/>
        </w:rPr>
        <w:t>Global User Directory</w:t>
      </w:r>
      <w:r>
        <w:rPr>
          <w:color w:val="1E293B"/>
        </w:rPr>
        <w:t xml:space="preserve"> (</w:t>
      </w:r>
      <w:r>
        <w:rPr>
          <w:rFonts w:ascii="Consolas" w:hAnsi="Consolas"/>
          <w:color w:val="4F46E5"/>
          <w:sz w:val="19"/>
        </w:rPr>
        <w:t>/super-admin/users</w:t>
      </w:r>
      <w:r>
        <w:rPr>
          <w:color w:val="1E293B"/>
        </w:rPr>
        <w:t>) is the central identity store for every individual registered on the ABCD Edu Hub network.</w:t>
      </w:r>
    </w:p>
    <w:p>
      <w:pPr>
        <w:spacing w:after="120"/>
      </w:pPr>
    </w:p>
    <w:p>
      <w:pPr>
        <w:spacing w:before="240" w:after="80"/>
      </w:pPr>
      <w:r>
        <w:rPr>
          <w:b/>
          <w:color w:val="4F46E5"/>
          <w:sz w:val="26"/>
        </w:rPr>
        <w:t>7.2 Platform Role Taxonomy</w:t>
      </w:r>
    </w:p>
    <w:p>
      <w:pPr>
        <w:spacing w:after="120" w:before="0" w:line="276" w:lineRule="auto"/>
      </w:pPr>
      <w:r>
        <w:rPr>
          <w:color w:val="1E293B"/>
        </w:rPr>
        <w:t>ABCD Edu Hub enforces strict Role-Based Access Control (RBAC):</w:t>
      </w:r>
    </w:p>
    <w:tbl>
      <w:tblPr>
        <w:tblW w:type="auto" w:w="0"/>
        <w:jc w:val="center"/>
        <w:tblLayout w:type="autofit"/>
        <w:tblLook w:firstColumn="1" w:firstRow="1" w:lastColumn="0" w:lastRow="0" w:noHBand="0" w:noVBand="1" w:val="04A0"/>
      </w:tblPr>
      <w:tblGrid>
        <w:gridCol w:w="3120"/>
        <w:gridCol w:w="3120"/>
        <w:gridCol w:w="3120"/>
      </w:tblGrid>
      <w:tr>
        <w:tc>
          <w:tcPr>
            <w:tcW w:type="dxa" w:w="3120"/>
            <w:vAlign w:val="center"/>
            <w:tcMar>
              <w:top w:w="100" w:type="dxa"/>
              <w:bottom w:w="100" w:type="dxa"/>
              <w:left w:w="140" w:type="dxa"/>
              <w:right w:w="140" w:type="dxa"/>
            </w:tcMar>
            <w:shd w:val="clear" w:color="auto" w:fill="0F172A"/>
          </w:tcPr>
          <w:p>
            <w:pPr>
              <w:spacing w:after="40" w:before="40"/>
            </w:pPr>
            <w:r>
              <w:rPr>
                <w:b/>
                <w:color w:val="FFFFFF"/>
                <w:sz w:val="19"/>
              </w:rPr>
              <w:t>Role Identifier</w:t>
            </w:r>
          </w:p>
        </w:tc>
        <w:tc>
          <w:tcPr>
            <w:tcW w:type="dxa" w:w="3120"/>
            <w:vAlign w:val="center"/>
            <w:tcMar>
              <w:top w:w="100" w:type="dxa"/>
              <w:bottom w:w="100" w:type="dxa"/>
              <w:left w:w="140" w:type="dxa"/>
              <w:right w:w="140" w:type="dxa"/>
            </w:tcMar>
            <w:shd w:val="clear" w:color="auto" w:fill="0F172A"/>
          </w:tcPr>
          <w:p>
            <w:pPr>
              <w:spacing w:after="40" w:before="40"/>
            </w:pPr>
            <w:r>
              <w:rPr>
                <w:b/>
                <w:color w:val="FFFFFF"/>
                <w:sz w:val="19"/>
              </w:rPr>
              <w:t>Typical User Profile</w:t>
            </w:r>
          </w:p>
        </w:tc>
        <w:tc>
          <w:tcPr>
            <w:tcW w:type="dxa" w:w="3120"/>
            <w:vAlign w:val="center"/>
            <w:tcMar>
              <w:top w:w="100" w:type="dxa"/>
              <w:bottom w:w="100" w:type="dxa"/>
              <w:left w:w="140" w:type="dxa"/>
              <w:right w:w="140" w:type="dxa"/>
            </w:tcMar>
            <w:shd w:val="clear" w:color="auto" w:fill="0F172A"/>
          </w:tcPr>
          <w:p>
            <w:pPr>
              <w:spacing w:after="40" w:before="40"/>
            </w:pPr>
            <w:r>
              <w:rPr>
                <w:b/>
                <w:color w:val="FFFFFF"/>
                <w:sz w:val="19"/>
              </w:rPr>
              <w:t>Access Privileges</w:t>
            </w:r>
          </w:p>
        </w:tc>
      </w:tr>
      <w:tr>
        <w:tc>
          <w:tcPr>
            <w:tcW w:type="dxa" w:w="3120"/>
            <w:vAlign w:val="center"/>
            <w:tcMar>
              <w:top w:w="100" w:type="dxa"/>
              <w:bottom w:w="100" w:type="dxa"/>
              <w:left w:w="140" w:type="dxa"/>
              <w:right w:w="140" w:type="dxa"/>
            </w:tcMar>
            <w:shd w:val="clear" w:color="auto" w:fill="F8FAFC"/>
          </w:tcPr>
          <w:p>
            <w:pPr>
              <w:spacing w:after="40" w:before="40"/>
            </w:pPr>
            <w:r>
              <w:rPr>
                <w:rFonts w:ascii="Consolas" w:hAnsi="Consolas"/>
                <w:color w:val="4F46E5"/>
                <w:sz w:val="19"/>
              </w:rPr>
              <w:t>SUPER_ADMIN</w:t>
            </w:r>
          </w:p>
        </w:tc>
        <w:tc>
          <w:tcPr>
            <w:tcW w:type="dxa" w:w="3120"/>
            <w:vAlign w:val="center"/>
            <w:tcMar>
              <w:top w:w="100" w:type="dxa"/>
              <w:bottom w:w="100" w:type="dxa"/>
              <w:left w:w="140" w:type="dxa"/>
              <w:right w:w="140" w:type="dxa"/>
            </w:tcMar>
            <w:shd w:val="clear" w:color="auto" w:fill="F8FAFC"/>
          </w:tcPr>
          <w:p>
            <w:pPr>
              <w:spacing w:after="40" w:before="40"/>
            </w:pPr>
            <w:r>
              <w:rPr>
                <w:color w:val="1E293B"/>
                <w:sz w:val="19"/>
              </w:rPr>
              <w:t>Executive Director / Platform Owner</w:t>
            </w:r>
          </w:p>
        </w:tc>
        <w:tc>
          <w:tcPr>
            <w:tcW w:type="dxa" w:w="3120"/>
            <w:vAlign w:val="center"/>
            <w:tcMar>
              <w:top w:w="100" w:type="dxa"/>
              <w:bottom w:w="100" w:type="dxa"/>
              <w:left w:w="140" w:type="dxa"/>
              <w:right w:w="140" w:type="dxa"/>
            </w:tcMar>
            <w:shd w:val="clear" w:color="auto" w:fill="F8FAFC"/>
          </w:tcPr>
          <w:p>
            <w:pPr>
              <w:spacing w:after="40" w:before="40"/>
            </w:pPr>
            <w:r>
              <w:rPr>
                <w:color w:val="1E293B"/>
                <w:sz w:val="19"/>
              </w:rPr>
              <w:t>Full, unrestricted global authority across all databases, financials, and configurations.</w:t>
            </w:r>
          </w:p>
        </w:tc>
      </w:tr>
      <w:tr>
        <w:tc>
          <w:tcPr>
            <w:tcW w:type="dxa" w:w="3120"/>
            <w:vAlign w:val="center"/>
            <w:tcMar>
              <w:top w:w="100" w:type="dxa"/>
              <w:bottom w:w="100" w:type="dxa"/>
              <w:left w:w="140" w:type="dxa"/>
              <w:right w:w="140" w:type="dxa"/>
            </w:tcMar>
            <w:shd w:val="clear" w:color="auto" w:fill="FFFFFF"/>
          </w:tcPr>
          <w:p>
            <w:pPr>
              <w:spacing w:after="40" w:before="40"/>
            </w:pPr>
            <w:r>
              <w:rPr>
                <w:rFonts w:ascii="Consolas" w:hAnsi="Consolas"/>
                <w:color w:val="4F46E5"/>
                <w:sz w:val="19"/>
              </w:rPr>
              <w:t>SUPER_ADMIN_MANAGER</w:t>
            </w:r>
          </w:p>
        </w:tc>
        <w:tc>
          <w:tcPr>
            <w:tcW w:type="dxa" w:w="3120"/>
            <w:vAlign w:val="center"/>
            <w:tcMar>
              <w:top w:w="100" w:type="dxa"/>
              <w:bottom w:w="100" w:type="dxa"/>
              <w:left w:w="140" w:type="dxa"/>
              <w:right w:w="140" w:type="dxa"/>
            </w:tcMar>
            <w:shd w:val="clear" w:color="auto" w:fill="FFFFFF"/>
          </w:tcPr>
          <w:p>
            <w:pPr>
              <w:spacing w:after="40" w:before="40"/>
            </w:pPr>
            <w:r>
              <w:rPr>
                <w:color w:val="1E293B"/>
                <w:sz w:val="19"/>
              </w:rPr>
              <w:t>Head Office Department Heads</w:t>
            </w:r>
          </w:p>
        </w:tc>
        <w:tc>
          <w:tcPr>
            <w:tcW w:type="dxa" w:w="3120"/>
            <w:vAlign w:val="center"/>
            <w:tcMar>
              <w:top w:w="100" w:type="dxa"/>
              <w:bottom w:w="100" w:type="dxa"/>
              <w:left w:w="140" w:type="dxa"/>
              <w:right w:w="140" w:type="dxa"/>
            </w:tcMar>
            <w:shd w:val="clear" w:color="auto" w:fill="FFFFFF"/>
          </w:tcPr>
          <w:p>
            <w:pPr>
              <w:spacing w:after="40" w:before="40"/>
            </w:pPr>
            <w:r>
              <w:rPr>
                <w:color w:val="1E293B"/>
                <w:sz w:val="19"/>
              </w:rPr>
              <w:t>Customized access to specific Super Admin modules (e.g., Finance, Affiliations, or Curriculum).</w:t>
            </w:r>
          </w:p>
        </w:tc>
      </w:tr>
      <w:tr>
        <w:tc>
          <w:tcPr>
            <w:tcW w:type="dxa" w:w="3120"/>
            <w:vAlign w:val="center"/>
            <w:tcMar>
              <w:top w:w="100" w:type="dxa"/>
              <w:bottom w:w="100" w:type="dxa"/>
              <w:left w:w="140" w:type="dxa"/>
              <w:right w:w="140" w:type="dxa"/>
            </w:tcMar>
            <w:shd w:val="clear" w:color="auto" w:fill="F8FAFC"/>
          </w:tcPr>
          <w:p>
            <w:pPr>
              <w:spacing w:after="40" w:before="40"/>
            </w:pPr>
            <w:r>
              <w:rPr>
                <w:rFonts w:ascii="Consolas" w:hAnsi="Consolas"/>
                <w:color w:val="4F46E5"/>
                <w:sz w:val="19"/>
              </w:rPr>
              <w:t>STATE_MANAGER</w:t>
            </w:r>
          </w:p>
        </w:tc>
        <w:tc>
          <w:tcPr>
            <w:tcW w:type="dxa" w:w="3120"/>
            <w:vAlign w:val="center"/>
            <w:tcMar>
              <w:top w:w="100" w:type="dxa"/>
              <w:bottom w:w="100" w:type="dxa"/>
              <w:left w:w="140" w:type="dxa"/>
              <w:right w:w="140" w:type="dxa"/>
            </w:tcMar>
            <w:shd w:val="clear" w:color="auto" w:fill="F8FAFC"/>
          </w:tcPr>
          <w:p>
            <w:pPr>
              <w:spacing w:after="40" w:before="40"/>
            </w:pPr>
            <w:r>
              <w:rPr>
                <w:color w:val="1E293B"/>
                <w:sz w:val="19"/>
              </w:rPr>
              <w:t>Regional State Coordinator</w:t>
            </w:r>
          </w:p>
        </w:tc>
        <w:tc>
          <w:tcPr>
            <w:tcW w:type="dxa" w:w="3120"/>
            <w:vAlign w:val="center"/>
            <w:tcMar>
              <w:top w:w="100" w:type="dxa"/>
              <w:bottom w:w="100" w:type="dxa"/>
              <w:left w:w="140" w:type="dxa"/>
              <w:right w:w="140" w:type="dxa"/>
            </w:tcMar>
            <w:shd w:val="clear" w:color="auto" w:fill="F8FAFC"/>
          </w:tcPr>
          <w:p>
            <w:pPr>
              <w:spacing w:after="40" w:before="40"/>
            </w:pPr>
            <w:r>
              <w:rPr>
                <w:color w:val="1E293B"/>
                <w:sz w:val="19"/>
              </w:rPr>
              <w:t>Oversight of franchises, center growth, and student quotas within assigned geographic states.</w:t>
            </w:r>
          </w:p>
        </w:tc>
      </w:tr>
      <w:tr>
        <w:tc>
          <w:tcPr>
            <w:tcW w:type="dxa" w:w="3120"/>
            <w:vAlign w:val="center"/>
            <w:tcMar>
              <w:top w:w="100" w:type="dxa"/>
              <w:bottom w:w="100" w:type="dxa"/>
              <w:left w:w="140" w:type="dxa"/>
              <w:right w:w="140" w:type="dxa"/>
            </w:tcMar>
            <w:shd w:val="clear" w:color="auto" w:fill="FFFFFF"/>
          </w:tcPr>
          <w:p>
            <w:pPr>
              <w:spacing w:after="40" w:before="40"/>
            </w:pPr>
            <w:r>
              <w:rPr>
                <w:rFonts w:ascii="Consolas" w:hAnsi="Consolas"/>
                <w:color w:val="4F46E5"/>
                <w:sz w:val="19"/>
              </w:rPr>
              <w:t>WORKSPACE_ADMIN</w:t>
            </w:r>
          </w:p>
        </w:tc>
        <w:tc>
          <w:tcPr>
            <w:tcW w:type="dxa" w:w="3120"/>
            <w:vAlign w:val="center"/>
            <w:tcMar>
              <w:top w:w="100" w:type="dxa"/>
              <w:bottom w:w="100" w:type="dxa"/>
              <w:left w:w="140" w:type="dxa"/>
              <w:right w:w="140" w:type="dxa"/>
            </w:tcMar>
            <w:shd w:val="clear" w:color="auto" w:fill="FFFFFF"/>
          </w:tcPr>
          <w:p>
            <w:pPr>
              <w:spacing w:after="40" w:before="40"/>
            </w:pPr>
            <w:r>
              <w:rPr>
                <w:color w:val="1E293B"/>
                <w:sz w:val="19"/>
              </w:rPr>
              <w:t>Franchise Owner / Center Director</w:t>
            </w:r>
          </w:p>
        </w:tc>
        <w:tc>
          <w:tcPr>
            <w:tcW w:type="dxa" w:w="3120"/>
            <w:vAlign w:val="center"/>
            <w:tcMar>
              <w:top w:w="100" w:type="dxa"/>
              <w:bottom w:w="100" w:type="dxa"/>
              <w:left w:w="140" w:type="dxa"/>
              <w:right w:w="140" w:type="dxa"/>
            </w:tcMar>
            <w:shd w:val="clear" w:color="auto" w:fill="FFFFFF"/>
          </w:tcPr>
          <w:p>
            <w:pPr>
              <w:spacing w:after="40" w:before="40"/>
            </w:pPr>
            <w:r>
              <w:rPr>
                <w:color w:val="1E293B"/>
                <w:sz w:val="19"/>
              </w:rPr>
              <w:t>Complete management of their individual study center, courses, staff, and student admissions.</w:t>
            </w:r>
          </w:p>
        </w:tc>
      </w:tr>
      <w:tr>
        <w:tc>
          <w:tcPr>
            <w:tcW w:type="dxa" w:w="3120"/>
            <w:vAlign w:val="center"/>
            <w:tcMar>
              <w:top w:w="100" w:type="dxa"/>
              <w:bottom w:w="100" w:type="dxa"/>
              <w:left w:w="140" w:type="dxa"/>
              <w:right w:w="140" w:type="dxa"/>
            </w:tcMar>
            <w:shd w:val="clear" w:color="auto" w:fill="F8FAFC"/>
          </w:tcPr>
          <w:p>
            <w:pPr>
              <w:spacing w:after="40" w:before="40"/>
            </w:pPr>
            <w:r>
              <w:rPr>
                <w:rFonts w:ascii="Consolas" w:hAnsi="Consolas"/>
                <w:color w:val="4F46E5"/>
                <w:sz w:val="19"/>
              </w:rPr>
              <w:t>WORKSPACE_MANAGER</w:t>
            </w:r>
          </w:p>
        </w:tc>
        <w:tc>
          <w:tcPr>
            <w:tcW w:type="dxa" w:w="3120"/>
            <w:vAlign w:val="center"/>
            <w:tcMar>
              <w:top w:w="100" w:type="dxa"/>
              <w:bottom w:w="100" w:type="dxa"/>
              <w:left w:w="140" w:type="dxa"/>
              <w:right w:w="140" w:type="dxa"/>
            </w:tcMar>
            <w:shd w:val="clear" w:color="auto" w:fill="F8FAFC"/>
          </w:tcPr>
          <w:p>
            <w:pPr>
              <w:spacing w:after="40" w:before="40"/>
            </w:pPr>
            <w:r>
              <w:rPr>
                <w:color w:val="1E293B"/>
                <w:sz w:val="19"/>
              </w:rPr>
              <w:t>Center Operational Manager</w:t>
            </w:r>
          </w:p>
        </w:tc>
        <w:tc>
          <w:tcPr>
            <w:tcW w:type="dxa" w:w="3120"/>
            <w:vAlign w:val="center"/>
            <w:tcMar>
              <w:top w:w="100" w:type="dxa"/>
              <w:bottom w:w="100" w:type="dxa"/>
              <w:left w:w="140" w:type="dxa"/>
              <w:right w:w="140" w:type="dxa"/>
            </w:tcMar>
            <w:shd w:val="clear" w:color="auto" w:fill="F8FAFC"/>
          </w:tcPr>
          <w:p>
            <w:pPr>
              <w:spacing w:after="40" w:before="40"/>
            </w:pPr>
            <w:r>
              <w:rPr>
                <w:color w:val="1E293B"/>
                <w:sz w:val="19"/>
              </w:rPr>
              <w:t>Supervisory access within a single study center.</w:t>
            </w:r>
          </w:p>
        </w:tc>
      </w:tr>
      <w:tr>
        <w:tc>
          <w:tcPr>
            <w:tcW w:type="dxa" w:w="3120"/>
            <w:vAlign w:val="center"/>
            <w:tcMar>
              <w:top w:w="100" w:type="dxa"/>
              <w:bottom w:w="100" w:type="dxa"/>
              <w:left w:w="140" w:type="dxa"/>
              <w:right w:w="140" w:type="dxa"/>
            </w:tcMar>
            <w:shd w:val="clear" w:color="auto" w:fill="FFFFFF"/>
          </w:tcPr>
          <w:p>
            <w:pPr>
              <w:spacing w:after="40" w:before="40"/>
            </w:pPr>
            <w:r>
              <w:rPr>
                <w:rFonts w:ascii="Consolas" w:hAnsi="Consolas"/>
                <w:color w:val="4F46E5"/>
                <w:sz w:val="19"/>
              </w:rPr>
              <w:t>STAFF</w:t>
            </w:r>
          </w:p>
        </w:tc>
        <w:tc>
          <w:tcPr>
            <w:tcW w:type="dxa" w:w="3120"/>
            <w:vAlign w:val="center"/>
            <w:tcMar>
              <w:top w:w="100" w:type="dxa"/>
              <w:bottom w:w="100" w:type="dxa"/>
              <w:left w:w="140" w:type="dxa"/>
              <w:right w:w="140" w:type="dxa"/>
            </w:tcMar>
            <w:shd w:val="clear" w:color="auto" w:fill="FFFFFF"/>
          </w:tcPr>
          <w:p>
            <w:pPr>
              <w:spacing w:after="40" w:before="40"/>
            </w:pPr>
            <w:r>
              <w:rPr>
                <w:color w:val="1E293B"/>
                <w:sz w:val="19"/>
              </w:rPr>
              <w:t>Faculty, Receptionists, Counselors</w:t>
            </w:r>
          </w:p>
        </w:tc>
        <w:tc>
          <w:tcPr>
            <w:tcW w:type="dxa" w:w="3120"/>
            <w:vAlign w:val="center"/>
            <w:tcMar>
              <w:top w:w="100" w:type="dxa"/>
              <w:bottom w:w="100" w:type="dxa"/>
              <w:left w:w="140" w:type="dxa"/>
              <w:right w:w="140" w:type="dxa"/>
            </w:tcMar>
            <w:shd w:val="clear" w:color="auto" w:fill="FFFFFF"/>
          </w:tcPr>
          <w:p>
            <w:pPr>
              <w:spacing w:after="40" w:before="40"/>
            </w:pPr>
            <w:r>
              <w:rPr>
                <w:color w:val="1E293B"/>
                <w:sz w:val="19"/>
              </w:rPr>
              <w:t>Granular operational permissions granted by the franchise owner.</w:t>
            </w:r>
          </w:p>
        </w:tc>
      </w:tr>
      <w:tr>
        <w:tc>
          <w:tcPr>
            <w:tcW w:type="dxa" w:w="3120"/>
            <w:vAlign w:val="center"/>
            <w:tcMar>
              <w:top w:w="100" w:type="dxa"/>
              <w:bottom w:w="100" w:type="dxa"/>
              <w:left w:w="140" w:type="dxa"/>
              <w:right w:w="140" w:type="dxa"/>
            </w:tcMar>
            <w:shd w:val="clear" w:color="auto" w:fill="F8FAFC"/>
          </w:tcPr>
          <w:p>
            <w:pPr>
              <w:spacing w:after="40" w:before="40"/>
            </w:pPr>
            <w:r>
              <w:rPr>
                <w:rFonts w:ascii="Consolas" w:hAnsi="Consolas"/>
                <w:color w:val="4F46E5"/>
                <w:sz w:val="19"/>
              </w:rPr>
              <w:t>STUDENT</w:t>
            </w:r>
          </w:p>
        </w:tc>
        <w:tc>
          <w:tcPr>
            <w:tcW w:type="dxa" w:w="3120"/>
            <w:vAlign w:val="center"/>
            <w:tcMar>
              <w:top w:w="100" w:type="dxa"/>
              <w:bottom w:w="100" w:type="dxa"/>
              <w:left w:w="140" w:type="dxa"/>
              <w:right w:w="140" w:type="dxa"/>
            </w:tcMar>
            <w:shd w:val="clear" w:color="auto" w:fill="F8FAFC"/>
          </w:tcPr>
          <w:p>
            <w:pPr>
              <w:spacing w:after="40" w:before="40"/>
            </w:pPr>
            <w:r>
              <w:rPr>
                <w:color w:val="1E293B"/>
                <w:sz w:val="19"/>
              </w:rPr>
              <w:t>Enrolled Learner</w:t>
            </w:r>
          </w:p>
        </w:tc>
        <w:tc>
          <w:tcPr>
            <w:tcW w:type="dxa" w:w="3120"/>
            <w:vAlign w:val="center"/>
            <w:tcMar>
              <w:top w:w="100" w:type="dxa"/>
              <w:bottom w:w="100" w:type="dxa"/>
              <w:left w:w="140" w:type="dxa"/>
              <w:right w:w="140" w:type="dxa"/>
            </w:tcMar>
            <w:shd w:val="clear" w:color="auto" w:fill="F8FAFC"/>
          </w:tcPr>
          <w:p>
            <w:pPr>
              <w:spacing w:after="40" w:before="40"/>
            </w:pPr>
            <w:r>
              <w:rPr>
                <w:color w:val="1E293B"/>
                <w:sz w:val="19"/>
              </w:rPr>
              <w:t>Access to personal student portal, course materials, attendance, exam results, and ID card.</w:t>
            </w:r>
          </w:p>
        </w:tc>
      </w:tr>
    </w:tbl>
    <w:p>
      <w:pPr>
        <w:spacing w:after="120"/>
      </w:pPr>
    </w:p>
    <w:p>
      <w:pPr>
        <w:spacing w:after="120"/>
      </w:pPr>
    </w:p>
    <w:p>
      <w:pPr>
        <w:spacing w:before="240" w:after="80"/>
      </w:pPr>
      <w:r>
        <w:rPr>
          <w:b/>
          <w:color w:val="4F46E5"/>
          <w:sz w:val="26"/>
        </w:rPr>
        <w:t>7.3 Creating Super Admin Managers (Delegating HQ Operations)</w:t>
      </w:r>
    </w:p>
    <w:p>
      <w:pPr>
        <w:spacing w:after="120" w:before="0" w:line="276" w:lineRule="auto"/>
      </w:pPr>
      <w:r>
        <w:rPr>
          <w:color w:val="1E293B"/>
        </w:rPr>
        <w:t>As your educational network expands, you can delegate specific operational sections to Head Office team members without granting full master access:</w:t>
      </w:r>
    </w:p>
    <w:p>
      <w:pPr>
        <w:pStyle w:val="ListNumber"/>
        <w:spacing w:after="60" w:before="20" w:line="276" w:lineRule="auto"/>
      </w:pPr>
      <w:r>
        <w:rPr>
          <w:color w:val="1E293B"/>
        </w:rPr>
        <w:t xml:space="preserve">Navigate to </w:t>
      </w:r>
      <w:r>
        <w:rPr>
          <w:b/>
          <w:color w:val="0F172A"/>
        </w:rPr>
        <w:t>Users</w:t>
      </w:r>
      <w:r>
        <w:rPr>
          <w:color w:val="1E293B"/>
        </w:rPr>
        <w:t xml:space="preserve"> (</w:t>
      </w:r>
      <w:r>
        <w:rPr>
          <w:rFonts w:ascii="Consolas" w:hAnsi="Consolas"/>
          <w:color w:val="4F46E5"/>
          <w:sz w:val="19"/>
        </w:rPr>
        <w:t>/super-admin/users</w:t>
      </w:r>
      <w:r>
        <w:rPr>
          <w:color w:val="1E293B"/>
        </w:rPr>
        <w:t>).</w:t>
      </w:r>
    </w:p>
    <w:p>
      <w:pPr>
        <w:pStyle w:val="ListNumber"/>
        <w:spacing w:after="60" w:before="20" w:line="276" w:lineRule="auto"/>
      </w:pPr>
      <w:r>
        <w:rPr>
          <w:color w:val="1E293B"/>
        </w:rPr>
        <w:t xml:space="preserve">Click </w:t>
      </w:r>
      <w:r>
        <w:rPr>
          <w:b/>
          <w:color w:val="0F172A"/>
        </w:rPr>
        <w:t>"+ Add System User"</w:t>
      </w:r>
      <w:r>
        <w:rPr>
          <w:color w:val="1E293B"/>
        </w:rPr>
        <w:t>.</w:t>
      </w:r>
    </w:p>
    <w:p>
      <w:pPr>
        <w:pStyle w:val="ListNumber"/>
        <w:spacing w:after="60" w:before="20" w:line="276" w:lineRule="auto"/>
      </w:pPr>
      <w:r>
        <w:rPr>
          <w:color w:val="1E293B"/>
        </w:rPr>
        <w:t>Enter the employee's Name, Official Email, and Mobile Number.</w:t>
      </w:r>
    </w:p>
    <w:p>
      <w:pPr>
        <w:pStyle w:val="ListNumber"/>
        <w:spacing w:after="60" w:before="20" w:line="276" w:lineRule="auto"/>
      </w:pPr>
      <w:r>
        <w:rPr>
          <w:color w:val="1E293B"/>
        </w:rPr>
        <w:t xml:space="preserve">Select Role: </w:t>
      </w:r>
      <w:r>
        <w:rPr>
          <w:rFonts w:ascii="Consolas" w:hAnsi="Consolas"/>
          <w:color w:val="4F46E5"/>
          <w:sz w:val="19"/>
        </w:rPr>
        <w:t>SUPER_ADMIN_MANAGER</w:t>
      </w:r>
      <w:r>
        <w:rPr>
          <w:color w:val="1E293B"/>
        </w:rPr>
        <w:t>.</w:t>
      </w:r>
    </w:p>
    <w:p>
      <w:pPr>
        <w:pStyle w:val="ListNumber"/>
        <w:spacing w:after="60" w:before="20" w:line="276" w:lineRule="auto"/>
      </w:pPr>
      <w:r>
        <w:rPr>
          <w:color w:val="1E293B"/>
        </w:rPr>
        <w:t xml:space="preserve">Under </w:t>
      </w:r>
      <w:r>
        <w:rPr>
          <w:b/>
          <w:color w:val="0F172A"/>
        </w:rPr>
        <w:t>"System Permission Checklist"</w:t>
      </w:r>
      <w:r>
        <w:rPr>
          <w:color w:val="1E293B"/>
        </w:rPr>
        <w:t>, check the specific departmental sections the manager is authorized to handle:</w:t>
      </w:r>
    </w:p>
    <w:p>
      <w:pPr>
        <w:pStyle w:val="ListBullet"/>
        <w:spacing w:after="60" w:before="20" w:line="276" w:lineRule="auto"/>
      </w:pPr>
      <w:r>
        <w:rPr>
          <w:b/>
          <w:color w:val="0F172A"/>
        </w:rPr>
        <w:t>Wallet Economy</w:t>
      </w:r>
      <w:r>
        <w:rPr>
          <w:color w:val="1E293B"/>
        </w:rPr>
        <w:t>: Review and approve franchise token recharge requests.</w:t>
      </w:r>
    </w:p>
    <w:p>
      <w:pPr>
        <w:pStyle w:val="ListBullet"/>
        <w:spacing w:after="60" w:before="20" w:line="276" w:lineRule="auto"/>
      </w:pPr>
      <w:r>
        <w:rPr>
          <w:b/>
          <w:color w:val="0F172A"/>
        </w:rPr>
        <w:t>Franchises</w:t>
      </w:r>
      <w:r>
        <w:rPr>
          <w:color w:val="1E293B"/>
        </w:rPr>
        <w:t>: Review new franchise applications and onboard centers.</w:t>
      </w:r>
    </w:p>
    <w:p>
      <w:pPr>
        <w:pStyle w:val="ListBullet"/>
        <w:spacing w:after="60" w:before="20" w:line="276" w:lineRule="auto"/>
      </w:pPr>
      <w:r>
        <w:rPr>
          <w:b/>
          <w:color w:val="0F172A"/>
        </w:rPr>
        <w:t>Students</w:t>
      </w:r>
      <w:r>
        <w:rPr>
          <w:color w:val="1E293B"/>
        </w:rPr>
        <w:t>: Review and verify student registration cards and certificates.</w:t>
      </w:r>
    </w:p>
    <w:p>
      <w:pPr>
        <w:pStyle w:val="ListBullet"/>
        <w:spacing w:after="60" w:before="20" w:line="276" w:lineRule="auto"/>
      </w:pPr>
      <w:r>
        <w:rPr>
          <w:b/>
          <w:color w:val="0F172A"/>
        </w:rPr>
        <w:t>Courses</w:t>
      </w:r>
      <w:r>
        <w:rPr>
          <w:color w:val="1E293B"/>
        </w:rPr>
        <w:t>: Manage the global course catalog and syllabi.</w:t>
      </w:r>
    </w:p>
    <w:p>
      <w:pPr>
        <w:pStyle w:val="ListBullet"/>
        <w:spacing w:after="60" w:before="20" w:line="276" w:lineRule="auto"/>
      </w:pPr>
      <w:r>
        <w:rPr>
          <w:b/>
          <w:color w:val="0F172A"/>
        </w:rPr>
        <w:t>Documents</w:t>
      </w:r>
      <w:r>
        <w:rPr>
          <w:color w:val="1E293B"/>
        </w:rPr>
        <w:t>: Edit ID card and certificate templates.</w:t>
      </w:r>
    </w:p>
    <w:p>
      <w:pPr>
        <w:pStyle w:val="ListBullet"/>
        <w:spacing w:after="60" w:before="20" w:line="276" w:lineRule="auto"/>
      </w:pPr>
      <w:r>
        <w:rPr>
          <w:b/>
          <w:color w:val="0F172A"/>
        </w:rPr>
        <w:t>Products</w:t>
      </w:r>
      <w:r>
        <w:rPr>
          <w:color w:val="1E293B"/>
        </w:rPr>
        <w:t>: Manage wholesale store merchandise orders.</w:t>
      </w:r>
    </w:p>
    <w:p>
      <w:pPr>
        <w:pStyle w:val="ListBullet"/>
        <w:spacing w:after="60" w:before="20" w:line="276" w:lineRule="auto"/>
      </w:pPr>
      <w:r>
        <w:rPr>
          <w:b/>
          <w:color w:val="0F172A"/>
        </w:rPr>
        <w:t>State Managers</w:t>
      </w:r>
      <w:r>
        <w:rPr>
          <w:color w:val="1E293B"/>
        </w:rPr>
        <w:t>: Coordinate with regional directors.</w:t>
      </w:r>
    </w:p>
    <w:p>
      <w:pPr>
        <w:pStyle w:val="ListBullet"/>
        <w:spacing w:after="60" w:before="20" w:line="276" w:lineRule="auto"/>
      </w:pPr>
      <w:r>
        <w:rPr>
          <w:b/>
          <w:color w:val="0F172A"/>
        </w:rPr>
        <w:t>Settings</w:t>
      </w:r>
      <w:r>
        <w:rPr>
          <w:color w:val="1E293B"/>
        </w:rPr>
        <w:t>: Adjust global platform settings.</w:t>
      </w:r>
    </w:p>
    <w:p>
      <w:pPr>
        <w:pStyle w:val="ListNumber"/>
        <w:spacing w:after="60" w:before="20" w:line="276" w:lineRule="auto"/>
      </w:pPr>
      <w:r>
        <w:rPr>
          <w:color w:val="1E293B"/>
        </w:rPr>
        <w:t xml:space="preserve">Click </w:t>
      </w:r>
      <w:r>
        <w:rPr>
          <w:b/>
          <w:color w:val="0F172A"/>
        </w:rPr>
        <w:t>"Create User"</w:t>
      </w:r>
      <w:r>
        <w:rPr>
          <w:color w:val="1E293B"/>
        </w:rPr>
        <w:t>.</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40" w:type="dxa"/>
              <w:bottom w:w="140" w:type="dxa"/>
              <w:left w:w="180" w:type="dxa"/>
              <w:right w:w="180" w:type="dxa"/>
            </w:tcMar>
            <w:tcBorders>
              <w:left w:val="single" w:sz="24" w:space="0" w:color="4F46E5"/>
              <w:top w:val="none"/>
              <w:bottom w:val="none"/>
              <w:right w:val="none"/>
            </w:tcBorders>
          </w:tcPr>
          <w:p>
            <w:pPr>
              <w:spacing w:before="40" w:after="80"/>
            </w:pPr>
            <w:r>
              <w:rPr>
                <w:b/>
                <w:color w:val="4F46E5"/>
                <w:sz w:val="19"/>
              </w:rPr>
              <w:t>[NOTE: Governance Context]</w:t>
            </w:r>
          </w:p>
          <w:p>
            <w:pPr>
              <w:spacing w:after="60" w:before="20" w:line="276" w:lineRule="auto"/>
            </w:pPr>
            <w:r>
              <w:rPr>
                <w:rFonts w:ascii="Consolas" w:hAnsi="Consolas"/>
                <w:color w:val="4F46E5"/>
                <w:sz w:val="19"/>
              </w:rPr>
              <w:t>SUPER_ADMIN_MANAGER</w:t>
            </w:r>
            <w:r>
              <w:rPr>
                <w:color w:val="1E293B"/>
              </w:rPr>
              <w:t xml:space="preserve"> accounts cannot access System Logs or modify master </w:t>
            </w:r>
            <w:r>
              <w:rPr>
                <w:rFonts w:ascii="Consolas" w:hAnsi="Consolas"/>
                <w:color w:val="4F46E5"/>
                <w:sz w:val="19"/>
              </w:rPr>
              <w:t>SUPER_ADMIN</w:t>
            </w:r>
            <w:r>
              <w:rPr>
                <w:color w:val="1E293B"/>
              </w:rPr>
              <w:t xml:space="preserve"> credentials, safeguarding administrative integrity.</w:t>
            </w:r>
          </w:p>
        </w:tc>
      </w:tr>
    </w:tbl>
    <w:p>
      <w:pPr>
        <w:spacing w:after="80"/>
      </w:pPr>
    </w:p>
    <w:p>
      <w:pPr>
        <w:spacing w:after="120"/>
      </w:pPr>
    </w:p>
    <w:p>
      <w:pPr>
        <w:spacing w:before="240" w:after="80"/>
      </w:pPr>
      <w:r>
        <w:rPr>
          <w:b/>
          <w:color w:val="4F46E5"/>
          <w:sz w:val="26"/>
        </w:rPr>
        <w:t>7.4 Managing User Security &amp; Password Resets</w:t>
      </w:r>
    </w:p>
    <w:p>
      <w:pPr>
        <w:pStyle w:val="ListBullet"/>
        <w:spacing w:after="60" w:before="20" w:line="276" w:lineRule="auto"/>
      </w:pPr>
      <w:r>
        <w:rPr>
          <w:b/>
          <w:color w:val="0F172A"/>
        </w:rPr>
        <w:t>Global Search</w:t>
      </w:r>
      <w:r>
        <w:rPr>
          <w:color w:val="1E293B"/>
        </w:rPr>
        <w:t>: Search users by Email, Name, or Phone Number across all role tiers.</w:t>
      </w:r>
    </w:p>
    <w:p>
      <w:pPr>
        <w:pStyle w:val="ListBullet"/>
        <w:spacing w:after="60" w:before="20" w:line="276" w:lineRule="auto"/>
      </w:pPr>
      <w:r>
        <w:rPr>
          <w:b/>
          <w:color w:val="0F172A"/>
        </w:rPr>
        <w:t>Account Suspension</w:t>
      </w:r>
      <w:r>
        <w:rPr>
          <w:color w:val="1E293B"/>
        </w:rPr>
        <w:t xml:space="preserve">: If a staff member or franchise owner violates conduct rules, toggle their account status to </w:t>
      </w:r>
      <w:r>
        <w:rPr>
          <w:b/>
          <w:color w:val="0F172A"/>
        </w:rPr>
        <w:t>Inactive / Suspended</w:t>
      </w:r>
      <w:r>
        <w:rPr>
          <w:color w:val="1E293B"/>
        </w:rPr>
        <w:t xml:space="preserve"> to instantly terminate all active sessions.</w:t>
      </w:r>
    </w:p>
    <w:p>
      <w:pPr>
        <w:pStyle w:val="ListBullet"/>
        <w:spacing w:after="60" w:before="20" w:line="276" w:lineRule="auto"/>
      </w:pPr>
      <w:r>
        <w:rPr>
          <w:b/>
          <w:color w:val="0F172A"/>
        </w:rPr>
        <w:t>Master Password Reset</w:t>
      </w:r>
      <w:r>
        <w:rPr>
          <w:color w:val="1E293B"/>
        </w:rPr>
        <w:t xml:space="preserve">: Click </w:t>
      </w:r>
      <w:r>
        <w:rPr>
          <w:b/>
          <w:color w:val="0F172A"/>
        </w:rPr>
        <w:t>"Reset Password"</w:t>
      </w:r>
      <w:r>
        <w:rPr>
          <w:color w:val="1E293B"/>
        </w:rPr>
        <w:t xml:space="preserve"> on any user card to set a temporary credential or send an encrypted password reset link.</w:t>
      </w:r>
    </w:p>
    <w:p>
      <w:r>
        <w:br w:type="page"/>
      </w:r>
    </w:p>
    <w:p>
      <w:pPr>
        <w:spacing w:before="320" w:after="120"/>
      </w:pPr>
      <w:r>
        <w:rPr>
          <w:b/>
          <w:color w:val="0F172A"/>
          <w:sz w:val="32"/>
        </w:rPr>
        <w:t>Chapter 8: State Manager Regional Coordinator Network</w:t>
      </w:r>
    </w:p>
    <w:p>
      <w:pPr>
        <w:spacing w:before="240" w:after="80"/>
      </w:pPr>
      <w:r>
        <w:rPr>
          <w:b/>
          <w:color w:val="4F46E5"/>
          <w:sz w:val="26"/>
        </w:rPr>
        <w:t>8.1 The Regional Governance Model</w:t>
      </w:r>
    </w:p>
    <w:p>
      <w:pPr>
        <w:spacing w:after="120" w:before="0" w:line="276" w:lineRule="auto"/>
      </w:pPr>
      <w:r>
        <w:rPr>
          <w:color w:val="1E293B"/>
        </w:rPr>
        <w:t xml:space="preserve">In a nationwide educational network, maintaining local accountability is vital. ABCD Edu Hub features a dedicated </w:t>
      </w:r>
      <w:r>
        <w:rPr>
          <w:b/>
          <w:color w:val="0F172A"/>
        </w:rPr>
        <w:t>State Manager Network</w:t>
      </w:r>
      <w:r>
        <w:rPr>
          <w:color w:val="1E293B"/>
        </w:rPr>
        <w:t xml:space="preserve"> (</w:t>
      </w:r>
      <w:r>
        <w:rPr>
          <w:rFonts w:ascii="Consolas" w:hAnsi="Consolas"/>
          <w:color w:val="4F46E5"/>
          <w:sz w:val="19"/>
        </w:rPr>
        <w:t>/super-admin/state-managers</w:t>
      </w:r>
      <w:r>
        <w:rPr>
          <w:color w:val="1E293B"/>
        </w:rPr>
        <w:t>) enabling regional educational coordinators to supervise franchises, foster center growth, and conduct physical audits across designated territories.</w:t>
      </w:r>
    </w:p>
    <w:p>
      <w:pPr>
        <w:spacing w:after="120"/>
      </w:pPr>
    </w:p>
    <w:p>
      <w:pPr>
        <w:spacing w:before="240" w:after="80"/>
      </w:pPr>
      <w:r>
        <w:rPr>
          <w:b/>
          <w:color w:val="4F46E5"/>
          <w:sz w:val="26"/>
        </w:rPr>
        <w:t>8.2 Appointing a New State Manager (Step-by-Step)</w:t>
      </w:r>
    </w:p>
    <w:p>
      <w:pPr>
        <w:pStyle w:val="ListNumber"/>
        <w:spacing w:after="60" w:before="20" w:line="276" w:lineRule="auto"/>
      </w:pPr>
      <w:r>
        <w:rPr>
          <w:color w:val="1E293B"/>
        </w:rPr>
        <w:t xml:space="preserve">Navigate to </w:t>
      </w:r>
      <w:r>
        <w:rPr>
          <w:b/>
          <w:color w:val="0F172A"/>
        </w:rPr>
        <w:t>State Managers</w:t>
      </w:r>
      <w:r>
        <w:rPr>
          <w:color w:val="1E293B"/>
        </w:rPr>
        <w:t xml:space="preserve"> (</w:t>
      </w:r>
      <w:r>
        <w:rPr>
          <w:rFonts w:ascii="Consolas" w:hAnsi="Consolas"/>
          <w:color w:val="4F46E5"/>
          <w:sz w:val="19"/>
        </w:rPr>
        <w:t>/super-admin/state-managers</w:t>
      </w:r>
      <w:r>
        <w:rPr>
          <w:color w:val="1E293B"/>
        </w:rPr>
        <w:t>).</w:t>
      </w:r>
    </w:p>
    <w:p>
      <w:pPr>
        <w:pStyle w:val="ListNumber"/>
        <w:spacing w:after="60" w:before="20" w:line="276" w:lineRule="auto"/>
      </w:pPr>
      <w:r>
        <w:rPr>
          <w:color w:val="1E293B"/>
        </w:rPr>
        <w:t xml:space="preserve">Click </w:t>
      </w:r>
      <w:r>
        <w:rPr>
          <w:b/>
          <w:color w:val="0F172A"/>
        </w:rPr>
        <w:t>"+ Appoint State Manager"</w:t>
      </w:r>
      <w:r>
        <w:rPr>
          <w:color w:val="1E293B"/>
        </w:rPr>
        <w:t>.</w:t>
      </w:r>
    </w:p>
    <w:p>
      <w:pPr>
        <w:pStyle w:val="ListNumber"/>
        <w:spacing w:after="60" w:before="20" w:line="276" w:lineRule="auto"/>
      </w:pPr>
      <w:r>
        <w:rPr>
          <w:color w:val="1E293B"/>
        </w:rPr>
        <w:t>Fill in the coordinator's credentials:</w:t>
      </w:r>
    </w:p>
    <w:p>
      <w:pPr>
        <w:pStyle w:val="ListBullet"/>
        <w:spacing w:after="60" w:before="20" w:line="276" w:lineRule="auto"/>
      </w:pPr>
      <w:r>
        <w:rPr>
          <w:b/>
          <w:color w:val="0F172A"/>
        </w:rPr>
        <w:t>Full Name</w:t>
      </w:r>
      <w:r>
        <w:rPr>
          <w:color w:val="1E293B"/>
        </w:rPr>
        <w:t xml:space="preserve">: (e.g., </w:t>
      </w:r>
      <w:r>
        <w:rPr>
          <w:i/>
        </w:rPr>
        <w:t>Rajesh Mukherjee</w:t>
      </w:r>
      <w:r>
        <w:rPr>
          <w:color w:val="1E293B"/>
        </w:rPr>
        <w:t>).</w:t>
      </w:r>
    </w:p>
    <w:p>
      <w:pPr>
        <w:pStyle w:val="ListBullet"/>
        <w:spacing w:after="60" w:before="20" w:line="276" w:lineRule="auto"/>
      </w:pPr>
      <w:r>
        <w:rPr>
          <w:b/>
          <w:color w:val="0F172A"/>
        </w:rPr>
        <w:t>Official Email &amp; Mobile Number</w:t>
      </w:r>
      <w:r>
        <w:rPr>
          <w:color w:val="1E293B"/>
        </w:rPr>
        <w:t>.</w:t>
      </w:r>
    </w:p>
    <w:p>
      <w:pPr>
        <w:pStyle w:val="ListBullet"/>
        <w:spacing w:after="60" w:before="20" w:line="276" w:lineRule="auto"/>
      </w:pPr>
      <w:r>
        <w:rPr>
          <w:b/>
          <w:color w:val="0F172A"/>
        </w:rPr>
        <w:t>Assigned Territory / State</w:t>
      </w:r>
      <w:r>
        <w:rPr>
          <w:color w:val="1E293B"/>
        </w:rPr>
        <w:t xml:space="preserve">: Select primary jurisdiction (e.g., </w:t>
      </w:r>
      <w:r>
        <w:rPr>
          <w:i/>
        </w:rPr>
        <w:t>West Bengal</w:t>
      </w:r>
      <w:r>
        <w:rPr>
          <w:color w:val="1E293B"/>
        </w:rPr>
        <w:t xml:space="preserve">, </w:t>
      </w:r>
      <w:r>
        <w:rPr>
          <w:i/>
        </w:rPr>
        <w:t>Bihar</w:t>
      </w:r>
      <w:r>
        <w:rPr>
          <w:color w:val="1E293B"/>
        </w:rPr>
        <w:t xml:space="preserve">, </w:t>
      </w:r>
      <w:r>
        <w:rPr>
          <w:i/>
        </w:rPr>
        <w:t>Assam</w:t>
      </w:r>
      <w:r>
        <w:rPr>
          <w:color w:val="1E293B"/>
        </w:rPr>
        <w:t xml:space="preserve">, </w:t>
      </w:r>
      <w:r>
        <w:rPr>
          <w:i/>
        </w:rPr>
        <w:t>Odisha</w:t>
      </w:r>
      <w:r>
        <w:rPr>
          <w:color w:val="1E293B"/>
        </w:rPr>
        <w:t>).</w:t>
      </w:r>
    </w:p>
    <w:p>
      <w:pPr>
        <w:pStyle w:val="ListBullet"/>
        <w:spacing w:after="60" w:before="20" w:line="276" w:lineRule="auto"/>
      </w:pPr>
      <w:r>
        <w:rPr>
          <w:b/>
          <w:color w:val="0F172A"/>
        </w:rPr>
        <w:t>Covered Districts</w:t>
      </w:r>
      <w:r>
        <w:rPr>
          <w:color w:val="1E293B"/>
        </w:rPr>
        <w:t>: Specify all or selected districts within the state.</w:t>
      </w:r>
    </w:p>
    <w:p>
      <w:pPr>
        <w:pStyle w:val="ListNumber"/>
        <w:spacing w:after="60" w:before="20" w:line="276" w:lineRule="auto"/>
      </w:pPr>
      <w:r>
        <w:rPr>
          <w:b/>
          <w:color w:val="0F172A"/>
        </w:rPr>
        <w:t>Commission &amp; Incentive Structure</w:t>
      </w:r>
      <w:r>
        <w:rPr>
          <w:color w:val="1E293B"/>
        </w:rPr>
        <w:t>:</w:t>
      </w:r>
    </w:p>
    <w:p>
      <w:pPr>
        <w:pStyle w:val="ListBullet"/>
        <w:spacing w:after="60" w:before="20" w:line="276" w:lineRule="auto"/>
      </w:pPr>
      <w:r>
        <w:rPr>
          <w:color w:val="1E293B"/>
        </w:rPr>
        <w:t>Define coordinator commission percentages on new franchise affiliations or central merchandise sales.</w:t>
      </w:r>
    </w:p>
    <w:p>
      <w:pPr>
        <w:pStyle w:val="ListNumber"/>
        <w:spacing w:after="60" w:before="20" w:line="276" w:lineRule="auto"/>
      </w:pPr>
      <w:r>
        <w:rPr>
          <w:color w:val="1E293B"/>
        </w:rPr>
        <w:t xml:space="preserve">Click </w:t>
      </w:r>
      <w:r>
        <w:rPr>
          <w:b/>
          <w:color w:val="0F172A"/>
        </w:rPr>
        <w:t>"Appoint Coordinator"</w:t>
      </w:r>
      <w:r>
        <w:rPr>
          <w:color w:val="1E293B"/>
        </w:rPr>
        <w:t>.</w:t>
      </w:r>
    </w:p>
    <w:p>
      <w:pPr>
        <w:spacing w:after="120"/>
      </w:pPr>
    </w:p>
    <w:p>
      <w:pPr>
        <w:spacing w:before="240" w:after="80"/>
      </w:pPr>
      <w:r>
        <w:rPr>
          <w:b/>
          <w:color w:val="4F46E5"/>
          <w:sz w:val="26"/>
        </w:rPr>
        <w:t>8.3 Regional Performance Analytics &amp; Oversight</w:t>
      </w:r>
    </w:p>
    <w:p>
      <w:pPr>
        <w:spacing w:after="120" w:before="0" w:line="276" w:lineRule="auto"/>
      </w:pPr>
      <w:r>
        <w:rPr>
          <w:color w:val="1E293B"/>
        </w:rPr>
        <w:t>The State Manager console allows Super Admin to track regional efficacy:</w:t>
      </w:r>
    </w:p>
    <w:p>
      <w:pPr>
        <w:pStyle w:val="ListBullet"/>
        <w:spacing w:after="60" w:before="20" w:line="276" w:lineRule="auto"/>
      </w:pPr>
      <w:r>
        <w:rPr>
          <w:b/>
          <w:color w:val="0F172A"/>
        </w:rPr>
        <w:t>Territory Center Count</w:t>
      </w:r>
      <w:r>
        <w:rPr>
          <w:color w:val="1E293B"/>
        </w:rPr>
        <w:t>: Active vs pending centers in the state.</w:t>
      </w:r>
    </w:p>
    <w:p>
      <w:pPr>
        <w:pStyle w:val="ListBullet"/>
        <w:spacing w:after="60" w:before="20" w:line="276" w:lineRule="auto"/>
      </w:pPr>
      <w:r>
        <w:rPr>
          <w:b/>
          <w:color w:val="0F172A"/>
        </w:rPr>
        <w:t>Total Regional Enrollment</w:t>
      </w:r>
      <w:r>
        <w:rPr>
          <w:color w:val="1E293B"/>
        </w:rPr>
        <w:t>: Monthly student intake across all regional branches.</w:t>
      </w:r>
    </w:p>
    <w:p>
      <w:pPr>
        <w:pStyle w:val="ListBullet"/>
        <w:spacing w:after="60" w:before="20" w:line="276" w:lineRule="auto"/>
      </w:pPr>
      <w:r>
        <w:rPr>
          <w:b/>
          <w:color w:val="0F172A"/>
        </w:rPr>
        <w:t>Center Audit Status</w:t>
      </w:r>
      <w:r>
        <w:rPr>
          <w:color w:val="1E293B"/>
        </w:rPr>
        <w:t>: Tracking annual physical inspections and quality compliance reports submitted by the State Manager.</w:t>
      </w:r>
    </w:p>
    <w:p>
      <w:r>
        <w:br w:type="page"/>
      </w:r>
    </w:p>
    <w:p>
      <w:pPr>
        <w:spacing w:before="320" w:after="120"/>
      </w:pPr>
      <w:r>
        <w:rPr>
          <w:b/>
          <w:color w:val="0F172A"/>
          <w:sz w:val="32"/>
        </w:rPr>
        <w:t>Chapter 9: Central Wholesale Store &amp; Franchise Orders</w:t>
      </w:r>
    </w:p>
    <w:p>
      <w:pPr>
        <w:spacing w:before="240" w:after="80"/>
      </w:pPr>
      <w:r>
        <w:rPr>
          <w:b/>
          <w:color w:val="4F46E5"/>
          <w:sz w:val="26"/>
        </w:rPr>
        <w:t>9.1 Central Logistics &amp; Supply Chain</w:t>
      </w:r>
    </w:p>
    <w:p>
      <w:pPr>
        <w:spacing w:after="120" w:before="0" w:line="276" w:lineRule="auto"/>
      </w:pPr>
      <w:r>
        <w:rPr>
          <w:color w:val="1E293B"/>
        </w:rPr>
        <w:t xml:space="preserve">Head Office supplies study kits, standardized printed course textbooks, branded laptop backpacks, and uniform merchandise to affiliated franchises. The </w:t>
      </w:r>
      <w:r>
        <w:rPr>
          <w:b/>
          <w:color w:val="0F172A"/>
        </w:rPr>
        <w:t>Products Module</w:t>
      </w:r>
      <w:r>
        <w:rPr>
          <w:color w:val="1E293B"/>
        </w:rPr>
        <w:t xml:space="preserve"> (</w:t>
      </w:r>
      <w:r>
        <w:rPr>
          <w:rFonts w:ascii="Consolas" w:hAnsi="Consolas"/>
          <w:color w:val="4F46E5"/>
          <w:sz w:val="19"/>
        </w:rPr>
        <w:t>/super-admin/products</w:t>
      </w:r>
      <w:r>
        <w:rPr>
          <w:color w:val="1E293B"/>
        </w:rPr>
        <w:t>) serves as the central supply-chain hub.</w:t>
      </w:r>
    </w:p>
    <w:p>
      <w:pPr>
        <w:spacing w:after="120"/>
      </w:pPr>
    </w:p>
    <w:p>
      <w:pPr>
        <w:spacing w:before="240" w:after="80"/>
      </w:pPr>
      <w:r>
        <w:rPr>
          <w:b/>
          <w:color w:val="4F46E5"/>
          <w:sz w:val="26"/>
        </w:rPr>
        <w:t>9.2 Adding &amp; Managing Wholesale Merchandise</w:t>
      </w:r>
    </w:p>
    <w:p>
      <w:pPr>
        <w:pStyle w:val="ListNumber"/>
        <w:spacing w:after="60" w:before="20" w:line="276" w:lineRule="auto"/>
      </w:pPr>
      <w:r>
        <w:rPr>
          <w:color w:val="1E293B"/>
        </w:rPr>
        <w:t xml:space="preserve">Navigate to </w:t>
      </w:r>
      <w:r>
        <w:rPr>
          <w:b/>
          <w:color w:val="0F172A"/>
        </w:rPr>
        <w:t>Products</w:t>
      </w:r>
      <w:r>
        <w:rPr>
          <w:color w:val="1E293B"/>
        </w:rPr>
        <w:t xml:space="preserve"> (</w:t>
      </w:r>
      <w:r>
        <w:rPr>
          <w:rFonts w:ascii="Consolas" w:hAnsi="Consolas"/>
          <w:color w:val="4F46E5"/>
          <w:sz w:val="19"/>
        </w:rPr>
        <w:t>/super-admin/products</w:t>
      </w:r>
      <w:r>
        <w:rPr>
          <w:color w:val="1E293B"/>
        </w:rPr>
        <w:t>).</w:t>
      </w:r>
    </w:p>
    <w:p>
      <w:pPr>
        <w:pStyle w:val="ListNumber"/>
        <w:spacing w:after="60" w:before="20" w:line="276" w:lineRule="auto"/>
      </w:pPr>
      <w:r>
        <w:rPr>
          <w:color w:val="1E293B"/>
        </w:rPr>
        <w:t xml:space="preserve">Click </w:t>
      </w:r>
      <w:r>
        <w:rPr>
          <w:b/>
          <w:color w:val="0F172A"/>
        </w:rPr>
        <w:t>"+ Add Central Product"</w:t>
      </w:r>
      <w:r>
        <w:rPr>
          <w:color w:val="1E293B"/>
        </w:rPr>
        <w:t>.</w:t>
      </w:r>
    </w:p>
    <w:p>
      <w:pPr>
        <w:pStyle w:val="ListNumber"/>
        <w:spacing w:after="60" w:before="20" w:line="276" w:lineRule="auto"/>
      </w:pPr>
      <w:r>
        <w:rPr>
          <w:color w:val="1E293B"/>
        </w:rPr>
        <w:t>Configure product specifications:</w:t>
      </w:r>
    </w:p>
    <w:p>
      <w:pPr>
        <w:pStyle w:val="ListBullet"/>
        <w:spacing w:after="60" w:before="20" w:line="276" w:lineRule="auto"/>
      </w:pPr>
      <w:r>
        <w:rPr>
          <w:b/>
          <w:color w:val="0F172A"/>
        </w:rPr>
        <w:t>Product Name</w:t>
      </w:r>
      <w:r>
        <w:rPr>
          <w:color w:val="1E293B"/>
        </w:rPr>
        <w:t xml:space="preserve">: (e.g., </w:t>
      </w:r>
      <w:r>
        <w:rPr>
          <w:i/>
        </w:rPr>
        <w:t>Official ADCA Printed Textbook Bundle — Set of 4 Volumes</w:t>
      </w:r>
      <w:r>
        <w:rPr>
          <w:color w:val="1E293B"/>
        </w:rPr>
        <w:t>).</w:t>
      </w:r>
    </w:p>
    <w:p>
      <w:pPr>
        <w:pStyle w:val="ListBullet"/>
        <w:spacing w:after="60" w:before="20" w:line="276" w:lineRule="auto"/>
      </w:pPr>
      <w:r>
        <w:rPr>
          <w:b/>
          <w:color w:val="0F172A"/>
        </w:rPr>
        <w:t>SKU Code</w:t>
      </w:r>
      <w:r>
        <w:rPr>
          <w:color w:val="1E293B"/>
        </w:rPr>
        <w:t xml:space="preserve">: Unique inventory code (e.g., </w:t>
      </w:r>
      <w:r>
        <w:rPr>
          <w:i/>
        </w:rPr>
        <w:t>BK-ADCA-SET</w:t>
      </w:r>
      <w:r>
        <w:rPr>
          <w:color w:val="1E293B"/>
        </w:rPr>
        <w:t>).</w:t>
      </w:r>
    </w:p>
    <w:p>
      <w:pPr>
        <w:pStyle w:val="ListBullet"/>
        <w:spacing w:after="60" w:before="20" w:line="276" w:lineRule="auto"/>
      </w:pPr>
      <w:r>
        <w:rPr>
          <w:b/>
          <w:color w:val="0F172A"/>
        </w:rPr>
        <w:t>Category</w:t>
      </w:r>
      <w:r>
        <w:rPr>
          <w:color w:val="1E293B"/>
        </w:rPr>
        <w:t xml:space="preserve">: </w:t>
      </w:r>
      <w:r>
        <w:rPr>
          <w:i/>
        </w:rPr>
        <w:t>Textbooks</w:t>
      </w:r>
      <w:r>
        <w:rPr>
          <w:color w:val="1E293B"/>
        </w:rPr>
        <w:t xml:space="preserve">, </w:t>
      </w:r>
      <w:r>
        <w:rPr>
          <w:i/>
        </w:rPr>
        <w:t>Student Kits</w:t>
      </w:r>
      <w:r>
        <w:rPr>
          <w:color w:val="1E293B"/>
        </w:rPr>
        <w:t xml:space="preserve">, </w:t>
      </w:r>
      <w:r>
        <w:rPr>
          <w:i/>
        </w:rPr>
        <w:t>Apparel</w:t>
      </w:r>
      <w:r>
        <w:rPr>
          <w:color w:val="1E293B"/>
        </w:rPr>
        <w:t xml:space="preserve">, or </w:t>
      </w:r>
      <w:r>
        <w:rPr>
          <w:i/>
        </w:rPr>
        <w:t>Hardware</w:t>
      </w:r>
      <w:r>
        <w:rPr>
          <w:color w:val="1E293B"/>
        </w:rPr>
        <w:t>.</w:t>
      </w:r>
    </w:p>
    <w:p>
      <w:pPr>
        <w:pStyle w:val="ListBullet"/>
        <w:spacing w:after="60" w:before="20" w:line="276" w:lineRule="auto"/>
      </w:pPr>
      <w:r>
        <w:rPr>
          <w:b/>
          <w:color w:val="0F172A"/>
        </w:rPr>
        <w:t>Wholesale Price to Franchise (₹)</w:t>
      </w:r>
      <w:r>
        <w:rPr>
          <w:color w:val="1E293B"/>
        </w:rPr>
        <w:t>: The discounted rate billed to centers.</w:t>
      </w:r>
    </w:p>
    <w:p>
      <w:pPr>
        <w:pStyle w:val="ListBullet"/>
        <w:spacing w:after="60" w:before="20" w:line="276" w:lineRule="auto"/>
      </w:pPr>
      <w:r>
        <w:rPr>
          <w:b/>
          <w:color w:val="0F172A"/>
        </w:rPr>
        <w:t>Suggested Student Retail Price (₹)</w:t>
      </w:r>
      <w:r>
        <w:rPr>
          <w:color w:val="1E293B"/>
        </w:rPr>
        <w:t>: Maximum retail price recommended for students.</w:t>
      </w:r>
    </w:p>
    <w:p>
      <w:pPr>
        <w:pStyle w:val="ListBullet"/>
        <w:spacing w:after="60" w:before="20" w:line="276" w:lineRule="auto"/>
      </w:pPr>
      <w:r>
        <w:rPr>
          <w:b/>
          <w:color w:val="0F172A"/>
        </w:rPr>
        <w:t>Central Warehouse Stock</w:t>
      </w:r>
      <w:r>
        <w:rPr>
          <w:color w:val="1E293B"/>
        </w:rPr>
        <w:t>: Available units in Head Office warehouse.</w:t>
      </w:r>
    </w:p>
    <w:p>
      <w:pPr>
        <w:pStyle w:val="ListBullet"/>
        <w:spacing w:after="60" w:before="20" w:line="276" w:lineRule="auto"/>
      </w:pPr>
      <w:r>
        <w:rPr>
          <w:b/>
          <w:color w:val="0F172A"/>
        </w:rPr>
        <w:t>Minimum Bulk Order Quantity</w:t>
      </w:r>
      <w:r>
        <w:rPr>
          <w:color w:val="1E293B"/>
        </w:rPr>
        <w:t xml:space="preserve">: (e.g., </w:t>
      </w:r>
      <w:r>
        <w:rPr>
          <w:i/>
        </w:rPr>
        <w:t>10 Sets</w:t>
      </w:r>
      <w:r>
        <w:rPr>
          <w:color w:val="1E293B"/>
        </w:rPr>
        <w:t>).</w:t>
      </w:r>
    </w:p>
    <w:p>
      <w:pPr>
        <w:pStyle w:val="ListNumber"/>
        <w:spacing w:after="60" w:before="20" w:line="276" w:lineRule="auto"/>
      </w:pPr>
      <w:r>
        <w:rPr>
          <w:color w:val="1E293B"/>
        </w:rPr>
        <w:t xml:space="preserve">Upload clear high-resolution product imagery and click </w:t>
      </w:r>
      <w:r>
        <w:rPr>
          <w:b/>
          <w:color w:val="0F172A"/>
        </w:rPr>
        <w:t>"Save Product"</w:t>
      </w:r>
      <w:r>
        <w:rPr>
          <w:color w:val="1E293B"/>
        </w:rPr>
        <w:t>.</w:t>
      </w:r>
    </w:p>
    <w:p>
      <w:pPr>
        <w:spacing w:after="120"/>
      </w:pPr>
    </w:p>
    <w:p>
      <w:pPr>
        <w:spacing w:before="240" w:after="80"/>
      </w:pPr>
      <w:r>
        <w:rPr>
          <w:b/>
          <w:color w:val="4F46E5"/>
          <w:sz w:val="26"/>
        </w:rPr>
        <w:t>9.3 Processing &amp; Fulfilling Franchise Orders</w:t>
      </w:r>
    </w:p>
    <w:p>
      <w:pPr>
        <w:spacing w:after="120" w:before="0" w:line="276" w:lineRule="auto"/>
      </w:pPr>
      <w:r>
        <w:rPr>
          <w:color w:val="1E293B"/>
        </w:rPr>
        <w:t>When a franchise places a bulk order:</w:t>
      </w:r>
    </w:p>
    <w:p>
      <w:pPr>
        <w:pStyle w:val="ListNumber"/>
        <w:spacing w:after="60" w:before="20" w:line="276" w:lineRule="auto"/>
      </w:pPr>
      <w:r>
        <w:rPr>
          <w:color w:val="1E293B"/>
        </w:rPr>
        <w:t xml:space="preserve">An order notification appears in </w:t>
      </w:r>
      <w:r>
        <w:rPr>
          <w:b/>
          <w:color w:val="0F172A"/>
        </w:rPr>
        <w:t>Products</w:t>
      </w:r>
      <w:r>
        <w:rPr>
          <w:color w:val="1E293B"/>
        </w:rPr>
        <w:t xml:space="preserve"> &gt; </w:t>
      </w:r>
      <w:r>
        <w:rPr>
          <w:b/>
          <w:color w:val="0F172A"/>
        </w:rPr>
        <w:t>"Franchise Orders"</w:t>
      </w:r>
      <w:r>
        <w:rPr>
          <w:color w:val="1E293B"/>
        </w:rPr>
        <w:t>.</w:t>
      </w:r>
    </w:p>
    <w:p>
      <w:pPr>
        <w:pStyle w:val="ListNumber"/>
        <w:spacing w:after="60" w:before="20" w:line="276" w:lineRule="auto"/>
      </w:pPr>
      <w:r>
        <w:rPr>
          <w:color w:val="1E293B"/>
        </w:rPr>
        <w:t>Review the order:</w:t>
      </w:r>
    </w:p>
    <w:p>
      <w:pPr>
        <w:pStyle w:val="ListBullet"/>
        <w:spacing w:after="60" w:before="20" w:line="276" w:lineRule="auto"/>
      </w:pPr>
      <w:r>
        <w:rPr>
          <w:color w:val="1E293B"/>
        </w:rPr>
        <w:t>Requesting Center Name &amp; Center Code.</w:t>
      </w:r>
    </w:p>
    <w:p>
      <w:pPr>
        <w:pStyle w:val="ListBullet"/>
        <w:spacing w:after="60" w:before="20" w:line="276" w:lineRule="auto"/>
      </w:pPr>
      <w:r>
        <w:rPr>
          <w:color w:val="1E293B"/>
        </w:rPr>
        <w:t>Ordered Items &amp; Quantities.</w:t>
      </w:r>
    </w:p>
    <w:p>
      <w:pPr>
        <w:pStyle w:val="ListBullet"/>
        <w:spacing w:after="60" w:before="20" w:line="276" w:lineRule="auto"/>
      </w:pPr>
      <w:r>
        <w:rPr>
          <w:color w:val="1E293B"/>
        </w:rPr>
        <w:t>Delivery Address &amp; Center Contact Person.</w:t>
      </w:r>
    </w:p>
    <w:p>
      <w:pPr>
        <w:pStyle w:val="ListBullet"/>
        <w:spacing w:after="60" w:before="20" w:line="276" w:lineRule="auto"/>
      </w:pPr>
      <w:r>
        <w:rPr>
          <w:color w:val="1E293B"/>
        </w:rPr>
        <w:t>Payment Status (deducted from wallet or paid via central bank transfer).</w:t>
      </w:r>
    </w:p>
    <w:p>
      <w:pPr>
        <w:pStyle w:val="ListNumber"/>
        <w:spacing w:after="60" w:before="20" w:line="276" w:lineRule="auto"/>
      </w:pPr>
      <w:r>
        <w:rPr>
          <w:color w:val="1E293B"/>
        </w:rPr>
        <w:t xml:space="preserve">Click </w:t>
      </w:r>
      <w:r>
        <w:rPr>
          <w:b/>
          <w:color w:val="0F172A"/>
        </w:rPr>
        <w:t>"Process Order"</w:t>
      </w:r>
      <w:r>
        <w:rPr>
          <w:color w:val="1E293B"/>
        </w:rPr>
        <w:t>:</w:t>
      </w:r>
    </w:p>
    <w:p>
      <w:pPr>
        <w:pStyle w:val="ListBullet"/>
        <w:spacing w:after="60" w:before="20" w:line="276" w:lineRule="auto"/>
      </w:pPr>
      <w:r>
        <w:rPr>
          <w:color w:val="1E293B"/>
        </w:rPr>
        <w:t xml:space="preserve">Enter </w:t>
      </w:r>
      <w:r>
        <w:rPr>
          <w:b/>
          <w:color w:val="0F172A"/>
        </w:rPr>
        <w:t>Courier / Logistics Partner Name</w:t>
      </w:r>
      <w:r>
        <w:rPr>
          <w:color w:val="1E293B"/>
        </w:rPr>
        <w:t xml:space="preserve"> (e.g., </w:t>
      </w:r>
      <w:r>
        <w:rPr>
          <w:i/>
        </w:rPr>
        <w:t>Blue Dart</w:t>
      </w:r>
      <w:r>
        <w:rPr>
          <w:color w:val="1E293B"/>
        </w:rPr>
        <w:t xml:space="preserve">, </w:t>
      </w:r>
      <w:r>
        <w:rPr>
          <w:i/>
        </w:rPr>
        <w:t>Delhivery</w:t>
      </w:r>
      <w:r>
        <w:rPr>
          <w:color w:val="1E293B"/>
        </w:rPr>
        <w:t xml:space="preserve">, </w:t>
      </w:r>
      <w:r>
        <w:rPr>
          <w:i/>
        </w:rPr>
        <w:t>DTDC</w:t>
      </w:r>
      <w:r>
        <w:rPr>
          <w:color w:val="1E293B"/>
        </w:rPr>
        <w:t>).</w:t>
      </w:r>
    </w:p>
    <w:p>
      <w:pPr>
        <w:pStyle w:val="ListBullet"/>
        <w:spacing w:after="60" w:before="20" w:line="276" w:lineRule="auto"/>
      </w:pPr>
      <w:r>
        <w:rPr>
          <w:color w:val="1E293B"/>
        </w:rPr>
        <w:t xml:space="preserve">Enter </w:t>
      </w:r>
      <w:r>
        <w:rPr>
          <w:b/>
          <w:color w:val="0F172A"/>
        </w:rPr>
        <w:t>Tracking / Consignment Number</w:t>
      </w:r>
      <w:r>
        <w:rPr>
          <w:color w:val="1E293B"/>
        </w:rPr>
        <w:t>.</w:t>
      </w:r>
    </w:p>
    <w:p>
      <w:pPr>
        <w:pStyle w:val="ListNumber"/>
        <w:spacing w:after="60" w:before="20" w:line="276" w:lineRule="auto"/>
      </w:pPr>
      <w:r>
        <w:rPr>
          <w:color w:val="1E293B"/>
        </w:rPr>
        <w:t xml:space="preserve">Click </w:t>
      </w:r>
      <w:r>
        <w:rPr>
          <w:b/>
          <w:color w:val="0F172A"/>
        </w:rPr>
        <w:t>"Mark as Dispatched"</w:t>
      </w:r>
      <w:r>
        <w:rPr>
          <w:color w:val="1E293B"/>
        </w:rPr>
        <w:t>. The franchise receives a dispatch alert with the tracking link.</w:t>
      </w:r>
    </w:p>
    <w:p>
      <w:pPr>
        <w:pStyle w:val="ListNumber"/>
        <w:spacing w:after="60" w:before="20" w:line="276" w:lineRule="auto"/>
      </w:pPr>
      <w:r>
        <w:rPr>
          <w:color w:val="1E293B"/>
        </w:rPr>
        <w:t xml:space="preserve">Once delivered, mark the order as </w:t>
      </w:r>
      <w:r>
        <w:rPr>
          <w:b/>
          <w:color w:val="0F172A"/>
        </w:rPr>
        <w:t>Fulfilled</w:t>
      </w:r>
      <w:r>
        <w:rPr>
          <w:color w:val="1E293B"/>
        </w:rPr>
        <w:t>.</w:t>
      </w:r>
    </w:p>
    <w:p>
      <w:r>
        <w:br w:type="page"/>
      </w:r>
    </w:p>
    <w:p>
      <w:pPr>
        <w:spacing w:before="320" w:after="120"/>
      </w:pPr>
      <w:r>
        <w:rPr>
          <w:b/>
          <w:color w:val="0F172A"/>
          <w:sz w:val="32"/>
        </w:rPr>
        <w:t>Chapter 10: Global Settings, Branding &amp; Central Landing Page</w:t>
      </w:r>
    </w:p>
    <w:p>
      <w:pPr>
        <w:spacing w:before="240" w:after="80"/>
      </w:pPr>
      <w:r>
        <w:rPr>
          <w:b/>
          <w:color w:val="4F46E5"/>
          <w:sz w:val="26"/>
        </w:rPr>
        <w:t>10.1 Global Platform Governance</w:t>
      </w:r>
    </w:p>
    <w:p>
      <w:pPr>
        <w:spacing w:after="120" w:before="0" w:line="276" w:lineRule="auto"/>
      </w:pPr>
      <w:r>
        <w:rPr>
          <w:color w:val="1E293B"/>
        </w:rPr>
        <w:t xml:space="preserve">The </w:t>
      </w:r>
      <w:r>
        <w:rPr>
          <w:b/>
          <w:color w:val="0F172A"/>
        </w:rPr>
        <w:t>Platform Settings Module</w:t>
      </w:r>
      <w:r>
        <w:rPr>
          <w:color w:val="1E293B"/>
        </w:rPr>
        <w:t xml:space="preserve"> (</w:t>
      </w:r>
      <w:r>
        <w:rPr>
          <w:rFonts w:ascii="Consolas" w:hAnsi="Consolas"/>
          <w:color w:val="4F46E5"/>
          <w:sz w:val="19"/>
        </w:rPr>
        <w:t>/super-admin/settings</w:t>
      </w:r>
      <w:r>
        <w:rPr>
          <w:color w:val="1E293B"/>
        </w:rPr>
        <w:t>) controls overarching visual branding, the main national landing page, central legal compliance policies, automated communication relays, and AI engine credentials.</w:t>
      </w:r>
    </w:p>
    <w:p>
      <w:pPr>
        <w:spacing w:after="120"/>
      </w:pPr>
    </w:p>
    <w:p>
      <w:pPr>
        <w:spacing w:before="240" w:after="80"/>
      </w:pPr>
      <w:r>
        <w:rPr>
          <w:b/>
          <w:color w:val="4F46E5"/>
          <w:sz w:val="26"/>
        </w:rPr>
        <w:t>10.2 Customizing the Main National Landing Page</w:t>
      </w:r>
    </w:p>
    <w:p>
      <w:pPr>
        <w:spacing w:after="120" w:before="0" w:line="276" w:lineRule="auto"/>
      </w:pPr>
      <w:r>
        <w:rPr>
          <w:color w:val="1E293B"/>
        </w:rPr>
        <w:t>The main homepage (</w:t>
      </w:r>
      <w:r>
        <w:rPr>
          <w:rFonts w:ascii="Consolas" w:hAnsi="Consolas"/>
          <w:color w:val="4F46E5"/>
          <w:sz w:val="19"/>
        </w:rPr>
        <w:t>https://abcdeduhub.com</w:t>
      </w:r>
      <w:r>
        <w:rPr>
          <w:color w:val="1E293B"/>
        </w:rPr>
        <w:t>) targets prospective franchise partners, corporate affiliations, and nationwide student verification:</w:t>
      </w:r>
    </w:p>
    <w:p>
      <w:pPr>
        <w:pStyle w:val="ListNumber"/>
        <w:spacing w:after="60" w:before="20" w:line="276" w:lineRule="auto"/>
      </w:pPr>
      <w:r>
        <w:rPr>
          <w:color w:val="1E293B"/>
        </w:rPr>
        <w:t xml:space="preserve">Navigate to </w:t>
      </w:r>
      <w:r>
        <w:rPr>
          <w:b/>
          <w:color w:val="0F172A"/>
        </w:rPr>
        <w:t>Settings</w:t>
      </w:r>
      <w:r>
        <w:rPr>
          <w:color w:val="1E293B"/>
        </w:rPr>
        <w:t xml:space="preserve"> (</w:t>
      </w:r>
      <w:r>
        <w:rPr>
          <w:rFonts w:ascii="Consolas" w:hAnsi="Consolas"/>
          <w:color w:val="4F46E5"/>
          <w:sz w:val="19"/>
        </w:rPr>
        <w:t>/super-admin/settings</w:t>
      </w:r>
      <w:r>
        <w:rPr>
          <w:color w:val="1E293B"/>
        </w:rPr>
        <w:t>).</w:t>
      </w:r>
    </w:p>
    <w:p>
      <w:pPr>
        <w:pStyle w:val="ListNumber"/>
        <w:spacing w:after="60" w:before="20" w:line="276" w:lineRule="auto"/>
      </w:pPr>
      <w:r>
        <w:rPr>
          <w:b/>
          <w:color w:val="0F172A"/>
        </w:rPr>
        <w:t>Hero Banner &amp; Value Proposition</w:t>
      </w:r>
      <w:r>
        <w:rPr>
          <w:color w:val="1E293B"/>
        </w:rPr>
        <w:t>:</w:t>
      </w:r>
    </w:p>
    <w:p>
      <w:pPr>
        <w:pStyle w:val="ListBullet"/>
        <w:spacing w:after="60" w:before="20" w:line="276" w:lineRule="auto"/>
      </w:pPr>
      <w:r>
        <w:rPr>
          <w:color w:val="1E293B"/>
        </w:rPr>
        <w:t xml:space="preserve">Master Headline (e.g., </w:t>
      </w:r>
      <w:r>
        <w:rPr>
          <w:i/>
        </w:rPr>
        <w:t>India's Premier Multi-Tenant Educational &amp; Skill Training Network</w:t>
      </w:r>
      <w:r>
        <w:rPr>
          <w:color w:val="1E293B"/>
        </w:rPr>
        <w:t>).</w:t>
      </w:r>
    </w:p>
    <w:p>
      <w:pPr>
        <w:pStyle w:val="ListBullet"/>
        <w:spacing w:after="60" w:before="20" w:line="276" w:lineRule="auto"/>
      </w:pPr>
      <w:r>
        <w:rPr>
          <w:color w:val="1E293B"/>
        </w:rPr>
        <w:t>Supporting tagline highlighting ISO certification, government-recognized certifications, and practical career training.</w:t>
      </w:r>
    </w:p>
    <w:p>
      <w:pPr>
        <w:pStyle w:val="ListBullet"/>
        <w:spacing w:after="60" w:before="20" w:line="276" w:lineRule="auto"/>
      </w:pPr>
      <w:r>
        <w:rPr>
          <w:color w:val="1E293B"/>
        </w:rPr>
        <w:t xml:space="preserve">Primary Call-to-Action: </w:t>
      </w:r>
      <w:r>
        <w:rPr>
          <w:i/>
        </w:rPr>
        <w:t>Apply for Franchise Affiliation</w:t>
      </w:r>
      <w:r>
        <w:rPr>
          <w:color w:val="1E293B"/>
        </w:rPr>
        <w:t xml:space="preserve"> (</w:t>
      </w:r>
      <w:r>
        <w:rPr>
          <w:rFonts w:ascii="Consolas" w:hAnsi="Consolas"/>
          <w:color w:val="4F46E5"/>
          <w:sz w:val="19"/>
        </w:rPr>
        <w:t>/franchise</w:t>
      </w:r>
      <w:r>
        <w:rPr>
          <w:color w:val="1E293B"/>
        </w:rPr>
        <w:t>).</w:t>
      </w:r>
    </w:p>
    <w:p>
      <w:pPr>
        <w:pStyle w:val="ListBullet"/>
        <w:spacing w:after="60" w:before="20" w:line="276" w:lineRule="auto"/>
      </w:pPr>
      <w:r>
        <w:rPr>
          <w:color w:val="1E293B"/>
        </w:rPr>
        <w:t xml:space="preserve">Secondary Call-to-Action: </w:t>
      </w:r>
      <w:r>
        <w:rPr>
          <w:i/>
        </w:rPr>
        <w:t>Verify Student Certificate</w:t>
      </w:r>
      <w:r>
        <w:rPr>
          <w:color w:val="1E293B"/>
        </w:rPr>
        <w:t xml:space="preserve"> (</w:t>
      </w:r>
      <w:r>
        <w:rPr>
          <w:rFonts w:ascii="Consolas" w:hAnsi="Consolas"/>
          <w:color w:val="4F46E5"/>
          <w:sz w:val="19"/>
        </w:rPr>
        <w:t>/students</w:t>
      </w:r>
      <w:r>
        <w:rPr>
          <w:color w:val="1E293B"/>
        </w:rPr>
        <w:t>).</w:t>
      </w:r>
    </w:p>
    <w:p>
      <w:pPr>
        <w:pStyle w:val="ListNumber"/>
        <w:spacing w:after="60" w:before="20" w:line="276" w:lineRule="auto"/>
      </w:pPr>
      <w:r>
        <w:rPr>
          <w:b/>
          <w:color w:val="0F172A"/>
        </w:rPr>
        <w:t>National Network Statistics Counter</w:t>
      </w:r>
      <w:r>
        <w:rPr>
          <w:color w:val="1E293B"/>
        </w:rPr>
        <w:t>:</w:t>
      </w:r>
    </w:p>
    <w:p>
      <w:pPr>
        <w:pStyle w:val="ListBullet"/>
        <w:spacing w:after="60" w:before="20" w:line="276" w:lineRule="auto"/>
      </w:pPr>
      <w:r>
        <w:rPr>
          <w:color w:val="1E293B"/>
        </w:rPr>
        <w:t xml:space="preserve">Configure showcase counters: </w:t>
      </w:r>
      <w:r>
        <w:rPr>
          <w:i/>
        </w:rPr>
        <w:t>500+ Affiliated Centers</w:t>
      </w:r>
      <w:r>
        <w:rPr>
          <w:color w:val="1E293B"/>
        </w:rPr>
        <w:t xml:space="preserve">, </w:t>
      </w:r>
      <w:r>
        <w:rPr>
          <w:i/>
        </w:rPr>
        <w:t>150,000+ Certified Students</w:t>
      </w:r>
      <w:r>
        <w:rPr>
          <w:color w:val="1E293B"/>
        </w:rPr>
        <w:t xml:space="preserve">, </w:t>
      </w:r>
      <w:r>
        <w:rPr>
          <w:i/>
        </w:rPr>
        <w:t>100+ Accredited Courses</w:t>
      </w:r>
      <w:r>
        <w:rPr>
          <w:color w:val="1E293B"/>
        </w:rPr>
        <w:t xml:space="preserve">, </w:t>
      </w:r>
      <w:r>
        <w:rPr>
          <w:i/>
        </w:rPr>
        <w:t>95% Placement Assistance</w:t>
      </w:r>
      <w:r>
        <w:rPr>
          <w:color w:val="1E293B"/>
        </w:rPr>
        <w:t>.</w:t>
      </w:r>
    </w:p>
    <w:p>
      <w:pPr>
        <w:pStyle w:val="ListNumber"/>
        <w:spacing w:after="60" w:before="20" w:line="276" w:lineRule="auto"/>
      </w:pPr>
      <w:r>
        <w:rPr>
          <w:b/>
          <w:color w:val="0F172A"/>
        </w:rPr>
        <w:t>Trust Badges &amp; Affiliations</w:t>
      </w:r>
      <w:r>
        <w:rPr>
          <w:color w:val="1E293B"/>
        </w:rPr>
        <w:t>:</w:t>
      </w:r>
    </w:p>
    <w:p>
      <w:pPr>
        <w:pStyle w:val="ListBullet"/>
        <w:spacing w:after="60" w:before="20" w:line="276" w:lineRule="auto"/>
      </w:pPr>
      <w:r>
        <w:rPr>
          <w:color w:val="1E293B"/>
        </w:rPr>
        <w:t>Upload accreditation logos, ISO seals, and board recognition certificates.</w:t>
      </w:r>
    </w:p>
    <w:p>
      <w:pPr>
        <w:spacing w:after="120"/>
      </w:pPr>
    </w:p>
    <w:p>
      <w:pPr>
        <w:spacing w:before="240" w:after="80"/>
      </w:pPr>
      <w:r>
        <w:rPr>
          <w:b/>
          <w:color w:val="4F46E5"/>
          <w:sz w:val="26"/>
        </w:rPr>
        <w:t>10.3 Central Legal Policies &amp; Compliance</w:t>
      </w:r>
    </w:p>
    <w:p>
      <w:pPr>
        <w:spacing w:after="120" w:before="0" w:line="276" w:lineRule="auto"/>
      </w:pPr>
      <w:r>
        <w:rPr>
          <w:color w:val="1E293B"/>
        </w:rPr>
        <w:t>ABCD Edu Hub strictly separates Global Legal Policies from local franchise pages:</w:t>
      </w:r>
    </w:p>
    <w:p>
      <w:pPr>
        <w:pStyle w:val="ListBullet"/>
        <w:spacing w:after="60" w:before="20" w:line="276" w:lineRule="auto"/>
      </w:pPr>
      <w:r>
        <w:rPr>
          <w:b/>
          <w:color w:val="0F172A"/>
        </w:rPr>
        <w:t>Global Terms of Service</w:t>
      </w:r>
      <w:r>
        <w:rPr>
          <w:color w:val="1E293B"/>
        </w:rPr>
        <w:t>: Governs central platform usage, data privacy, and online portal access.</w:t>
      </w:r>
    </w:p>
    <w:p>
      <w:pPr>
        <w:pStyle w:val="ListBullet"/>
        <w:spacing w:after="60" w:before="20" w:line="276" w:lineRule="auto"/>
      </w:pPr>
      <w:r>
        <w:rPr>
          <w:b/>
          <w:color w:val="0F172A"/>
        </w:rPr>
        <w:t>Franchise Affiliation Agreement</w:t>
      </w:r>
      <w:r>
        <w:rPr>
          <w:color w:val="1E293B"/>
        </w:rPr>
        <w:t>: Specifies legal responsibilities, royalty/token terms, examination guidelines, and termination clauses.</w:t>
      </w:r>
    </w:p>
    <w:p>
      <w:pPr>
        <w:pStyle w:val="ListBullet"/>
        <w:spacing w:after="60" w:before="20" w:line="276" w:lineRule="auto"/>
      </w:pPr>
      <w:r>
        <w:rPr>
          <w:b/>
          <w:color w:val="0F172A"/>
        </w:rPr>
        <w:t>Privacy Policy</w:t>
      </w:r>
      <w:r>
        <w:rPr>
          <w:color w:val="1E293B"/>
        </w:rPr>
        <w:t>: Complies with national data protection regulations.</w:t>
      </w:r>
    </w:p>
    <w:p>
      <w:pPr>
        <w:pStyle w:val="ListBullet"/>
        <w:spacing w:after="60" w:before="20" w:line="276" w:lineRule="auto"/>
      </w:pPr>
      <w:r>
        <w:rPr>
          <w:color w:val="1E293B"/>
        </w:rPr>
        <w:t xml:space="preserve">Edit these in </w:t>
      </w:r>
      <w:r>
        <w:rPr>
          <w:b/>
          <w:color w:val="0F172A"/>
        </w:rPr>
        <w:t>Settings</w:t>
      </w:r>
      <w:r>
        <w:rPr>
          <w:color w:val="1E293B"/>
        </w:rPr>
        <w:t xml:space="preserve"> &gt; </w:t>
      </w:r>
      <w:r>
        <w:rPr>
          <w:b/>
          <w:color w:val="0F172A"/>
        </w:rPr>
        <w:t>"Legal Policies"</w:t>
      </w:r>
      <w:r>
        <w:rPr>
          <w:color w:val="1E293B"/>
        </w:rPr>
        <w:t xml:space="preserve"> to ensure ongoing regulatory compliance.</w:t>
      </w:r>
    </w:p>
    <w:p>
      <w:pPr>
        <w:spacing w:after="120"/>
      </w:pPr>
    </w:p>
    <w:p>
      <w:pPr>
        <w:spacing w:before="240" w:after="80"/>
      </w:pPr>
      <w:r>
        <w:rPr>
          <w:b/>
          <w:color w:val="4F46E5"/>
          <w:sz w:val="26"/>
        </w:rPr>
        <w:t>10.4 Communications &amp; System Integrations</w:t>
      </w:r>
    </w:p>
    <w:p>
      <w:pPr>
        <w:pStyle w:val="ListNumber"/>
        <w:spacing w:after="60" w:before="20" w:line="276" w:lineRule="auto"/>
      </w:pPr>
      <w:r>
        <w:rPr>
          <w:b/>
          <w:color w:val="0F172A"/>
        </w:rPr>
        <w:t>Email Delivery (Resend / SMTP)</w:t>
      </w:r>
      <w:r>
        <w:rPr>
          <w:color w:val="1E293B"/>
        </w:rPr>
        <w:t>:</w:t>
      </w:r>
    </w:p>
    <w:p>
      <w:pPr>
        <w:pStyle w:val="ListBullet"/>
        <w:spacing w:after="60" w:before="20" w:line="276" w:lineRule="auto"/>
      </w:pPr>
      <w:r>
        <w:rPr>
          <w:color w:val="1E293B"/>
        </w:rPr>
        <w:t>Configure central SMTP / Resend API credentials for automated student registration emails, password reset links, and invoice delivery.</w:t>
      </w:r>
    </w:p>
    <w:p>
      <w:pPr>
        <w:pStyle w:val="ListNumber"/>
        <w:spacing w:after="60" w:before="20" w:line="276" w:lineRule="auto"/>
      </w:pPr>
      <w:r>
        <w:rPr>
          <w:b/>
          <w:color w:val="0F172A"/>
        </w:rPr>
        <w:t>Artificial Intelligence Engine (Google Gemini API)</w:t>
      </w:r>
      <w:r>
        <w:rPr>
          <w:color w:val="1E293B"/>
        </w:rPr>
        <w:t>:</w:t>
      </w:r>
    </w:p>
    <w:p>
      <w:pPr>
        <w:pStyle w:val="ListBullet"/>
        <w:spacing w:after="60" w:before="20" w:line="276" w:lineRule="auto"/>
      </w:pPr>
      <w:r>
        <w:rPr>
          <w:color w:val="1E293B"/>
        </w:rPr>
        <w:t>Enter your enterprise Gemini API Key.</w:t>
      </w:r>
    </w:p>
    <w:p>
      <w:pPr>
        <w:pStyle w:val="ListBullet"/>
        <w:spacing w:after="60" w:before="20" w:line="276" w:lineRule="auto"/>
      </w:pPr>
      <w:r>
        <w:rPr>
          <w:color w:val="1E293B"/>
        </w:rPr>
        <w:t>This powers the central AI Exam Generator, curriculum assistant, and automated evaluation tools.</w:t>
      </w:r>
    </w:p>
    <w:p>
      <w:pPr>
        <w:pStyle w:val="ListNumber"/>
        <w:spacing w:after="60" w:before="20" w:line="276" w:lineRule="auto"/>
      </w:pPr>
      <w:r>
        <w:rPr>
          <w:color w:val="1E293B"/>
        </w:rPr>
        <w:t xml:space="preserve">Click </w:t>
      </w:r>
      <w:r>
        <w:rPr>
          <w:b/>
          <w:color w:val="0F172A"/>
        </w:rPr>
        <w:t>"Save Global Settings"</w:t>
      </w:r>
      <w:r>
        <w:rPr>
          <w:color w:val="1E293B"/>
        </w:rPr>
        <w:t>. All changes deploy instantly across the network.</w:t>
      </w:r>
    </w:p>
    <w:p>
      <w:r>
        <w:br w:type="page"/>
      </w:r>
    </w:p>
    <w:p>
      <w:pPr>
        <w:spacing w:before="320" w:after="120"/>
      </w:pPr>
      <w:r>
        <w:rPr>
          <w:b/>
          <w:color w:val="0F172A"/>
          <w:sz w:val="32"/>
        </w:rPr>
        <w:t>Chapter 11: System Audit Logs &amp; Security Governance</w:t>
      </w:r>
    </w:p>
    <w:p>
      <w:pPr>
        <w:spacing w:before="240" w:after="80"/>
      </w:pPr>
      <w:r>
        <w:rPr>
          <w:b/>
          <w:color w:val="4F46E5"/>
          <w:sz w:val="26"/>
        </w:rPr>
        <w:t>11.1 Platform Audit Logging</w:t>
      </w:r>
    </w:p>
    <w:p>
      <w:pPr>
        <w:spacing w:after="120" w:before="0" w:line="276" w:lineRule="auto"/>
      </w:pPr>
      <w:r>
        <w:rPr>
          <w:color w:val="1E293B"/>
        </w:rPr>
        <w:t xml:space="preserve">In a nationwide educational network handling financial transactions, student personal data, and accredited certification, transparency and non-repudiation are essential. The </w:t>
      </w:r>
      <w:r>
        <w:rPr>
          <w:b/>
          <w:color w:val="0F172A"/>
        </w:rPr>
        <w:t>System Logs Module</w:t>
      </w:r>
      <w:r>
        <w:rPr>
          <w:color w:val="1E293B"/>
        </w:rPr>
        <w:t xml:space="preserve"> (</w:t>
      </w:r>
      <w:r>
        <w:rPr>
          <w:rFonts w:ascii="Consolas" w:hAnsi="Consolas"/>
          <w:color w:val="4F46E5"/>
          <w:sz w:val="19"/>
        </w:rPr>
        <w:t>/super-admin/logs</w:t>
      </w:r>
      <w:r>
        <w:rPr>
          <w:color w:val="1E293B"/>
        </w:rPr>
        <w:t>) records an immutable trail of administrative actions.</w:t>
      </w:r>
    </w:p>
    <w:p>
      <w:pPr>
        <w:spacing w:after="120"/>
      </w:pPr>
    </w:p>
    <w:p>
      <w:pPr>
        <w:spacing w:before="240" w:after="80"/>
      </w:pPr>
      <w:r>
        <w:rPr>
          <w:b/>
          <w:color w:val="4F46E5"/>
          <w:sz w:val="26"/>
        </w:rPr>
        <w:t>11.2 Monitored Administrative Events</w:t>
      </w:r>
    </w:p>
    <w:p>
      <w:pPr>
        <w:spacing w:after="120" w:before="0" w:line="276" w:lineRule="auto"/>
      </w:pPr>
      <w:r>
        <w:rPr>
          <w:color w:val="1E293B"/>
        </w:rPr>
        <w:t>Every critical operation is captured automatically with user identity, timestamp, and IP address:</w:t>
      </w:r>
    </w:p>
    <w:p>
      <w:pPr>
        <w:pStyle w:val="ListBullet"/>
        <w:spacing w:after="60" w:before="20" w:line="276" w:lineRule="auto"/>
      </w:pPr>
      <w:r>
        <w:rPr>
          <w:b/>
          <w:color w:val="0F172A"/>
        </w:rPr>
        <w:t>Franchise Operations</w:t>
      </w:r>
      <w:r>
        <w:rPr>
          <w:color w:val="1E293B"/>
        </w:rPr>
        <w:t>: New center provisioning, status suspension, and document authority toggles.</w:t>
      </w:r>
    </w:p>
    <w:p>
      <w:pPr>
        <w:pStyle w:val="ListBullet"/>
        <w:spacing w:after="60" w:before="20" w:line="276" w:lineRule="auto"/>
      </w:pPr>
      <w:r>
        <w:rPr>
          <w:b/>
          <w:color w:val="0F172A"/>
        </w:rPr>
        <w:t>Financial Events</w:t>
      </w:r>
      <w:r>
        <w:rPr>
          <w:color w:val="1E293B"/>
        </w:rPr>
        <w:t>: Wallet recharge approvals, manual token credits/debits, and merchant payment setting updates.</w:t>
      </w:r>
    </w:p>
    <w:p>
      <w:pPr>
        <w:pStyle w:val="ListBullet"/>
        <w:spacing w:after="60" w:before="20" w:line="276" w:lineRule="auto"/>
      </w:pPr>
      <w:r>
        <w:rPr>
          <w:b/>
          <w:color w:val="0F172A"/>
        </w:rPr>
        <w:t>Academic Modifications</w:t>
      </w:r>
      <w:r>
        <w:rPr>
          <w:color w:val="1E293B"/>
        </w:rPr>
        <w:t>: Global course creation, syllabus edits, and baseline fee changes.</w:t>
      </w:r>
    </w:p>
    <w:p>
      <w:pPr>
        <w:pStyle w:val="ListBullet"/>
        <w:spacing w:after="60" w:before="20" w:line="276" w:lineRule="auto"/>
      </w:pPr>
      <w:r>
        <w:rPr>
          <w:b/>
          <w:color w:val="0F172A"/>
        </w:rPr>
        <w:t>Certification Events</w:t>
      </w:r>
      <w:r>
        <w:rPr>
          <w:color w:val="1E293B"/>
        </w:rPr>
        <w:t>: Central certificate approvals and registration card verifications.</w:t>
      </w:r>
    </w:p>
    <w:p>
      <w:pPr>
        <w:pStyle w:val="ListBullet"/>
        <w:spacing w:after="60" w:before="20" w:line="276" w:lineRule="auto"/>
      </w:pPr>
      <w:r>
        <w:rPr>
          <w:b/>
          <w:color w:val="0F172A"/>
        </w:rPr>
        <w:t>Security Incidents</w:t>
      </w:r>
      <w:r>
        <w:rPr>
          <w:color w:val="1E293B"/>
        </w:rPr>
        <w:t>: Repeated failed login attempts and unauthorized privilege escalation attempts.</w:t>
      </w:r>
    </w:p>
    <w:p>
      <w:pPr>
        <w:spacing w:after="120"/>
      </w:pPr>
    </w:p>
    <w:p>
      <w:pPr>
        <w:spacing w:before="240" w:after="80"/>
      </w:pPr>
      <w:r>
        <w:rPr>
          <w:b/>
          <w:color w:val="4F46E5"/>
          <w:sz w:val="26"/>
        </w:rPr>
        <w:t>11.3 Filtering &amp; Exporting Audit Records</w:t>
      </w:r>
    </w:p>
    <w:p>
      <w:pPr>
        <w:pStyle w:val="ListNumber"/>
        <w:spacing w:after="60" w:before="20" w:line="276" w:lineRule="auto"/>
      </w:pPr>
      <w:r>
        <w:rPr>
          <w:color w:val="1E293B"/>
        </w:rPr>
        <w:t xml:space="preserve">Go to </w:t>
      </w:r>
      <w:r>
        <w:rPr>
          <w:b/>
          <w:color w:val="0F172A"/>
        </w:rPr>
        <w:t>System Logs</w:t>
      </w:r>
      <w:r>
        <w:rPr>
          <w:color w:val="1E293B"/>
        </w:rPr>
        <w:t xml:space="preserve"> (</w:t>
      </w:r>
      <w:r>
        <w:rPr>
          <w:rFonts w:ascii="Consolas" w:hAnsi="Consolas"/>
          <w:color w:val="4F46E5"/>
          <w:sz w:val="19"/>
        </w:rPr>
        <w:t>/super-admin/logs</w:t>
      </w:r>
      <w:r>
        <w:rPr>
          <w:color w:val="1E293B"/>
        </w:rPr>
        <w:t>).</w:t>
      </w:r>
    </w:p>
    <w:p>
      <w:pPr>
        <w:pStyle w:val="ListNumber"/>
        <w:spacing w:after="60" w:before="20" w:line="276" w:lineRule="auto"/>
      </w:pPr>
      <w:r>
        <w:rPr>
          <w:b/>
          <w:color w:val="0F172A"/>
        </w:rPr>
        <w:t>Filter by Event Category</w:t>
      </w:r>
      <w:r>
        <w:rPr>
          <w:color w:val="1E293B"/>
        </w:rPr>
        <w:t xml:space="preserve">: Isolate </w:t>
      </w:r>
      <w:r>
        <w:rPr>
          <w:i/>
        </w:rPr>
        <w:t>Authentication</w:t>
      </w:r>
      <w:r>
        <w:rPr>
          <w:color w:val="1E293B"/>
        </w:rPr>
        <w:t xml:space="preserve">, </w:t>
      </w:r>
      <w:r>
        <w:rPr>
          <w:i/>
        </w:rPr>
        <w:t>Financial</w:t>
      </w:r>
      <w:r>
        <w:rPr>
          <w:color w:val="1E293B"/>
        </w:rPr>
        <w:t xml:space="preserve">, </w:t>
      </w:r>
      <w:r>
        <w:rPr>
          <w:i/>
        </w:rPr>
        <w:t>Franchise</w:t>
      </w:r>
      <w:r>
        <w:rPr>
          <w:color w:val="1E293B"/>
        </w:rPr>
        <w:t xml:space="preserve">, or </w:t>
      </w:r>
      <w:r>
        <w:rPr>
          <w:i/>
        </w:rPr>
        <w:t>Academic</w:t>
      </w:r>
      <w:r>
        <w:rPr>
          <w:color w:val="1E293B"/>
        </w:rPr>
        <w:t xml:space="preserve"> actions.</w:t>
      </w:r>
    </w:p>
    <w:p>
      <w:pPr>
        <w:pStyle w:val="ListNumber"/>
        <w:spacing w:after="60" w:before="20" w:line="276" w:lineRule="auto"/>
      </w:pPr>
      <w:r>
        <w:rPr>
          <w:b/>
          <w:color w:val="0F172A"/>
        </w:rPr>
        <w:t>Filter by Administrator</w:t>
      </w:r>
      <w:r>
        <w:rPr>
          <w:color w:val="1E293B"/>
        </w:rPr>
        <w:t xml:space="preserve">: Audit actions performed by specific </w:t>
      </w:r>
      <w:r>
        <w:rPr>
          <w:rFonts w:ascii="Consolas" w:hAnsi="Consolas"/>
          <w:color w:val="4F46E5"/>
          <w:sz w:val="19"/>
        </w:rPr>
        <w:t>SUPER_ADMIN_MANAGER</w:t>
      </w:r>
      <w:r>
        <w:rPr>
          <w:color w:val="1E293B"/>
        </w:rPr>
        <w:t xml:space="preserve"> team members.</w:t>
      </w:r>
    </w:p>
    <w:p>
      <w:pPr>
        <w:pStyle w:val="ListNumber"/>
        <w:spacing w:after="60" w:before="20" w:line="276" w:lineRule="auto"/>
      </w:pPr>
      <w:r>
        <w:rPr>
          <w:b/>
          <w:color w:val="0F172A"/>
        </w:rPr>
        <w:t>Export Audit Trail</w:t>
      </w:r>
      <w:r>
        <w:rPr>
          <w:color w:val="1E293B"/>
        </w:rPr>
        <w:t xml:space="preserve">: Click </w:t>
      </w:r>
      <w:r>
        <w:rPr>
          <w:b/>
          <w:color w:val="0F172A"/>
        </w:rPr>
        <w:t>"Export CSV / Excel"</w:t>
      </w:r>
      <w:r>
        <w:rPr>
          <w:color w:val="1E293B"/>
        </w:rPr>
        <w:t xml:space="preserve"> to generate timestamped reports for annual legal and academic compliance reviews.</w:t>
      </w:r>
    </w:p>
    <w:p>
      <w:pPr>
        <w:spacing w:after="120"/>
      </w:pPr>
    </w:p>
    <w:p>
      <w:pPr>
        <w:spacing w:before="240" w:after="80"/>
      </w:pPr>
      <w:r>
        <w:rPr>
          <w:b/>
          <w:color w:val="4F46E5"/>
          <w:sz w:val="26"/>
        </w:rPr>
        <w:t>11.4 Backup Protocols &amp; Disaster Recovery</w:t>
      </w:r>
    </w:p>
    <w:p>
      <w:pPr>
        <w:pStyle w:val="ListBullet"/>
        <w:spacing w:after="60" w:before="20" w:line="276" w:lineRule="auto"/>
      </w:pPr>
      <w:r>
        <w:rPr>
          <w:b/>
          <w:color w:val="0F172A"/>
        </w:rPr>
        <w:t>Database Backups</w:t>
      </w:r>
      <w:r>
        <w:rPr>
          <w:color w:val="1E293B"/>
        </w:rPr>
        <w:t>: The underlying Neon PostgreSQL database maintains point-in-time recovery with continuous write-ahead logging.</w:t>
      </w:r>
    </w:p>
    <w:p>
      <w:pPr>
        <w:pStyle w:val="ListBullet"/>
        <w:spacing w:after="60" w:before="20" w:line="276" w:lineRule="auto"/>
      </w:pPr>
      <w:r>
        <w:rPr>
          <w:b/>
          <w:color w:val="0F172A"/>
        </w:rPr>
        <w:t>Media Asset Redundancy</w:t>
      </w:r>
      <w:r>
        <w:rPr>
          <w:color w:val="1E293B"/>
        </w:rPr>
        <w:t>: All uploaded student photographs, government IDs, and payment receipts are backed up in secure cloud storage.</w:t>
      </w:r>
    </w:p>
    <w:p>
      <w:pPr>
        <w:pStyle w:val="ListBullet"/>
        <w:spacing w:after="60" w:before="20" w:line="276" w:lineRule="auto"/>
      </w:pPr>
      <w:r>
        <w:rPr>
          <w:b/>
          <w:color w:val="0F172A"/>
        </w:rPr>
        <w:t>Service Status</w:t>
      </w:r>
      <w:r>
        <w:rPr>
          <w:color w:val="1E293B"/>
        </w:rPr>
        <w:t>: Central platform uptime and API health can be monitored in real-time from the System Health monitor.</w:t>
      </w:r>
    </w:p>
    <w:p>
      <w:r>
        <w:br w:type="page"/>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Strictly Confidential — Executive Head Office Operations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ABCD Edu Hub — Super Administrator Master Operational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