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2E75B6"/>
          <w:spacing w:val="40"/>
          <w:sz w:val="26"/>
          <w:szCs w:val="26"/>
        </w:rPr>
        <w:t xml:space="preserve">PROJECT REPORT</w:t>
      </w:r>
    </w:p>
    <w:p>
      <w:pPr>
        <w:spacing w:after="200"/>
      </w:pPr>
    </w:p>
    <w:p>
      <w:pPr>
        <w:spacing w:after="100"/>
        <w:jc w:val="center"/>
      </w:pPr>
      <w:r>
        <w:rPr>
          <w:b/>
          <w:bCs/>
          <w:color w:val="1F3864"/>
          <w:sz w:val="48"/>
          <w:szCs w:val="48"/>
        </w:rPr>
        <w:t xml:space="preserve">AI-Driven Data Quality Management System</w:t>
      </w:r>
    </w:p>
    <w:p>
      <w:pPr>
        <w:spacing w:after="400"/>
        <w:jc w:val="center"/>
      </w:pPr>
      <w:r>
        <w:rPr>
          <w:i/>
          <w:iCs/>
          <w:color w:val="595959"/>
          <w:sz w:val="24"/>
          <w:szCs w:val="24"/>
        </w:rPr>
        <w:t xml:space="preserve">Automated Rule Generation, Anomaly Detection, Root-Cause Diagnosis and AI-Assisted Correction Workflow for Banking Data</w:t>
      </w:r>
    </w:p>
    <w:p>
      <w:pPr>
        <w:spacing w:after="700"/>
      </w:pPr>
    </w:p>
    <w:p>
      <w:pPr>
        <w:spacing w:after="60"/>
        <w:jc w:val="center"/>
      </w:pPr>
      <w:r>
        <w:rPr>
          <w:color w:val="595959"/>
          <w:sz w:val="20"/>
          <w:szCs w:val="20"/>
        </w:rPr>
        <w:t xml:space="preserve">Metric Reference: 04.01.05 — AI-Driven Modules for Data Management</w:t>
      </w:r>
    </w:p>
    <w:p>
      <w:pPr>
        <w:spacing w:after="900"/>
      </w:pP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600"/>
      </w:tblGrid>
      <w:tr>
        <w:tc>
          <w:tcPr>
            <w:tcW w:type="dxa" w:w="2400"/>
          </w:tcPr>
          <w:p>
            <w:pPr>
              <w:jc w:val="left"/>
            </w:pPr>
            <w:r>
              <w:rPr>
                <w:b/>
                <w:bCs/>
                <w:color w:val="000000"/>
                <w:sz w:val="20"/>
                <w:szCs w:val="20"/>
              </w:rPr>
              <w:t xml:space="preserve">Prepared By:</w:t>
            </w:r>
          </w:p>
        </w:tc>
        <w:tc>
          <w:tcPr>
            <w:tcW w:type="dxa" w:w="3600"/>
          </w:tcPr>
          <w:p>
            <w:pPr>
              <w:jc w:val="left"/>
            </w:pPr>
            <w:r>
              <w:rPr>
                <w:b w:val="false"/>
                <w:bCs w:val="false"/>
                <w:color w:val="000000"/>
                <w:sz w:val="20"/>
                <w:szCs w:val="20"/>
              </w:rPr>
              <w:t xml:space="preserve">Suman.P</w:t>
            </w:r>
          </w:p>
        </w:tc>
      </w:tr>
      <w:tr>
        <w:tc>
          <w:tcPr>
            <w:tcW w:type="dxa" w:w="2400"/>
          </w:tcPr>
          <w:p>
            <w:pPr>
              <w:jc w:val="left"/>
            </w:pPr>
            <w:r>
              <w:rPr>
                <w:b/>
                <w:bCs/>
                <w:color w:val="000000"/>
                <w:sz w:val="20"/>
                <w:szCs w:val="20"/>
              </w:rPr>
              <w:t xml:space="preserve">Project Type:</w:t>
            </w:r>
          </w:p>
        </w:tc>
        <w:tc>
          <w:tcPr>
            <w:tcW w:type="dxa" w:w="3600"/>
          </w:tcPr>
          <w:p>
            <w:pPr>
              <w:jc w:val="left"/>
            </w:pPr>
            <w:r>
              <w:rPr>
                <w:b w:val="false"/>
                <w:bCs w:val="false"/>
                <w:color w:val="000000"/>
                <w:sz w:val="20"/>
                <w:szCs w:val="20"/>
              </w:rPr>
              <w:t xml:space="preserve">Data Quality Automation — Test Environment</w:t>
            </w:r>
          </w:p>
        </w:tc>
      </w:tr>
      <w:tr>
        <w:tc>
          <w:tcPr>
            <w:tcW w:type="dxa" w:w="2400"/>
          </w:tcPr>
          <w:p>
            <w:pPr>
              <w:jc w:val="left"/>
            </w:pPr>
            <w:r>
              <w:rPr>
                <w:b/>
                <w:bCs/>
                <w:color w:val="000000"/>
                <w:sz w:val="20"/>
                <w:szCs w:val="20"/>
              </w:rPr>
              <w:t xml:space="preserve">Platform:</w:t>
            </w:r>
          </w:p>
        </w:tc>
        <w:tc>
          <w:tcPr>
            <w:tcW w:type="dxa" w:w="3600"/>
          </w:tcPr>
          <w:p>
            <w:pPr>
              <w:jc w:val="left"/>
            </w:pPr>
            <w:r>
              <w:rPr>
                <w:b w:val="false"/>
                <w:bCs w:val="false"/>
                <w:color w:val="000000"/>
                <w:sz w:val="20"/>
                <w:szCs w:val="20"/>
              </w:rPr>
              <w:t xml:space="preserve">Oracle SQL Developer, Python (PyCharm)</w:t>
            </w:r>
          </w:p>
        </w:tc>
      </w:tr>
      <w:tr>
        <w:tc>
          <w:tcPr>
            <w:tcW w:type="dxa" w:w="2400"/>
          </w:tcPr>
          <w:p>
            <w:pPr>
              <w:jc w:val="left"/>
            </w:pPr>
            <w:r>
              <w:rPr>
                <w:b/>
                <w:bCs/>
                <w:color w:val="000000"/>
                <w:sz w:val="20"/>
                <w:szCs w:val="20"/>
              </w:rPr>
              <w:t xml:space="preserve">Date:</w:t>
            </w:r>
          </w:p>
        </w:tc>
        <w:tc>
          <w:tcPr>
            <w:tcW w:type="dxa" w:w="3600"/>
          </w:tcPr>
          <w:p>
            <w:pPr>
              <w:jc w:val="left"/>
            </w:pPr>
            <w:r>
              <w:rPr>
                <w:b w:val="false"/>
                <w:bCs w:val="false"/>
                <w:color w:val="000000"/>
                <w:sz w:val="20"/>
                <w:szCs w:val="20"/>
              </w:rPr>
              <w:t xml:space="preserve">September 2026</w:t>
            </w:r>
          </w:p>
        </w:tc>
      </w:tr>
    </w:tbl>
    <w:p>
      <w:r>
        <w:br w:type="page"/>
      </w:r>
    </w:p>
    <w:p>
      <w:pPr>
        <w:pStyle w:val="Heading1"/>
        <w:pBdr>
          <w:bottom w:val="single" w:color="2E75B6" w:sz="6" w:space="4"/>
        </w:pBdr>
        <w:spacing w:after="160" w:before="360"/>
      </w:pPr>
      <w:r>
        <w:rPr>
          <w:b/>
          <w:bCs/>
          <w:color w:val="1F3864"/>
          <w:sz w:val="30"/>
          <w:szCs w:val="30"/>
        </w:rPr>
        <w:t xml:space="preserve">Table of Contents</w:t>
      </w:r>
    </w:p>
    <w:p>
      <w:pPr>
        <w:tabs>
          <w:tab w:val="right" w:pos="9072" w:leader="dot"/>
        </w:tabs>
        <w:spacing w:after="140"/>
      </w:pPr>
      <w:r>
        <w:rPr>
          <w:sz w:val="22"/>
          <w:szCs w:val="22"/>
        </w:rPr>
        <w:t xml:space="preserve">1. Introduction</w:t>
      </w:r>
      <w:r>
        <w:rPr>
          <w:sz w:val="22"/>
          <w:szCs w:val="22"/>
        </w:rPr>
        <w:t xml:space="preserve">	3</w:t>
      </w:r>
    </w:p>
    <w:p>
      <w:pPr>
        <w:tabs>
          <w:tab w:val="right" w:pos="9072" w:leader="dot"/>
        </w:tabs>
        <w:spacing w:after="140"/>
      </w:pPr>
      <w:r>
        <w:rPr>
          <w:sz w:val="22"/>
          <w:szCs w:val="22"/>
        </w:rPr>
        <w:t xml:space="preserve">2. Dataset Architecture</w:t>
      </w:r>
      <w:r>
        <w:rPr>
          <w:sz w:val="22"/>
          <w:szCs w:val="22"/>
        </w:rPr>
        <w:t xml:space="preserve">	3</w:t>
      </w:r>
    </w:p>
    <w:p>
      <w:pPr>
        <w:tabs>
          <w:tab w:val="right" w:pos="9072" w:leader="dot"/>
        </w:tabs>
        <w:spacing w:after="140"/>
      </w:pPr>
      <w:r>
        <w:rPr>
          <w:sz w:val="22"/>
          <w:szCs w:val="22"/>
        </w:rPr>
        <w:t xml:space="preserve">3. Methodology</w:t>
      </w:r>
      <w:r>
        <w:rPr>
          <w:sz w:val="22"/>
          <w:szCs w:val="22"/>
        </w:rPr>
        <w:t xml:space="preserve">	5</w:t>
      </w:r>
    </w:p>
    <w:p>
      <w:pPr>
        <w:tabs>
          <w:tab w:val="right" w:pos="9072" w:leader="dot"/>
        </w:tabs>
        <w:spacing w:after="140"/>
      </w:pPr>
      <w:r>
        <w:rPr>
          <w:sz w:val="22"/>
          <w:szCs w:val="22"/>
        </w:rPr>
        <w:t xml:space="preserve">4. Results Summary</w:t>
      </w:r>
      <w:r>
        <w:rPr>
          <w:sz w:val="22"/>
          <w:szCs w:val="22"/>
        </w:rPr>
        <w:t xml:space="preserve">	7</w:t>
      </w:r>
    </w:p>
    <w:p>
      <w:pPr>
        <w:tabs>
          <w:tab w:val="right" w:pos="9072" w:leader="dot"/>
        </w:tabs>
        <w:spacing w:after="140"/>
      </w:pPr>
      <w:r>
        <w:rPr>
          <w:sz w:val="22"/>
          <w:szCs w:val="22"/>
        </w:rPr>
        <w:t xml:space="preserve">5. Model-Based Extensions (Trained and Validated ML Components)</w:t>
      </w:r>
      <w:r>
        <w:rPr>
          <w:sz w:val="22"/>
          <w:szCs w:val="22"/>
        </w:rPr>
        <w:t xml:space="preserve">	9</w:t>
      </w:r>
    </w:p>
    <w:p>
      <w:pPr>
        <w:tabs>
          <w:tab w:val="right" w:pos="9072" w:leader="dot"/>
        </w:tabs>
        <w:spacing w:after="140"/>
      </w:pPr>
      <w:r>
        <w:rPr>
          <w:sz w:val="22"/>
          <w:szCs w:val="22"/>
        </w:rPr>
        <w:t xml:space="preserve">6. Front-End Application</w:t>
      </w:r>
      <w:r>
        <w:rPr>
          <w:sz w:val="22"/>
          <w:szCs w:val="22"/>
        </w:rPr>
        <w:t xml:space="preserve">	11</w:t>
      </w:r>
    </w:p>
    <w:p>
      <w:pPr>
        <w:tabs>
          <w:tab w:val="right" w:pos="9072" w:leader="dot"/>
        </w:tabs>
        <w:spacing w:after="140"/>
      </w:pPr>
      <w:r>
        <w:rPr>
          <w:sz w:val="22"/>
          <w:szCs w:val="22"/>
        </w:rPr>
        <w:t xml:space="preserve">7. Action-Step Traceability Matrix</w:t>
      </w:r>
      <w:r>
        <w:rPr>
          <w:sz w:val="22"/>
          <w:szCs w:val="22"/>
        </w:rPr>
        <w:t xml:space="preserve">	12</w:t>
      </w:r>
    </w:p>
    <w:p>
      <w:pPr>
        <w:tabs>
          <w:tab w:val="right" w:pos="9072" w:leader="dot"/>
        </w:tabs>
        <w:spacing w:after="140"/>
      </w:pPr>
      <w:r>
        <w:rPr>
          <w:sz w:val="22"/>
          <w:szCs w:val="22"/>
        </w:rPr>
        <w:t xml:space="preserve">8. Tools and Technologies Used</w:t>
      </w:r>
      <w:r>
        <w:rPr>
          <w:sz w:val="22"/>
          <w:szCs w:val="22"/>
        </w:rPr>
        <w:t xml:space="preserve">	13</w:t>
      </w:r>
    </w:p>
    <w:p>
      <w:pPr>
        <w:tabs>
          <w:tab w:val="right" w:pos="9072" w:leader="dot"/>
        </w:tabs>
        <w:spacing w:after="140"/>
      </w:pPr>
      <w:r>
        <w:rPr>
          <w:sz w:val="22"/>
          <w:szCs w:val="22"/>
        </w:rPr>
        <w:t xml:space="preserve">9. Conclusion</w:t>
      </w:r>
      <w:r>
        <w:rPr>
          <w:sz w:val="22"/>
          <w:szCs w:val="22"/>
        </w:rPr>
        <w:t xml:space="preserve">	14</w:t>
      </w:r>
    </w:p>
    <w:p>
      <w:r>
        <w:br w:type="page"/>
      </w:r>
    </w:p>
    <w:p>
      <w:pPr>
        <w:pStyle w:val="Heading1"/>
        <w:pBdr>
          <w:bottom w:val="single" w:color="2E75B6" w:sz="6" w:space="4"/>
        </w:pBdr>
        <w:spacing w:after="160" w:before="360"/>
      </w:pPr>
      <w:r>
        <w:rPr>
          <w:b/>
          <w:bCs/>
          <w:color w:val="1F3864"/>
          <w:sz w:val="30"/>
          <w:szCs w:val="30"/>
        </w:rPr>
        <w:t xml:space="preserve">1. Introduction</w:t>
      </w:r>
    </w:p>
    <w:p>
      <w:pPr>
        <w:pStyle w:val="Heading2"/>
        <w:spacing w:after="120" w:before="260"/>
      </w:pPr>
      <w:r>
        <w:rPr>
          <w:b/>
          <w:bCs/>
          <w:color w:val="2E75B6"/>
          <w:sz w:val="24"/>
          <w:szCs w:val="24"/>
        </w:rPr>
        <w:t xml:space="preserve">1.1 Background</w:t>
      </w:r>
    </w:p>
    <w:p>
      <w:pPr>
        <w:spacing w:after="160" w:line="276"/>
      </w:pPr>
      <w:r>
        <w:rPr>
          <w:sz w:val="22"/>
          <w:szCs w:val="22"/>
        </w:rPr>
        <w:t xml:space="preserve">Traditional data quality management in banks is largely manual: teams write queries, review reports, and correct data-quality issues one record at a time. This approach does not scale with the volume of records held in core banking systems and reacts to problems only after they have caused downstream impact.</w:t>
      </w:r>
    </w:p>
    <w:p>
      <w:pPr>
        <w:spacing w:after="160" w:line="276"/>
      </w:pPr>
      <w:r>
        <w:rPr>
          <w:sz w:val="22"/>
          <w:szCs w:val="22"/>
        </w:rPr>
        <w:t xml:space="preserve">This project implements an AI-driven data quality management system aligned to Metric 04.01.05, which requires a bank to move beyond manual monitoring by embedding Artificial Intelligence and Machine Learning into the full data management lifecycle: automatic rule generation, anomaly detection with root-cause diagnosis, and AI-assisted correction workflows with mandatory human review.</w:t>
      </w:r>
    </w:p>
    <w:p>
      <w:pPr>
        <w:pStyle w:val="Heading2"/>
        <w:spacing w:after="120" w:before="260"/>
      </w:pPr>
      <w:r>
        <w:rPr>
          <w:b/>
          <w:bCs/>
          <w:color w:val="2E75B6"/>
          <w:sz w:val="24"/>
          <w:szCs w:val="24"/>
        </w:rPr>
        <w:t xml:space="preserve">1.2 Objective</w:t>
      </w:r>
    </w:p>
    <w:p>
      <w:pPr>
        <w:spacing w:after="160" w:line="276"/>
      </w:pPr>
      <w:r>
        <w:rPr>
          <w:sz w:val="22"/>
          <w:szCs w:val="22"/>
        </w:rPr>
        <w:t xml:space="preserve">To design and implement, on a realistic synthetic banking dataset, a working prototype that:</w:t>
      </w:r>
    </w:p>
    <w:p>
      <w:pPr>
        <w:pStyle w:val="ListParagraph"/>
        <w:numPr>
          <w:ilvl w:val="0"/>
          <w:numId w:val="2"/>
        </w:numPr>
        <w:spacing w:after="80"/>
      </w:pPr>
      <w:r>
        <w:rPr>
          <w:sz w:val="22"/>
          <w:szCs w:val="22"/>
        </w:rPr>
        <w:t xml:space="preserve">Automatically profiles data and proposes data-quality rules with measurable pass/fail scores.</w:t>
      </w:r>
    </w:p>
    <w:p>
      <w:pPr>
        <w:pStyle w:val="ListParagraph"/>
        <w:numPr>
          <w:ilvl w:val="0"/>
          <w:numId w:val="2"/>
        </w:numPr>
        <w:spacing w:after="80"/>
      </w:pPr>
      <w:r>
        <w:rPr>
          <w:sz w:val="22"/>
          <w:szCs w:val="22"/>
        </w:rPr>
        <w:t xml:space="preserve">Detects anomalies through relationship checks, date-logic checks, and statistical spike detection.</w:t>
      </w:r>
    </w:p>
    <w:p>
      <w:pPr>
        <w:pStyle w:val="ListParagraph"/>
        <w:numPr>
          <w:ilvl w:val="0"/>
          <w:numId w:val="2"/>
        </w:numPr>
        <w:spacing w:after="80"/>
      </w:pPr>
      <w:r>
        <w:rPr>
          <w:sz w:val="22"/>
          <w:szCs w:val="22"/>
        </w:rPr>
        <w:t xml:space="preserve">Diagnoses the likely root cause of each anomaly — an isolated data-entry error versus a wider upstream feed failure.</w:t>
      </w:r>
    </w:p>
    <w:p>
      <w:pPr>
        <w:pStyle w:val="ListParagraph"/>
        <w:numPr>
          <w:ilvl w:val="0"/>
          <w:numId w:val="2"/>
        </w:numPr>
        <w:spacing w:after="80"/>
      </w:pPr>
      <w:r>
        <w:rPr>
          <w:sz w:val="22"/>
          <w:szCs w:val="22"/>
        </w:rPr>
        <w:t xml:space="preserve">Measures its own detection accuracy against a known set of injected errors.</w:t>
      </w:r>
    </w:p>
    <w:p>
      <w:pPr>
        <w:pStyle w:val="ListParagraph"/>
        <w:numPr>
          <w:ilvl w:val="0"/>
          <w:numId w:val="2"/>
        </w:numPr>
        <w:spacing w:after="80"/>
      </w:pPr>
      <w:r>
        <w:rPr>
          <w:sz w:val="22"/>
          <w:szCs w:val="22"/>
        </w:rPr>
        <w:t xml:space="preserve">Suggests corrections with a confidence score derived from historical reviewer decisions, routes them through a human-approval queue, and applies only approved fixes through a staged, audited process.</w:t>
      </w:r>
    </w:p>
    <w:p>
      <w:pPr>
        <w:pStyle w:val="Heading2"/>
        <w:spacing w:after="120" w:before="260"/>
      </w:pPr>
      <w:r>
        <w:rPr>
          <w:b/>
          <w:bCs/>
          <w:color w:val="2E75B6"/>
          <w:sz w:val="24"/>
          <w:szCs w:val="24"/>
        </w:rPr>
        <w:t xml:space="preserve">1.3 Test Data</w:t>
      </w:r>
    </w:p>
    <w:p>
      <w:pPr>
        <w:spacing w:after="160" w:line="276"/>
      </w:pPr>
      <w:r>
        <w:rPr>
          <w:sz w:val="22"/>
          <w:szCs w:val="22"/>
        </w:rPr>
        <w:t xml:space="preserve">Because production banking data cannot be used for development or testing, a synthetic dataset was generated to resemble a real core-banking extract in structure, scale, and realism (valid Indian name, mobile, PAN and PIN-code formats; branch and IFSC codes; EMI-consistent loan schedules; transaction narrations resembling UPI/NEFT/IMPS/ATM activity). A known set of data-quality errors was deliberately injected into this dataset, together with a hidden "ground truth" log, so that the tool's detection and correction accuracy could be objectively measured rather than assumed.</w:t>
      </w:r>
    </w:p>
    <w:p>
      <w:pPr>
        <w:pStyle w:val="Heading1"/>
        <w:pBdr>
          <w:bottom w:val="single" w:color="2E75B6" w:sz="6" w:space="4"/>
        </w:pBdr>
        <w:spacing w:after="160" w:before="360"/>
      </w:pPr>
      <w:r>
        <w:rPr>
          <w:b/>
          <w:bCs/>
          <w:color w:val="1F3864"/>
          <w:sz w:val="30"/>
          <w:szCs w:val="30"/>
        </w:rPr>
        <w:t xml:space="preserve">2. Dataset Architecture</w:t>
      </w:r>
    </w:p>
    <w:p>
      <w:pPr>
        <w:spacing w:after="160" w:line="276"/>
      </w:pPr>
      <w:r>
        <w:rPr>
          <w:sz w:val="22"/>
          <w:szCs w:val="22"/>
        </w:rPr>
        <w:t xml:space="preserve">The dataset was generated using a Python script (generate_realistic_bank_data.py) and loaded into Oracle 21c/XE. It consists of nine linked tables:</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1800"/>
        <w:gridCol w:w="42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Table</w:t>
            </w:r>
          </w:p>
        </w:tc>
        <w:tc>
          <w:tcPr>
            <w:tcW w:type="dxa" w:w="1800"/>
            <w:shd w:fill="1F3864" w:val="clear"/>
            <w:tcMar>
              <w:top w:type="dxa" w:w="60"/>
              <w:left w:type="dxa" w:w="100"/>
              <w:bottom w:type="dxa" w:w="60"/>
              <w:right w:type="dxa" w:w="100"/>
            </w:tcMar>
            <w:vAlign w:val="center"/>
          </w:tcPr>
          <w:p>
            <w:pPr>
              <w:jc w:val="left"/>
            </w:pPr>
            <w:r>
              <w:rPr>
                <w:b/>
                <w:bCs/>
                <w:color w:val="FFFFFF"/>
                <w:sz w:val="20"/>
                <w:szCs w:val="20"/>
              </w:rPr>
              <w:t xml:space="preserve">Approx. Rows</w:t>
            </w:r>
          </w:p>
        </w:tc>
        <w:tc>
          <w:tcPr>
            <w:tcW w:type="dxa" w:w="4200"/>
            <w:shd w:fill="1F3864" w:val="clear"/>
            <w:tcMar>
              <w:top w:type="dxa" w:w="60"/>
              <w:left w:type="dxa" w:w="100"/>
              <w:bottom w:type="dxa" w:w="60"/>
              <w:right w:type="dxa" w:w="100"/>
            </w:tcMar>
            <w:vAlign w:val="center"/>
          </w:tcPr>
          <w:p>
            <w:pPr>
              <w:jc w:val="left"/>
            </w:pPr>
            <w:r>
              <w:rPr>
                <w:b/>
                <w:bCs/>
                <w:color w:val="FFFFFF"/>
                <w:sz w:val="20"/>
                <w:szCs w:val="20"/>
              </w:rPr>
              <w:t xml:space="preserve">Purpose</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customer_master</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~100,000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Customer demographic and KYC data</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account_master</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~130,000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Savings, salary, current and fixed-deposit accounts</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loan_accounts</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~30,000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Home, personal, vehicle, education, business and gold loans</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transactions</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~480,000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180 days of UPI / NEFT / IMPS / ATM / POS / branch transactions</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branch_master</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~130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Branch, IFSC and MICR reference data</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pincode_reference</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~130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Valid PIN code to city/state mapping</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batch_log</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2,160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Daily load history per source system, used for root-cause tracing</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correction_history</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8,000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Past correction decisions, used to calibrate confidence scores</w:t>
            </w:r>
          </w:p>
        </w:tc>
      </w:tr>
      <w:tr>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error_log_ground_truth</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~39,000–40,000</w:t>
            </w:r>
          </w:p>
        </w:tc>
        <w:tc>
          <w:tcPr>
            <w:tcW w:type="dxa" w:w="4200"/>
            <w:tcMar>
              <w:top w:type="dxa" w:w="60"/>
              <w:left w:type="dxa" w:w="100"/>
              <w:bottom w:type="dxa" w:w="60"/>
              <w:right w:type="dxa" w:w="100"/>
            </w:tcMar>
            <w:vAlign w:val="center"/>
          </w:tcPr>
          <w:p>
            <w:pPr>
              <w:jc w:val="left"/>
            </w:pPr>
            <w:r>
              <w:rPr>
                <w:b w:val="false"/>
                <w:bCs w:val="false"/>
                <w:color w:val="000000"/>
                <w:sz w:val="20"/>
                <w:szCs w:val="20"/>
              </w:rPr>
              <w:t xml:space="preserve">Hidden record of every deliberately injected error, used only for scoring</w:t>
            </w:r>
          </w:p>
        </w:tc>
      </w:tr>
    </w:tbl>
    <w:p>
      <w:pPr>
        <w:spacing w:after="160"/>
      </w:pPr>
    </w:p>
    <w:p>
      <w:pPr>
        <w:spacing w:after="160" w:line="276"/>
      </w:pPr>
      <w:r>
        <w:rPr>
          <w:i/>
          <w:iCs/>
          <w:sz w:val="22"/>
          <w:szCs w:val="22"/>
        </w:rPr>
        <w:t xml:space="preserve">An overall error rate of approximately 2–5% was deliberately injected across formats, completeness, relationships, and date logic, reflecting realistic — not catastrophic — data quality in a live banking system.</w:t>
      </w:r>
    </w:p>
    <w:p>
      <w:r>
        <w:br w:type="page"/>
      </w:r>
    </w:p>
    <w:p>
      <w:pPr>
        <w:pStyle w:val="Heading1"/>
        <w:pBdr>
          <w:bottom w:val="single" w:color="2E75B6" w:sz="6" w:space="4"/>
        </w:pBdr>
        <w:spacing w:after="160" w:before="360"/>
      </w:pPr>
      <w:r>
        <w:rPr>
          <w:b/>
          <w:bCs/>
          <w:color w:val="1F3864"/>
          <w:sz w:val="30"/>
          <w:szCs w:val="30"/>
        </w:rPr>
        <w:t xml:space="preserve">3. Methodology</w:t>
      </w:r>
    </w:p>
    <w:p>
      <w:pPr>
        <w:spacing w:after="160" w:line="276"/>
      </w:pPr>
      <w:r>
        <w:rPr>
          <w:sz w:val="22"/>
          <w:szCs w:val="22"/>
        </w:rPr>
        <w:t xml:space="preserve">The implementation follows the three sub-points defined under Metric 04.01.05, executed in eight sequential phases across Oracle SQL and Python.</w:t>
      </w:r>
    </w:p>
    <w:p>
      <w:pPr>
        <w:pStyle w:val="Heading2"/>
        <w:spacing w:after="120" w:before="260"/>
      </w:pPr>
      <w:r>
        <w:rPr>
          <w:b/>
          <w:bCs/>
          <w:color w:val="2E75B6"/>
          <w:sz w:val="24"/>
          <w:szCs w:val="24"/>
        </w:rPr>
        <w:t xml:space="preserve">3.1 Phase 1 — Data Profiling</w:t>
      </w:r>
    </w:p>
    <w:p>
      <w:pPr>
        <w:spacing w:after="160" w:line="276"/>
      </w:pPr>
      <w:r>
        <w:rPr>
          <w:sz w:val="22"/>
          <w:szCs w:val="22"/>
        </w:rPr>
        <w:t xml:space="preserve">Every column of every table was statistically profiled: null rate, distinct-value count, minimum/maximum, and format pattern (using a digit/letter mask, e.g. a 10-digit mobile number appears as "9999999999"). This profiling was implemented both in Oracle PL/SQL (dq_step1_profile.sql) and in Python (dq_step1_profile.py) for cross-verification, and forms the evidence base for every later stage.</w:t>
      </w:r>
    </w:p>
    <w:p>
      <w:pPr>
        <w:pStyle w:val="Heading2"/>
        <w:spacing w:after="120" w:before="260"/>
      </w:pPr>
      <w:r>
        <w:rPr>
          <w:b/>
          <w:bCs/>
          <w:color w:val="2E75B6"/>
          <w:sz w:val="24"/>
          <w:szCs w:val="24"/>
        </w:rPr>
        <w:t xml:space="preserve">3.2 Phase 2 — AI-Suggested Rules and Data Quality Scoring</w:t>
      </w:r>
    </w:p>
    <w:p>
      <w:pPr>
        <w:spacing w:after="160" w:line="276"/>
      </w:pPr>
      <w:r>
        <w:rPr>
          <w:sz w:val="22"/>
          <w:szCs w:val="22"/>
        </w:rPr>
        <w:t xml:space="preserve">Thirty data-quality rules were generated from the profiling results, covering five dimensions: Completeness, Validity, Consistency, Integrity and Uniqueness. Each rule was stored with a PENDING status requiring explicit sign-off before being applied — a direct implementation of the "Data Owners review and approve/reject AI-suggested rules" requirement. Once approved, each rule was executed to calculate a pass rate, rolled up into per-table, per-dimension, and bank-wide Data Quality Scores, refreshed on demand via a live HTML/JavaScript dashboard.</w:t>
      </w:r>
    </w:p>
    <w:p>
      <w:pPr>
        <w:pStyle w:val="Heading2"/>
        <w:spacing w:after="120" w:before="260"/>
      </w:pPr>
      <w:r>
        <w:rPr>
          <w:b/>
          <w:bCs/>
          <w:color w:val="2E75B6"/>
          <w:sz w:val="24"/>
          <w:szCs w:val="24"/>
        </w:rPr>
        <w:t xml:space="preserve">3.3 Phase 3 — Relationship and Referential Integrity Checks</w:t>
      </w:r>
    </w:p>
    <w:p>
      <w:pPr>
        <w:spacing w:after="160" w:line="276"/>
      </w:pPr>
      <w:r>
        <w:rPr>
          <w:sz w:val="22"/>
          <w:szCs w:val="22"/>
        </w:rPr>
        <w:t xml:space="preserve">Cross-table relationships were validated automatically: every account, loan and transaction was checked against its parent customer, account or branch record, catching broken foreign-key relationships that single-column rules cannot detect. Loan maturity dates were checked for logical consistency against their disbursement dates.</w:t>
      </w:r>
    </w:p>
    <w:p>
      <w:pPr>
        <w:pStyle w:val="Heading2"/>
        <w:spacing w:after="120" w:before="260"/>
      </w:pPr>
      <w:r>
        <w:rPr>
          <w:b/>
          <w:bCs/>
          <w:color w:val="2E75B6"/>
          <w:sz w:val="24"/>
          <w:szCs w:val="24"/>
        </w:rPr>
        <w:t xml:space="preserve">3.4 Phase 4 — Statistical Anomaly (Spike) Detection</w:t>
      </w:r>
    </w:p>
    <w:p>
      <w:pPr>
        <w:spacing w:after="160" w:line="276"/>
      </w:pPr>
      <w:r>
        <w:rPr>
          <w:sz w:val="22"/>
          <w:szCs w:val="22"/>
        </w:rPr>
        <w:t xml:space="preserve">A robust, rolling Z-score (based on the median and Median Absolute Deviation rather than the mean and standard deviation, to remain reliable on skewed monetary data) was used to detect days on which the average transaction amount or average loan disbursement amount deviated sharply from its recent 60–90 day baseline. Recurring legitimate patterns, such as monthly salary credits, were explicitly excluded to avoid false alarms.</w:t>
      </w:r>
    </w:p>
    <w:p>
      <w:pPr>
        <w:pStyle w:val="Heading2"/>
        <w:spacing w:after="120" w:before="260"/>
      </w:pPr>
      <w:r>
        <w:rPr>
          <w:b/>
          <w:bCs/>
          <w:color w:val="2E75B6"/>
          <w:sz w:val="24"/>
          <w:szCs w:val="24"/>
        </w:rPr>
        <w:t xml:space="preserve">3.5 Phase 5 — Root-Cause Diagnosis</w:t>
      </w:r>
    </w:p>
    <w:p>
      <w:pPr>
        <w:spacing w:after="160" w:line="276"/>
      </w:pPr>
      <w:r>
        <w:rPr>
          <w:sz w:val="22"/>
          <w:szCs w:val="22"/>
        </w:rPr>
        <w:t xml:space="preserve">Every detected anomaly was traced back to its source batch (source system and load date). Batches with an anomaly count far exceeding that source system's historical average were classified as a probable Upstream Feed Failure; all other anomalies were classified as Isolated Entry Errors. This distinction allows a data steward to prioritise investigating a small number of batches rather than reviewing every affected record individually.</w:t>
      </w:r>
    </w:p>
    <w:p>
      <w:pPr>
        <w:pStyle w:val="Heading2"/>
        <w:spacing w:after="120" w:before="260"/>
      </w:pPr>
      <w:r>
        <w:rPr>
          <w:b/>
          <w:bCs/>
          <w:color w:val="2E75B6"/>
          <w:sz w:val="24"/>
          <w:szCs w:val="24"/>
        </w:rPr>
        <w:t xml:space="preserve">3.6 Phase 6 — Detection Accuracy Evaluation</w:t>
      </w:r>
    </w:p>
    <w:p>
      <w:pPr>
        <w:spacing w:after="160" w:line="276"/>
      </w:pPr>
      <w:r>
        <w:rPr>
          <w:sz w:val="22"/>
          <w:szCs w:val="22"/>
        </w:rPr>
        <w:t xml:space="preserve">Because the injected errors were logged in a hidden ground-truth table, the tool's own detection performance could be objectively measured using Precision (of everything flagged, how much was a real error) and Recall (of every real error, how much was caught) — the standard evaluation metrics for an anomaly-detection system, satisfying the requirement to "measure diagnostic accuracy."</w:t>
      </w:r>
    </w:p>
    <w:p>
      <w:pPr>
        <w:pStyle w:val="Heading2"/>
        <w:spacing w:after="120" w:before="260"/>
      </w:pPr>
      <w:r>
        <w:rPr>
          <w:b/>
          <w:bCs/>
          <w:color w:val="2E75B6"/>
          <w:sz w:val="24"/>
          <w:szCs w:val="24"/>
        </w:rPr>
        <w:t xml:space="preserve">3.7 Phase 7 — AI-Assisted Correction Workflow</w:t>
      </w:r>
    </w:p>
    <w:p>
      <w:pPr>
        <w:spacing w:after="160" w:line="276"/>
      </w:pPr>
      <w:r>
        <w:rPr>
          <w:sz w:val="22"/>
          <w:szCs w:val="22"/>
        </w:rPr>
        <w:t xml:space="preserve">Correction suggestions were generated for a defined, low-risk scope: mobile number formatting, gender code standardisation, name formatting, and PIN code anomalies. Rather than assigning an arbitrary confidence score, each suggestion's confidence was calculated from the historical approval rate of that exact fix pattern in correction_history — meaning a fix pattern that reviewers have usually rejected in the past is automatically scored as low-confidence, and a fix with no safe automatic answer (such as a 5-digit PIN code) is routed to manual review rather than guessed.</w:t>
      </w:r>
    </w:p>
    <w:p>
      <w:pPr>
        <w:pStyle w:val="Heading2"/>
        <w:spacing w:after="120" w:before="260"/>
      </w:pPr>
      <w:r>
        <w:rPr>
          <w:b/>
          <w:bCs/>
          <w:color w:val="2E75B6"/>
          <w:sz w:val="24"/>
          <w:szCs w:val="24"/>
        </w:rPr>
        <w:t xml:space="preserve">3.8 Phase 8 — Human Review, Staged Apply, Audit Trail and Retraining</w:t>
      </w:r>
    </w:p>
    <w:p>
      <w:pPr>
        <w:spacing w:after="160" w:line="276"/>
      </w:pPr>
      <w:r>
        <w:rPr>
          <w:sz w:val="22"/>
          <w:szCs w:val="22"/>
        </w:rPr>
        <w:t xml:space="preserve">Every suggestion entered a review queue with three possible outcomes: approve, reject (with a mandatory reason), or leave pending. Approved corrections were applied first to a staging copy of the table, validated, and only then promoted to the production table — never edited in place directly. Every applied change was written to an audit table recording the old value, new value, the operator, the timestamp, and the originating suggestion's confidence score. Finally, a monthly retraining step recalculates each fix pattern's confidence score from all decisions made to date and flags any pattern whose predicted confidence no longer matches its actual approval rate, closing the feedback loop described in the metric.</w:t>
      </w:r>
    </w:p>
    <w:p>
      <w:r>
        <w:br w:type="page"/>
      </w:r>
    </w:p>
    <w:p>
      <w:pPr>
        <w:pStyle w:val="Heading1"/>
        <w:pBdr>
          <w:bottom w:val="single" w:color="2E75B6" w:sz="6" w:space="4"/>
        </w:pBdr>
        <w:spacing w:after="160" w:before="360"/>
      </w:pPr>
      <w:r>
        <w:rPr>
          <w:b/>
          <w:bCs/>
          <w:color w:val="1F3864"/>
          <w:sz w:val="30"/>
          <w:szCs w:val="30"/>
        </w:rPr>
        <w:t xml:space="preserve">4. Results Summary</w:t>
      </w:r>
    </w:p>
    <w:p>
      <w:pPr>
        <w:pStyle w:val="Heading2"/>
        <w:spacing w:after="120" w:before="260"/>
      </w:pPr>
      <w:r>
        <w:rPr>
          <w:b/>
          <w:bCs/>
          <w:color w:val="2E75B6"/>
          <w:sz w:val="24"/>
          <w:szCs w:val="24"/>
        </w:rPr>
        <w:t xml:space="preserve">4.1 Data Quality Scores</w:t>
      </w:r>
    </w:p>
    <w:p>
      <w:pPr>
        <w:spacing w:after="160" w:line="276"/>
      </w:pPr>
      <w:r>
        <w:rPr>
          <w:b w:val="false"/>
          <w:bCs w:val="false"/>
          <w:sz w:val="22"/>
          <w:szCs w:val="22"/>
        </w:rPr>
        <w:t xml:space="preserve">Overall bank-wide Data Quality Score across all 30 approved rules: </w:t>
      </w:r>
    </w:p>
    <w:p>
      <w:pPr>
        <w:spacing w:after="200"/>
      </w:pPr>
      <w:r>
        <w:rPr>
          <w:b/>
          <w:bCs/>
          <w:color w:val="1E8E3E"/>
          <w:sz w:val="36"/>
          <w:szCs w:val="36"/>
        </w:rPr>
        <w:t xml:space="preserve">99.04%</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3000"/>
        <w:gridCol w:w="28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20"/>
                <w:szCs w:val="20"/>
              </w:rPr>
              <w:t xml:space="preserve">Table</w:t>
            </w:r>
          </w:p>
        </w:tc>
        <w:tc>
          <w:tcPr>
            <w:tcW w:type="dxa" w:w="3000"/>
            <w:shd w:fill="1F3864" w:val="clear"/>
            <w:tcMar>
              <w:top w:type="dxa" w:w="60"/>
              <w:left w:type="dxa" w:w="100"/>
              <w:bottom w:type="dxa" w:w="60"/>
              <w:right w:type="dxa" w:w="100"/>
            </w:tcMar>
            <w:vAlign w:val="center"/>
          </w:tcPr>
          <w:p>
            <w:pPr>
              <w:jc w:val="left"/>
            </w:pPr>
            <w:r>
              <w:rPr>
                <w:b/>
                <w:bCs/>
                <w:color w:val="FFFFFF"/>
                <w:sz w:val="20"/>
                <w:szCs w:val="20"/>
              </w:rPr>
              <w:t xml:space="preserve">Rules Applied</w:t>
            </w:r>
          </w:p>
        </w:tc>
        <w:tc>
          <w:tcPr>
            <w:tcW w:type="dxa" w:w="2800"/>
            <w:shd w:fill="1F3864" w:val="clear"/>
            <w:tcMar>
              <w:top w:type="dxa" w:w="60"/>
              <w:left w:type="dxa" w:w="100"/>
              <w:bottom w:type="dxa" w:w="60"/>
              <w:right w:type="dxa" w:w="100"/>
            </w:tcMar>
            <w:vAlign w:val="center"/>
          </w:tcPr>
          <w:p>
            <w:pPr>
              <w:jc w:val="left"/>
            </w:pPr>
            <w:r>
              <w:rPr>
                <w:b/>
                <w:bCs/>
                <w:color w:val="FFFFFF"/>
                <w:sz w:val="20"/>
                <w:szCs w:val="20"/>
              </w:rPr>
              <w:t xml:space="preserve">Score</w:t>
            </w:r>
          </w:p>
        </w:tc>
      </w:tr>
      <w:tr>
        <w:tc>
          <w:tcPr>
            <w:tcW w:type="dxa" w:w="3400"/>
            <w:tcMar>
              <w:top w:type="dxa" w:w="60"/>
              <w:left w:type="dxa" w:w="100"/>
              <w:bottom w:type="dxa" w:w="60"/>
              <w:right w:type="dxa" w:w="100"/>
            </w:tcMar>
            <w:vAlign w:val="center"/>
          </w:tcPr>
          <w:p>
            <w:pPr>
              <w:jc w:val="left"/>
            </w:pPr>
            <w:r>
              <w:rPr>
                <w:b w:val="false"/>
                <w:bCs w:val="false"/>
                <w:color w:val="000000"/>
                <w:sz w:val="20"/>
                <w:szCs w:val="20"/>
              </w:rPr>
              <w:t xml:space="preserve">customer_master</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12</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~98.5%</w:t>
            </w:r>
          </w:p>
        </w:tc>
      </w:tr>
      <w:tr>
        <w:tc>
          <w:tcPr>
            <w:tcW w:type="dxa" w:w="3400"/>
            <w:tcMar>
              <w:top w:type="dxa" w:w="60"/>
              <w:left w:type="dxa" w:w="100"/>
              <w:bottom w:type="dxa" w:w="60"/>
              <w:right w:type="dxa" w:w="100"/>
            </w:tcMar>
            <w:vAlign w:val="center"/>
          </w:tcPr>
          <w:p>
            <w:pPr>
              <w:jc w:val="left"/>
            </w:pPr>
            <w:r>
              <w:rPr>
                <w:b w:val="false"/>
                <w:bCs w:val="false"/>
                <w:color w:val="000000"/>
                <w:sz w:val="20"/>
                <w:szCs w:val="20"/>
              </w:rPr>
              <w:t xml:space="preserve">account_master</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6</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~99.8%</w:t>
            </w:r>
          </w:p>
        </w:tc>
      </w:tr>
      <w:tr>
        <w:tc>
          <w:tcPr>
            <w:tcW w:type="dxa" w:w="3400"/>
            <w:tcMar>
              <w:top w:type="dxa" w:w="60"/>
              <w:left w:type="dxa" w:w="100"/>
              <w:bottom w:type="dxa" w:w="60"/>
              <w:right w:type="dxa" w:w="100"/>
            </w:tcMar>
            <w:vAlign w:val="center"/>
          </w:tcPr>
          <w:p>
            <w:pPr>
              <w:jc w:val="left"/>
            </w:pPr>
            <w:r>
              <w:rPr>
                <w:b w:val="false"/>
                <w:bCs w:val="false"/>
                <w:color w:val="000000"/>
                <w:sz w:val="20"/>
                <w:szCs w:val="20"/>
              </w:rPr>
              <w:t xml:space="preserve">loan_accounts</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7</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~99.1%</w:t>
            </w:r>
          </w:p>
        </w:tc>
      </w:tr>
      <w:tr>
        <w:tc>
          <w:tcPr>
            <w:tcW w:type="dxa" w:w="3400"/>
            <w:tcMar>
              <w:top w:type="dxa" w:w="60"/>
              <w:left w:type="dxa" w:w="100"/>
              <w:bottom w:type="dxa" w:w="60"/>
              <w:right w:type="dxa" w:w="100"/>
            </w:tcMar>
            <w:vAlign w:val="center"/>
          </w:tcPr>
          <w:p>
            <w:pPr>
              <w:jc w:val="left"/>
            </w:pPr>
            <w:r>
              <w:rPr>
                <w:b w:val="false"/>
                <w:bCs w:val="false"/>
                <w:color w:val="000000"/>
                <w:sz w:val="20"/>
                <w:szCs w:val="20"/>
              </w:rPr>
              <w:t xml:space="preserve">transactions</w:t>
            </w:r>
          </w:p>
        </w:tc>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4</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~99.9%</w:t>
            </w:r>
          </w:p>
        </w:tc>
      </w:tr>
    </w:tbl>
    <w:p>
      <w:pPr>
        <w:spacing w:after="160" w:line="276"/>
      </w:pPr>
      <w:r>
        <w:rPr>
          <w:i/>
          <w:iCs/>
          <w:sz w:val="22"/>
          <w:szCs w:val="22"/>
        </w:rPr>
        <w:t xml:space="preserve">A single aggregate score of 99% reflects that most individual rules pass at a 96–99.9% rate; the rule-level and dimension-level breakdowns (retained in dq_rule_results) are what actually surface the specific issues requiring attention, consistent with the metric's intent that aggregate scores alone are insufficient.</w:t>
      </w:r>
    </w:p>
    <w:p>
      <w:pPr>
        <w:pStyle w:val="Heading2"/>
        <w:spacing w:after="120" w:before="260"/>
      </w:pPr>
      <w:r>
        <w:rPr>
          <w:b/>
          <w:bCs/>
          <w:color w:val="2E75B6"/>
          <w:sz w:val="24"/>
          <w:szCs w:val="24"/>
        </w:rPr>
        <w:t xml:space="preserve">4.2 Anomaly Detection</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7200"/>
        <w:gridCol w:w="2000"/>
      </w:tblGrid>
      <w:tr>
        <w:trPr>
          <w:tblHeader/>
        </w:trPr>
        <w:tc>
          <w:tcPr>
            <w:tcW w:type="dxa" w:w="7200"/>
            <w:shd w:fill="1F3864" w:val="clear"/>
            <w:tcMar>
              <w:top w:type="dxa" w:w="60"/>
              <w:left w:type="dxa" w:w="100"/>
              <w:bottom w:type="dxa" w:w="60"/>
              <w:right w:type="dxa" w:w="100"/>
            </w:tcMar>
            <w:vAlign w:val="center"/>
          </w:tcPr>
          <w:p>
            <w:pPr>
              <w:jc w:val="left"/>
            </w:pPr>
            <w:r>
              <w:rPr>
                <w:b/>
                <w:bCs/>
                <w:color w:val="FFFFFF"/>
                <w:sz w:val="20"/>
                <w:szCs w:val="20"/>
              </w:rPr>
              <w:t xml:space="preserve">Anomaly Category</w:t>
            </w:r>
          </w:p>
        </w:tc>
        <w:tc>
          <w:tcPr>
            <w:tcW w:type="dxa" w:w="20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Orphan records (accounts, loans, transactions, branches)</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1,753</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Broken date logic (maturity before disbursement / &gt;30-year tenor)</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272</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PIN code / city mismatch</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700+</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Statistical amount spikes (transactions + loans)</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11</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Total anomalies detected</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4,158+</w:t>
            </w:r>
          </w:p>
        </w:tc>
      </w:tr>
    </w:tbl>
    <w:p>
      <w:pPr>
        <w:pStyle w:val="Heading2"/>
        <w:spacing w:after="120" w:before="260"/>
      </w:pPr>
      <w:r>
        <w:rPr>
          <w:b/>
          <w:bCs/>
          <w:color w:val="2E75B6"/>
          <w:sz w:val="24"/>
          <w:szCs w:val="24"/>
        </w:rPr>
        <w:t xml:space="preserve">4.3 Root-Cause Classification</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2800"/>
        <w:gridCol w:w="2800"/>
      </w:tblGrid>
      <w:tr>
        <w:trPr>
          <w:tblHeader/>
        </w:trPr>
        <w:tc>
          <w:tcPr>
            <w:tcW w:type="dxa" w:w="3600"/>
            <w:shd w:fill="1F3864" w:val="clear"/>
            <w:tcMar>
              <w:top w:type="dxa" w:w="60"/>
              <w:left w:type="dxa" w:w="100"/>
              <w:bottom w:type="dxa" w:w="60"/>
              <w:right w:type="dxa" w:w="100"/>
            </w:tcMar>
            <w:vAlign w:val="center"/>
          </w:tcPr>
          <w:p>
            <w:pPr>
              <w:jc w:val="left"/>
            </w:pPr>
            <w:r>
              <w:rPr>
                <w:b/>
                <w:bCs/>
                <w:color w:val="FFFFFF"/>
                <w:sz w:val="20"/>
                <w:szCs w:val="20"/>
              </w:rPr>
              <w:t xml:space="preserve">Root Cause</w:t>
            </w:r>
          </w:p>
        </w:tc>
        <w:tc>
          <w:tcPr>
            <w:tcW w:type="dxa" w:w="28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c>
          <w:tcPr>
            <w:tcW w:type="dxa" w:w="2800"/>
            <w:shd w:fill="1F3864" w:val="clear"/>
            <w:tcMar>
              <w:top w:type="dxa" w:w="60"/>
              <w:left w:type="dxa" w:w="100"/>
              <w:bottom w:type="dxa" w:w="60"/>
              <w:right w:type="dxa" w:w="100"/>
            </w:tcMar>
            <w:vAlign w:val="center"/>
          </w:tcPr>
          <w:p>
            <w:pPr>
              <w:jc w:val="left"/>
            </w:pPr>
            <w:r>
              <w:rPr>
                <w:b/>
                <w:bCs/>
                <w:color w:val="FFFFFF"/>
                <w:sz w:val="20"/>
                <w:szCs w:val="20"/>
              </w:rPr>
              <w:t xml:space="preserve">% of Total</w:t>
            </w:r>
          </w:p>
        </w:tc>
      </w:tr>
      <w:tr>
        <w:tc>
          <w:tcPr>
            <w:tcW w:type="dxa" w:w="3600"/>
            <w:tcMar>
              <w:top w:type="dxa" w:w="60"/>
              <w:left w:type="dxa" w:w="100"/>
              <w:bottom w:type="dxa" w:w="60"/>
              <w:right w:type="dxa" w:w="100"/>
            </w:tcMar>
            <w:vAlign w:val="center"/>
          </w:tcPr>
          <w:p>
            <w:pPr>
              <w:jc w:val="left"/>
            </w:pPr>
            <w:r>
              <w:rPr>
                <w:b w:val="false"/>
                <w:bCs w:val="false"/>
                <w:color w:val="000000"/>
                <w:sz w:val="20"/>
                <w:szCs w:val="20"/>
              </w:rPr>
              <w:t xml:space="preserve">Isolated Entry Error</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4,081</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98.1%</w:t>
            </w:r>
          </w:p>
        </w:tc>
      </w:tr>
      <w:tr>
        <w:tc>
          <w:tcPr>
            <w:tcW w:type="dxa" w:w="3600"/>
            <w:tcMar>
              <w:top w:type="dxa" w:w="60"/>
              <w:left w:type="dxa" w:w="100"/>
              <w:bottom w:type="dxa" w:w="60"/>
              <w:right w:type="dxa" w:w="100"/>
            </w:tcMar>
            <w:vAlign w:val="center"/>
          </w:tcPr>
          <w:p>
            <w:pPr>
              <w:jc w:val="left"/>
            </w:pPr>
            <w:r>
              <w:rPr>
                <w:b w:val="false"/>
                <w:bCs w:val="false"/>
                <w:color w:val="000000"/>
                <w:sz w:val="20"/>
                <w:szCs w:val="20"/>
              </w:rPr>
              <w:t xml:space="preserve">Upstream Feed Failure</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77</w:t>
            </w:r>
          </w:p>
        </w:tc>
        <w:tc>
          <w:tcPr>
            <w:tcW w:type="dxa" w:w="2800"/>
            <w:tcMar>
              <w:top w:type="dxa" w:w="60"/>
              <w:left w:type="dxa" w:w="100"/>
              <w:bottom w:type="dxa" w:w="60"/>
              <w:right w:type="dxa" w:w="100"/>
            </w:tcMar>
            <w:vAlign w:val="center"/>
          </w:tcPr>
          <w:p>
            <w:pPr>
              <w:jc w:val="left"/>
            </w:pPr>
            <w:r>
              <w:rPr>
                <w:b w:val="false"/>
                <w:bCs w:val="false"/>
                <w:color w:val="000000"/>
                <w:sz w:val="20"/>
                <w:szCs w:val="20"/>
              </w:rPr>
              <w:t xml:space="preserve">1.9%</w:t>
            </w:r>
          </w:p>
        </w:tc>
      </w:tr>
    </w:tbl>
    <w:p>
      <w:pPr>
        <w:spacing w:after="120"/>
      </w:pPr>
    </w:p>
    <w:p>
      <w:pPr>
        <w:spacing w:after="160" w:line="276"/>
      </w:pPr>
      <w:r>
        <w:rPr>
          <w:b/>
          <w:bCs/>
          <w:sz w:val="22"/>
          <w:szCs w:val="22"/>
        </w:rPr>
        <w:t xml:space="preserve">Batches identified as probable upstream feed failures:</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400"/>
        <w:gridCol w:w="3200"/>
        <w:gridCol w:w="12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Table</w:t>
            </w:r>
          </w:p>
        </w:tc>
        <w:tc>
          <w:tcPr>
            <w:tcW w:type="dxa" w:w="2400"/>
            <w:shd w:fill="1F3864" w:val="clear"/>
            <w:tcMar>
              <w:top w:type="dxa" w:w="60"/>
              <w:left w:type="dxa" w:w="100"/>
              <w:bottom w:type="dxa" w:w="60"/>
              <w:right w:type="dxa" w:w="100"/>
            </w:tcMar>
            <w:vAlign w:val="center"/>
          </w:tcPr>
          <w:p>
            <w:pPr>
              <w:jc w:val="left"/>
            </w:pPr>
            <w:r>
              <w:rPr>
                <w:b/>
                <w:bCs/>
                <w:color w:val="FFFFFF"/>
                <w:sz w:val="20"/>
                <w:szCs w:val="20"/>
              </w:rPr>
              <w:t xml:space="preserve">Source System</w:t>
            </w:r>
          </w:p>
        </w:tc>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Batch</w:t>
            </w:r>
          </w:p>
        </w:tc>
        <w:tc>
          <w:tcPr>
            <w:tcW w:type="dxa" w:w="1200"/>
            <w:shd w:fill="1F3864" w:val="clear"/>
            <w:tcMar>
              <w:top w:type="dxa" w:w="60"/>
              <w:left w:type="dxa" w:w="100"/>
              <w:bottom w:type="dxa" w:w="60"/>
              <w:right w:type="dxa" w:w="100"/>
            </w:tcMar>
            <w:vAlign w:val="center"/>
          </w:tcPr>
          <w:p>
            <w:pPr>
              <w:jc w:val="left"/>
            </w:pPr>
            <w:r>
              <w:rPr>
                <w:b/>
                <w:bCs/>
                <w:color w:val="FFFFFF"/>
                <w:sz w:val="20"/>
                <w:szCs w:val="20"/>
              </w:rPr>
              <w:t xml:space="preserve">Anomalies</w:t>
            </w:r>
          </w:p>
        </w:tc>
      </w:tr>
      <w:tr>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LOAN_ACCOUNTS</w:t>
            </w:r>
          </w:p>
        </w:tc>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LOAN_ORIGINATION</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LOAN_ORIGINATION-20260824</w:t>
            </w:r>
          </w:p>
        </w:tc>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43</w:t>
            </w:r>
          </w:p>
        </w:tc>
      </w:tr>
      <w:tr>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TRANSACTIONS</w:t>
            </w:r>
          </w:p>
        </w:tc>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CBS</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CBS-20260703</w:t>
            </w:r>
          </w:p>
        </w:tc>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17</w:t>
            </w:r>
          </w:p>
        </w:tc>
      </w:tr>
      <w:tr>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TRANSACTIONS</w:t>
            </w:r>
          </w:p>
        </w:tc>
        <w:tc>
          <w:tcPr>
            <w:tcW w:type="dxa" w:w="2400"/>
            <w:tcMar>
              <w:top w:type="dxa" w:w="60"/>
              <w:left w:type="dxa" w:w="100"/>
              <w:bottom w:type="dxa" w:w="60"/>
              <w:right w:type="dxa" w:w="100"/>
            </w:tcMar>
            <w:vAlign w:val="center"/>
          </w:tcPr>
          <w:p>
            <w:pPr>
              <w:jc w:val="left"/>
            </w:pPr>
            <w:r>
              <w:rPr>
                <w:b w:val="false"/>
                <w:bCs w:val="false"/>
                <w:color w:val="000000"/>
                <w:sz w:val="20"/>
                <w:szCs w:val="20"/>
              </w:rPr>
              <w:t xml:space="preserve">CBS</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CBS-20260702</w:t>
            </w:r>
          </w:p>
        </w:tc>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17</w:t>
            </w:r>
          </w:p>
        </w:tc>
      </w:tr>
    </w:tbl>
    <w:p>
      <w:pPr>
        <w:pStyle w:val="Heading2"/>
        <w:spacing w:after="120" w:before="260"/>
      </w:pPr>
      <w:r>
        <w:rPr>
          <w:b/>
          <w:bCs/>
          <w:color w:val="2E75B6"/>
          <w:sz w:val="24"/>
          <w:szCs w:val="24"/>
        </w:rPr>
        <w:t xml:space="preserve">4.4 Detection Accuracy (vs. Hidden Ground Truth)</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7200"/>
        <w:gridCol w:w="2000"/>
      </w:tblGrid>
      <w:tr>
        <w:trPr>
          <w:tblHeader/>
        </w:trPr>
        <w:tc>
          <w:tcPr>
            <w:tcW w:type="dxa" w:w="7200"/>
            <w:shd w:fill="1F3864" w:val="clear"/>
            <w:tcMar>
              <w:top w:type="dxa" w:w="60"/>
              <w:left w:type="dxa" w:w="100"/>
              <w:bottom w:type="dxa" w:w="60"/>
              <w:right w:type="dxa" w:w="100"/>
            </w:tcMar>
            <w:vAlign w:val="center"/>
          </w:tcPr>
          <w:p>
            <w:pPr>
              <w:jc w:val="left"/>
            </w:pPr>
            <w:r>
              <w:rPr>
                <w:b/>
                <w:bCs/>
                <w:color w:val="FFFFFF"/>
                <w:sz w:val="20"/>
                <w:szCs w:val="20"/>
              </w:rPr>
              <w:t xml:space="preserve">Metric</w:t>
            </w:r>
          </w:p>
        </w:tc>
        <w:tc>
          <w:tcPr>
            <w:tcW w:type="dxa" w:w="2000"/>
            <w:shd w:fill="1F3864" w:val="clear"/>
            <w:tcMar>
              <w:top w:type="dxa" w:w="60"/>
              <w:left w:type="dxa" w:w="100"/>
              <w:bottom w:type="dxa" w:w="60"/>
              <w:right w:type="dxa" w:w="100"/>
            </w:tcMar>
            <w:vAlign w:val="center"/>
          </w:tcPr>
          <w:p>
            <w:pPr>
              <w:jc w:val="left"/>
            </w:pPr>
            <w:r>
              <w:rPr>
                <w:b/>
                <w:bCs/>
                <w:color w:val="FFFFFF"/>
                <w:sz w:val="20"/>
                <w:szCs w:val="20"/>
              </w:rPr>
              <w:t xml:space="preserve">Value</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True Positives (correctly flagged real errors)</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1,747</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False Positives (flagged but not a planted error)</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278</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False Negatives (missed real errors)</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0</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Precision</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86.3%</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Recall</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100%</w:t>
            </w:r>
          </w:p>
        </w:tc>
      </w:tr>
    </w:tbl>
    <w:p>
      <w:pPr>
        <w:spacing w:after="160" w:line="276"/>
      </w:pPr>
      <w:r>
        <w:rPr>
          <w:i/>
          <w:iCs/>
          <w:sz w:val="22"/>
          <w:szCs w:val="22"/>
        </w:rPr>
        <w:t xml:space="preserve">A recall of 100% indicates the tool did not miss any of the deliberately injected orphan-record or broken-date-logic errors. A precision of 86.3% indicates approximately one in seven flagged records did not correspond to a specifically injected error, a reasonable and expected result for a first-pass rule set.</w:t>
      </w:r>
    </w:p>
    <w:p>
      <w:pPr>
        <w:pStyle w:val="Heading2"/>
        <w:spacing w:after="120" w:before="260"/>
      </w:pPr>
      <w:r>
        <w:rPr>
          <w:b/>
          <w:bCs/>
          <w:color w:val="2E75B6"/>
          <w:sz w:val="24"/>
          <w:szCs w:val="24"/>
        </w:rPr>
        <w:t xml:space="preserve">4.5 AI-Assisted Correction Suggestions</w:t>
      </w:r>
    </w:p>
    <w:tbl>
      <w:tblPr>
        <w:tblW w:type="dxa" w:w="1040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2900"/>
        <w:gridCol w:w="1600"/>
        <w:gridCol w:w="1800"/>
        <w:gridCol w:w="1400"/>
      </w:tblGrid>
      <w:tr>
        <w:trPr>
          <w:tblHeader/>
        </w:trPr>
        <w:tc>
          <w:tcPr>
            <w:tcW w:type="dxa" w:w="2700"/>
            <w:shd w:fill="1F3864" w:val="clear"/>
            <w:tcMar>
              <w:top w:type="dxa" w:w="60"/>
              <w:left w:type="dxa" w:w="100"/>
              <w:bottom w:type="dxa" w:w="60"/>
              <w:right w:type="dxa" w:w="100"/>
            </w:tcMar>
            <w:vAlign w:val="center"/>
          </w:tcPr>
          <w:p>
            <w:pPr>
              <w:jc w:val="left"/>
            </w:pPr>
            <w:r>
              <w:rPr>
                <w:b/>
                <w:bCs/>
                <w:color w:val="FFFFFF"/>
                <w:sz w:val="20"/>
                <w:szCs w:val="20"/>
              </w:rPr>
              <w:t xml:space="preserve">Error Type</w:t>
            </w:r>
          </w:p>
        </w:tc>
        <w:tc>
          <w:tcPr>
            <w:tcW w:type="dxa" w:w="2900"/>
            <w:shd w:fill="1F3864" w:val="clear"/>
            <w:tcMar>
              <w:top w:type="dxa" w:w="60"/>
              <w:left w:type="dxa" w:w="100"/>
              <w:bottom w:type="dxa" w:w="60"/>
              <w:right w:type="dxa" w:w="100"/>
            </w:tcMar>
            <w:vAlign w:val="center"/>
          </w:tcPr>
          <w:p>
            <w:pPr>
              <w:jc w:val="left"/>
            </w:pPr>
            <w:r>
              <w:rPr>
                <w:b/>
                <w:bCs/>
                <w:color w:val="FFFFFF"/>
                <w:sz w:val="20"/>
                <w:szCs w:val="20"/>
              </w:rPr>
              <w:t xml:space="preserve">Suggested Fix</w:t>
            </w:r>
          </w:p>
        </w:tc>
        <w:tc>
          <w:tcPr>
            <w:tcW w:type="dxa" w:w="1600"/>
            <w:shd w:fill="1F3864" w:val="clear"/>
            <w:tcMar>
              <w:top w:type="dxa" w:w="60"/>
              <w:left w:type="dxa" w:w="100"/>
              <w:bottom w:type="dxa" w:w="60"/>
              <w:right w:type="dxa" w:w="100"/>
            </w:tcMar>
            <w:vAlign w:val="center"/>
          </w:tcPr>
          <w:p>
            <w:pPr>
              <w:jc w:val="left"/>
            </w:pPr>
            <w:r>
              <w:rPr>
                <w:b/>
                <w:bCs/>
                <w:color w:val="FFFFFF"/>
                <w:sz w:val="20"/>
                <w:szCs w:val="20"/>
              </w:rPr>
              <w:t xml:space="preserve">Method</w:t>
            </w:r>
          </w:p>
        </w:tc>
        <w:tc>
          <w:tcPr>
            <w:tcW w:type="dxa" w:w="1800"/>
            <w:shd w:fill="1F3864" w:val="clear"/>
            <w:tcMar>
              <w:top w:type="dxa" w:w="60"/>
              <w:left w:type="dxa" w:w="100"/>
              <w:bottom w:type="dxa" w:w="60"/>
              <w:right w:type="dxa" w:w="100"/>
            </w:tcMar>
            <w:vAlign w:val="center"/>
          </w:tcPr>
          <w:p>
            <w:pPr>
              <w:jc w:val="left"/>
            </w:pPr>
            <w:r>
              <w:rPr>
                <w:b/>
                <w:bCs/>
                <w:color w:val="FFFFFF"/>
                <w:sz w:val="20"/>
                <w:szCs w:val="20"/>
              </w:rPr>
              <w:t xml:space="preserve">Confidence</w:t>
            </w:r>
          </w:p>
        </w:tc>
        <w:tc>
          <w:tcPr>
            <w:tcW w:type="dxa" w:w="1400"/>
            <w:shd w:fill="1F3864" w:val="clear"/>
            <w:tcMar>
              <w:top w:type="dxa" w:w="60"/>
              <w:left w:type="dxa" w:w="100"/>
              <w:bottom w:type="dxa" w:w="60"/>
              <w:right w:type="dxa" w:w="100"/>
            </w:tcMar>
            <w:vAlign w:val="center"/>
          </w:tcPr>
          <w:p>
            <w:pPr>
              <w:jc w:val="left"/>
            </w:pPr>
            <w:r>
              <w:rPr>
                <w:b/>
                <w:bCs/>
                <w:color w:val="FFFFFF"/>
                <w:sz w:val="20"/>
                <w:szCs w:val="20"/>
              </w:rPr>
              <w:t xml:space="preserve">Records</w:t>
            </w:r>
          </w:p>
        </w:tc>
      </w:tr>
      <w:tr>
        <w:tc>
          <w:tcPr>
            <w:tcW w:type="dxa" w:w="2700"/>
            <w:tcMar>
              <w:top w:type="dxa" w:w="60"/>
              <w:left w:type="dxa" w:w="100"/>
              <w:bottom w:type="dxa" w:w="60"/>
              <w:right w:type="dxa" w:w="100"/>
            </w:tcMar>
            <w:vAlign w:val="center"/>
          </w:tcPr>
          <w:p>
            <w:pPr>
              <w:jc w:val="left"/>
            </w:pPr>
            <w:r>
              <w:rPr>
                <w:b w:val="false"/>
                <w:bCs w:val="false"/>
                <w:color w:val="000000"/>
                <w:sz w:val="20"/>
                <w:szCs w:val="20"/>
              </w:rPr>
              <w:t xml:space="preserve">MOBILE_91_PREFIX</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Strip leading '91'</w:t>
            </w:r>
          </w:p>
        </w:tc>
        <w:tc>
          <w:tcPr>
            <w:tcW w:type="dxa" w:w="1600"/>
            <w:tcMar>
              <w:top w:type="dxa" w:w="60"/>
              <w:left w:type="dxa" w:w="100"/>
              <w:bottom w:type="dxa" w:w="60"/>
              <w:right w:type="dxa" w:w="100"/>
            </w:tcMar>
            <w:vAlign w:val="center"/>
          </w:tcPr>
          <w:p>
            <w:pPr>
              <w:jc w:val="left"/>
            </w:pPr>
            <w:r>
              <w:rPr>
                <w:b w:val="false"/>
                <w:bCs w:val="false"/>
                <w:color w:val="000000"/>
                <w:sz w:val="20"/>
                <w:szCs w:val="20"/>
              </w:rPr>
              <w:t xml:space="preserve">Rule-based</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High (≈0.90+)</w:t>
            </w:r>
          </w:p>
        </w:tc>
        <w:tc>
          <w:tcPr>
            <w:tcW w:type="dxa" w:w="1400"/>
            <w:tcMar>
              <w:top w:type="dxa" w:w="60"/>
              <w:left w:type="dxa" w:w="100"/>
              <w:bottom w:type="dxa" w:w="60"/>
              <w:right w:type="dxa" w:w="100"/>
            </w:tcMar>
            <w:vAlign w:val="center"/>
          </w:tcPr>
          <w:p>
            <w:pPr>
              <w:jc w:val="left"/>
            </w:pPr>
            <w:r>
              <w:rPr>
                <w:b w:val="false"/>
                <w:bCs w:val="false"/>
                <w:color w:val="000000"/>
                <w:sz w:val="20"/>
                <w:szCs w:val="20"/>
              </w:rPr>
              <w:t xml:space="preserve">~1,276</w:t>
            </w:r>
          </w:p>
        </w:tc>
      </w:tr>
      <w:tr>
        <w:tc>
          <w:tcPr>
            <w:tcW w:type="dxa" w:w="2700"/>
            <w:tcMar>
              <w:top w:type="dxa" w:w="60"/>
              <w:left w:type="dxa" w:w="100"/>
              <w:bottom w:type="dxa" w:w="60"/>
              <w:right w:type="dxa" w:w="100"/>
            </w:tcMar>
            <w:vAlign w:val="center"/>
          </w:tcPr>
          <w:p>
            <w:pPr>
              <w:jc w:val="left"/>
            </w:pPr>
            <w:r>
              <w:rPr>
                <w:b w:val="false"/>
                <w:bCs w:val="false"/>
                <w:color w:val="000000"/>
                <w:sz w:val="20"/>
                <w:szCs w:val="20"/>
              </w:rPr>
              <w:t xml:space="preserve">MOBILE_9_DIGITS</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Prepend '0' — flagged low-confidence</w:t>
            </w:r>
          </w:p>
        </w:tc>
        <w:tc>
          <w:tcPr>
            <w:tcW w:type="dxa" w:w="1600"/>
            <w:tcMar>
              <w:top w:type="dxa" w:w="60"/>
              <w:left w:type="dxa" w:w="100"/>
              <w:bottom w:type="dxa" w:w="60"/>
              <w:right w:type="dxa" w:w="100"/>
            </w:tcMar>
            <w:vAlign w:val="center"/>
          </w:tcPr>
          <w:p>
            <w:pPr>
              <w:jc w:val="left"/>
            </w:pPr>
            <w:r>
              <w:rPr>
                <w:b w:val="false"/>
                <w:bCs w:val="false"/>
                <w:color w:val="000000"/>
                <w:sz w:val="20"/>
                <w:szCs w:val="20"/>
              </w:rPr>
              <w:t xml:space="preserve">Rule-based</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Low (≈0.40)</w:t>
            </w:r>
          </w:p>
        </w:tc>
        <w:tc>
          <w:tcPr>
            <w:tcW w:type="dxa" w:w="1400"/>
            <w:tcMar>
              <w:top w:type="dxa" w:w="60"/>
              <w:left w:type="dxa" w:w="100"/>
              <w:bottom w:type="dxa" w:w="60"/>
              <w:right w:type="dxa" w:w="100"/>
            </w:tcMar>
            <w:vAlign w:val="center"/>
          </w:tcPr>
          <w:p>
            <w:pPr>
              <w:jc w:val="left"/>
            </w:pPr>
            <w:r>
              <w:rPr>
                <w:b w:val="false"/>
                <w:bCs w:val="false"/>
                <w:color w:val="000000"/>
                <w:sz w:val="20"/>
                <w:szCs w:val="20"/>
              </w:rPr>
              <w:t xml:space="preserve">~1,210</w:t>
            </w:r>
          </w:p>
        </w:tc>
      </w:tr>
      <w:tr>
        <w:tc>
          <w:tcPr>
            <w:tcW w:type="dxa" w:w="2700"/>
            <w:tcMar>
              <w:top w:type="dxa" w:w="60"/>
              <w:left w:type="dxa" w:w="100"/>
              <w:bottom w:type="dxa" w:w="60"/>
              <w:right w:type="dxa" w:w="100"/>
            </w:tcMar>
            <w:vAlign w:val="center"/>
          </w:tcPr>
          <w:p>
            <w:pPr>
              <w:jc w:val="left"/>
            </w:pPr>
            <w:r>
              <w:rPr>
                <w:b w:val="false"/>
                <w:bCs w:val="false"/>
                <w:color w:val="000000"/>
                <w:sz w:val="20"/>
                <w:szCs w:val="20"/>
              </w:rPr>
              <w:t xml:space="preserve">GENDER_NONSTANDARD</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Standardise to M / F</w:t>
            </w:r>
          </w:p>
        </w:tc>
        <w:tc>
          <w:tcPr>
            <w:tcW w:type="dxa" w:w="1600"/>
            <w:tcMar>
              <w:top w:type="dxa" w:w="60"/>
              <w:left w:type="dxa" w:w="100"/>
              <w:bottom w:type="dxa" w:w="60"/>
              <w:right w:type="dxa" w:w="100"/>
            </w:tcMar>
            <w:vAlign w:val="center"/>
          </w:tcPr>
          <w:p>
            <w:pPr>
              <w:jc w:val="left"/>
            </w:pPr>
            <w:r>
              <w:rPr>
                <w:b w:val="false"/>
                <w:bCs w:val="false"/>
                <w:color w:val="000000"/>
                <w:sz w:val="20"/>
                <w:szCs w:val="20"/>
              </w:rPr>
              <w:t xml:space="preserve">Rule-based</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High (≈0.95+)</w:t>
            </w:r>
          </w:p>
        </w:tc>
        <w:tc>
          <w:tcPr>
            <w:tcW w:type="dxa" w:w="1400"/>
            <w:tcMar>
              <w:top w:type="dxa" w:w="60"/>
              <w:left w:type="dxa" w:w="100"/>
              <w:bottom w:type="dxa" w:w="60"/>
              <w:right w:type="dxa" w:w="100"/>
            </w:tcMar>
            <w:vAlign w:val="center"/>
          </w:tcPr>
          <w:p>
            <w:pPr>
              <w:jc w:val="left"/>
            </w:pPr>
            <w:r>
              <w:rPr>
                <w:b w:val="false"/>
                <w:bCs w:val="false"/>
                <w:color w:val="000000"/>
                <w:sz w:val="20"/>
                <w:szCs w:val="20"/>
              </w:rPr>
              <w:t xml:space="preserve">~4,160</w:t>
            </w:r>
          </w:p>
        </w:tc>
      </w:tr>
      <w:tr>
        <w:tc>
          <w:tcPr>
            <w:tcW w:type="dxa" w:w="2700"/>
            <w:tcMar>
              <w:top w:type="dxa" w:w="60"/>
              <w:left w:type="dxa" w:w="100"/>
              <w:bottom w:type="dxa" w:w="60"/>
              <w:right w:type="dxa" w:w="100"/>
            </w:tcMar>
            <w:vAlign w:val="center"/>
          </w:tcPr>
          <w:p>
            <w:pPr>
              <w:jc w:val="left"/>
            </w:pPr>
            <w:r>
              <w:rPr>
                <w:b w:val="false"/>
                <w:bCs w:val="false"/>
                <w:color w:val="000000"/>
                <w:sz w:val="20"/>
                <w:szCs w:val="20"/>
              </w:rPr>
              <w:t xml:space="preserve">NAME_FORMAT</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Normalise case and spacing</w:t>
            </w:r>
          </w:p>
        </w:tc>
        <w:tc>
          <w:tcPr>
            <w:tcW w:type="dxa" w:w="1600"/>
            <w:tcMar>
              <w:top w:type="dxa" w:w="60"/>
              <w:left w:type="dxa" w:w="100"/>
              <w:bottom w:type="dxa" w:w="60"/>
              <w:right w:type="dxa" w:w="100"/>
            </w:tcMar>
            <w:vAlign w:val="center"/>
          </w:tcPr>
          <w:p>
            <w:pPr>
              <w:jc w:val="left"/>
            </w:pPr>
            <w:r>
              <w:rPr>
                <w:b w:val="false"/>
                <w:bCs w:val="false"/>
                <w:color w:val="000000"/>
                <w:sz w:val="20"/>
                <w:szCs w:val="20"/>
              </w:rPr>
              <w:t xml:space="preserve">Rule-based</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High (≈0.97)</w:t>
            </w:r>
          </w:p>
        </w:tc>
        <w:tc>
          <w:tcPr>
            <w:tcW w:type="dxa" w:w="1400"/>
            <w:tcMar>
              <w:top w:type="dxa" w:w="60"/>
              <w:left w:type="dxa" w:w="100"/>
              <w:bottom w:type="dxa" w:w="60"/>
              <w:right w:type="dxa" w:w="100"/>
            </w:tcMar>
            <w:vAlign w:val="center"/>
          </w:tcPr>
          <w:p>
            <w:pPr>
              <w:jc w:val="left"/>
            </w:pPr>
            <w:r>
              <w:rPr>
                <w:b w:val="false"/>
                <w:bCs w:val="false"/>
                <w:color w:val="000000"/>
                <w:sz w:val="20"/>
                <w:szCs w:val="20"/>
              </w:rPr>
              <w:t xml:space="preserve">Several thousand</w:t>
            </w:r>
          </w:p>
        </w:tc>
      </w:tr>
      <w:tr>
        <w:tc>
          <w:tcPr>
            <w:tcW w:type="dxa" w:w="2700"/>
            <w:tcMar>
              <w:top w:type="dxa" w:w="60"/>
              <w:left w:type="dxa" w:w="100"/>
              <w:bottom w:type="dxa" w:w="60"/>
              <w:right w:type="dxa" w:w="100"/>
            </w:tcMar>
            <w:vAlign w:val="center"/>
          </w:tcPr>
          <w:p>
            <w:pPr>
              <w:jc w:val="left"/>
            </w:pPr>
            <w:r>
              <w:rPr>
                <w:b w:val="false"/>
                <w:bCs w:val="false"/>
                <w:color w:val="000000"/>
                <w:sz w:val="20"/>
                <w:szCs w:val="20"/>
              </w:rPr>
              <w:t xml:space="preserve">PIN_5_DIGITS</w:t>
            </w:r>
          </w:p>
        </w:tc>
        <w:tc>
          <w:tcPr>
            <w:tcW w:type="dxa" w:w="2900"/>
            <w:tcMar>
              <w:top w:type="dxa" w:w="60"/>
              <w:left w:type="dxa" w:w="100"/>
              <w:bottom w:type="dxa" w:w="60"/>
              <w:right w:type="dxa" w:w="100"/>
            </w:tcMar>
            <w:vAlign w:val="center"/>
          </w:tcPr>
          <w:p>
            <w:pPr>
              <w:jc w:val="left"/>
            </w:pPr>
            <w:r>
              <w:rPr>
                <w:b w:val="false"/>
                <w:bCs w:val="false"/>
                <w:color w:val="000000"/>
                <w:sz w:val="20"/>
                <w:szCs w:val="20"/>
              </w:rPr>
              <w:t xml:space="preserve">No safe auto-fix — routed to manual review</w:t>
            </w:r>
          </w:p>
        </w:tc>
        <w:tc>
          <w:tcPr>
            <w:tcW w:type="dxa" w:w="1600"/>
            <w:tcMar>
              <w:top w:type="dxa" w:w="60"/>
              <w:left w:type="dxa" w:w="100"/>
              <w:bottom w:type="dxa" w:w="60"/>
              <w:right w:type="dxa" w:w="100"/>
            </w:tcMar>
            <w:vAlign w:val="center"/>
          </w:tcPr>
          <w:p>
            <w:pPr>
              <w:jc w:val="left"/>
            </w:pPr>
            <w:r>
              <w:rPr>
                <w:b w:val="false"/>
                <w:bCs w:val="false"/>
                <w:color w:val="000000"/>
                <w:sz w:val="20"/>
                <w:szCs w:val="20"/>
              </w:rPr>
              <w:t xml:space="preserve">ML / Manual</w:t>
            </w:r>
          </w:p>
        </w:tc>
        <w:tc>
          <w:tcPr>
            <w:tcW w:type="dxa" w:w="1800"/>
            <w:tcMar>
              <w:top w:type="dxa" w:w="60"/>
              <w:left w:type="dxa" w:w="100"/>
              <w:bottom w:type="dxa" w:w="60"/>
              <w:right w:type="dxa" w:w="100"/>
            </w:tcMar>
            <w:vAlign w:val="center"/>
          </w:tcPr>
          <w:p>
            <w:pPr>
              <w:jc w:val="left"/>
            </w:pPr>
            <w:r>
              <w:rPr>
                <w:b w:val="false"/>
                <w:bCs w:val="false"/>
                <w:color w:val="000000"/>
                <w:sz w:val="20"/>
                <w:szCs w:val="20"/>
              </w:rPr>
              <w:t xml:space="preserve">Medium-Low (≈0.55)</w:t>
            </w:r>
          </w:p>
        </w:tc>
        <w:tc>
          <w:tcPr>
            <w:tcW w:type="dxa" w:w="1400"/>
            <w:tcMar>
              <w:top w:type="dxa" w:w="60"/>
              <w:left w:type="dxa" w:w="100"/>
              <w:bottom w:type="dxa" w:w="60"/>
              <w:right w:type="dxa" w:w="100"/>
            </w:tcMar>
            <w:vAlign w:val="center"/>
          </w:tcPr>
          <w:p>
            <w:pPr>
              <w:jc w:val="left"/>
            </w:pPr>
            <w:r>
              <w:rPr>
                <w:b w:val="false"/>
                <w:bCs w:val="false"/>
                <w:color w:val="000000"/>
                <w:sz w:val="20"/>
                <w:szCs w:val="20"/>
              </w:rPr>
              <w:t xml:space="preserve">~752</w:t>
            </w:r>
          </w:p>
        </w:tc>
      </w:tr>
    </w:tbl>
    <w:p>
      <w:pPr>
        <w:pStyle w:val="Heading2"/>
        <w:spacing w:after="120" w:before="260"/>
      </w:pPr>
      <w:r>
        <w:rPr>
          <w:b/>
          <w:bCs/>
          <w:color w:val="2E75B6"/>
          <w:sz w:val="24"/>
          <w:szCs w:val="24"/>
        </w:rPr>
        <w:t xml:space="preserve">4.6 Review, Apply and Audit Outcome</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7200"/>
        <w:gridCol w:w="2000"/>
      </w:tblGrid>
      <w:tr>
        <w:trPr>
          <w:tblHeader/>
        </w:trPr>
        <w:tc>
          <w:tcPr>
            <w:tcW w:type="dxa" w:w="7200"/>
            <w:shd w:fill="1F3864" w:val="clear"/>
            <w:tcMar>
              <w:top w:type="dxa" w:w="60"/>
              <w:left w:type="dxa" w:w="100"/>
              <w:bottom w:type="dxa" w:w="60"/>
              <w:right w:type="dxa" w:w="100"/>
            </w:tcMar>
            <w:vAlign w:val="center"/>
          </w:tcPr>
          <w:p>
            <w:pPr>
              <w:jc w:val="left"/>
            </w:pPr>
            <w:r>
              <w:rPr>
                <w:b/>
                <w:bCs/>
                <w:color w:val="FFFFFF"/>
                <w:sz w:val="20"/>
                <w:szCs w:val="20"/>
              </w:rPr>
              <w:t xml:space="preserve">Status</w:t>
            </w:r>
          </w:p>
        </w:tc>
        <w:tc>
          <w:tcPr>
            <w:tcW w:type="dxa" w:w="20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Resolved (applied to production, audited)</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7,615</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Rejected (auto or manual, with reason logged)</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1,201</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Pending (requires manual reviewer decision)</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794</w:t>
            </w:r>
          </w:p>
        </w:tc>
      </w:tr>
    </w:tbl>
    <w:p>
      <w:pPr>
        <w:spacing w:after="160" w:line="276"/>
      </w:pPr>
      <w:r>
        <w:rPr>
          <w:sz w:val="22"/>
          <w:szCs w:val="22"/>
        </w:rPr>
        <w:t xml:space="preserve">Every resolved correction is individually recorded in the audit trail (dq_correction_audit) with its old value, new value, approving confidence score, and timestamp, satisfying the requirement for a full, traceable correction history.</w:t>
      </w:r>
    </w:p>
    <w:p>
      <w:r>
        <w:br w:type="page"/>
      </w:r>
    </w:p>
    <w:p>
      <w:pPr>
        <w:pStyle w:val="Heading1"/>
        <w:pBdr>
          <w:bottom w:val="single" w:color="2E75B6" w:sz="6" w:space="4"/>
        </w:pBdr>
        <w:spacing w:after="160" w:before="360"/>
      </w:pPr>
      <w:r>
        <w:rPr>
          <w:b/>
          <w:bCs/>
          <w:color w:val="1F3864"/>
          <w:sz w:val="30"/>
          <w:szCs w:val="30"/>
        </w:rPr>
        <w:t xml:space="preserve">5. Model-Based Extensions (Trained and Validated ML Components)</w:t>
      </w:r>
    </w:p>
    <w:p>
      <w:pPr>
        <w:spacing w:after="160" w:line="276"/>
      </w:pPr>
      <w:r>
        <w:rPr>
          <w:sz w:val="22"/>
          <w:szCs w:val="22"/>
        </w:rPr>
        <w:t xml:space="preserve">Sections 3 and 4 describe a rule-based implementation: fixed SQL rules, a robust statistical (Z-score) spike detector, and correction suggestions with confidence scores looked up from historical approval rates. This section documents a second, complementary layer built on top of it: a self-learning pipeline that studies a bank dataset directly, trains and validates real machine learning models, and requires no hand-written, country- or format-specific rules.</w:t>
      </w:r>
    </w:p>
    <w:p>
      <w:pPr>
        <w:pStyle w:val="Heading2"/>
        <w:spacing w:after="120" w:before="260"/>
      </w:pPr>
      <w:r>
        <w:rPr>
          <w:b/>
          <w:bCs/>
          <w:color w:val="2E75B6"/>
          <w:sz w:val="24"/>
          <w:szCs w:val="24"/>
        </w:rPr>
        <w:t xml:space="preserve">5.1 Error-Detection Model</w:t>
      </w:r>
    </w:p>
    <w:p>
      <w:pPr>
        <w:spacing w:after="160" w:line="276"/>
      </w:pPr>
      <w:r>
        <w:rPr>
          <w:sz w:val="22"/>
          <w:szCs w:val="22"/>
        </w:rPr>
        <w:t xml:space="preserve">A Random Forest classifier was trained to predict whether a customer record contains a genuine data-quality error, using only automatically-derived rule-violation signals as input — no column is hard-coded by name.</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20"/>
                <w:szCs w:val="20"/>
              </w:rPr>
              <w:t xml:space="preserve">Property</w:t>
            </w:r>
          </w:p>
        </w:tc>
        <w:tc>
          <w:tcPr>
            <w:tcW w:type="dxa" w:w="6400"/>
            <w:shd w:fill="1F3864" w:val="clear"/>
            <w:tcMar>
              <w:top w:type="dxa" w:w="60"/>
              <w:left w:type="dxa" w:w="100"/>
              <w:bottom w:type="dxa" w:w="60"/>
              <w:right w:type="dxa" w:w="100"/>
            </w:tcMar>
            <w:vAlign w:val="center"/>
          </w:tcPr>
          <w:p>
            <w:pPr>
              <w:jc w:val="left"/>
            </w:pPr>
            <w:r>
              <w:rPr>
                <w:b/>
                <w:bCs/>
                <w:color w:val="FFFFFF"/>
                <w:sz w:val="20"/>
                <w:szCs w:val="20"/>
              </w:rPr>
              <w:t xml:space="preserve">Detail</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Algorithm</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Random Forest Classifier (scikit-learn), 300 trees, max depth 12, class_weight='balanced'</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Target variable</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Binary: y = 1 if the record appears in the known-error log, else 0</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Features</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0/1 rule-violation flags per column (null, bad pattern, wrong length, invalid category, non-canonical spelling, numeric/date out-of-range) plus a total-violation count — all learned from the data itself, not hard-coded</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Validation method</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60% train / 20% validation / 20% test split, plus 5-fold cross-validation on the training set</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5-fold CV AUC (train)</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0.822 (mean; individual folds 0.816–0.829)</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Validation set</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Precision 100% · Recall 65% · AUC 0.824</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Test set (final, unseen)</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Precision 100% · Recall 65% · AUC 0.825</w:t>
            </w:r>
          </w:p>
        </w:tc>
      </w:tr>
    </w:tbl>
    <w:p>
      <w:pPr>
        <w:spacing w:after="160" w:line="276"/>
      </w:pPr>
      <w:r>
        <w:rPr>
          <w:i/>
          <w:iCs/>
          <w:sz w:val="22"/>
          <w:szCs w:val="22"/>
        </w:rPr>
        <w:t xml:space="preserve">Validation and test AUC are almost identical (0.824 vs 0.825), which indicates the model generalises rather than memorising the training data. Precision is a perfect 100% — every record the model flags genuinely contains an error — while recall of 65% means it identifies roughly two out of every three real errors. The missed third are concentrated in error types (such as subtle formatting inconsistencies) that do not leave a clean statistical footprint the automatic rule-learning step can detect; the hand-written SQL rules from Section 3 catch several of these precisely because they encode domain knowledge the generic learner does not have. The two approaches are intended to complement, not replace, one another.</w:t>
      </w:r>
    </w:p>
    <w:p>
      <w:pPr>
        <w:pStyle w:val="Heading2"/>
        <w:spacing w:after="120" w:before="260"/>
      </w:pPr>
      <w:r>
        <w:rPr>
          <w:b/>
          <w:bCs/>
          <w:color w:val="2E75B6"/>
          <w:sz w:val="24"/>
          <w:szCs w:val="24"/>
        </w:rPr>
        <w:t xml:space="preserve">5.2 Correction-Confidence Model</w:t>
      </w:r>
    </w:p>
    <w:p>
      <w:pPr>
        <w:spacing w:after="160" w:line="276"/>
      </w:pPr>
      <w:r>
        <w:rPr>
          <w:sz w:val="22"/>
          <w:szCs w:val="22"/>
        </w:rPr>
        <w:t xml:space="preserve">Rather than looking up a fixed historical approval rate per error type, a Logistic Regression classifier was trained to predict the probability that a data steward would approve a given correction, using multiple signals at once.</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20"/>
                <w:szCs w:val="20"/>
              </w:rPr>
              <w:t xml:space="preserve">Property</w:t>
            </w:r>
          </w:p>
        </w:tc>
        <w:tc>
          <w:tcPr>
            <w:tcW w:type="dxa" w:w="6400"/>
            <w:shd w:fill="1F3864" w:val="clear"/>
            <w:tcMar>
              <w:top w:type="dxa" w:w="60"/>
              <w:left w:type="dxa" w:w="100"/>
              <w:bottom w:type="dxa" w:w="60"/>
              <w:right w:type="dxa" w:w="100"/>
            </w:tcMar>
            <w:vAlign w:val="center"/>
          </w:tcPr>
          <w:p>
            <w:pPr>
              <w:jc w:val="left"/>
            </w:pPr>
            <w:r>
              <w:rPr>
                <w:b/>
                <w:bCs/>
                <w:color w:val="FFFFFF"/>
                <w:sz w:val="20"/>
                <w:szCs w:val="20"/>
              </w:rPr>
              <w:t xml:space="preserve">Detail</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Algorithm</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Logistic Regression (scikit-learn) with one-hot encoded categorical inputs</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Target variable</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Binary: y = 1 if a past correction of this type was APPROVED by a reviewer, else 0</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Features</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error_type, column_name, correction_method</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Training data</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correction_history — 8,000 past, labelled reviewer decisions</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Held-out test AUC</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0.887–0.893</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Calibration check</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Predicted approval rate per error_type matched the true historical rate to within ≈1 percentage point</w:t>
            </w:r>
          </w:p>
        </w:tc>
      </w:tr>
    </w:tbl>
    <w:p>
      <w:pPr>
        <w:pStyle w:val="Heading2"/>
        <w:spacing w:after="120" w:before="260"/>
      </w:pPr>
      <w:r>
        <w:rPr>
          <w:b/>
          <w:bCs/>
          <w:color w:val="2E75B6"/>
          <w:sz w:val="24"/>
          <w:szCs w:val="24"/>
        </w:rPr>
        <w:t xml:space="preserve">5.3 Isolation Forest (Complementary Multivariate Anomaly Detection)</w:t>
      </w:r>
    </w:p>
    <w:p>
      <w:pPr>
        <w:spacing w:after="160" w:line="276"/>
      </w:pPr>
      <w:r>
        <w:rPr>
          <w:sz w:val="22"/>
          <w:szCs w:val="22"/>
        </w:rPr>
        <w:t xml:space="preserve">Isolation Forest — named explicitly as an option in the source metric — was implemented and honestly evaluated rather than assumed to outperform the existing checks.</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20"/>
                <w:szCs w:val="20"/>
              </w:rPr>
              <w:t xml:space="preserve">Property</w:t>
            </w:r>
          </w:p>
        </w:tc>
        <w:tc>
          <w:tcPr>
            <w:tcW w:type="dxa" w:w="6400"/>
            <w:shd w:fill="1F3864" w:val="clear"/>
            <w:tcMar>
              <w:top w:type="dxa" w:w="60"/>
              <w:left w:type="dxa" w:w="100"/>
              <w:bottom w:type="dxa" w:w="60"/>
              <w:right w:type="dxa" w:w="100"/>
            </w:tcMar>
            <w:vAlign w:val="center"/>
          </w:tcPr>
          <w:p>
            <w:pPr>
              <w:jc w:val="left"/>
            </w:pPr>
            <w:r>
              <w:rPr>
                <w:b/>
                <w:bCs/>
                <w:color w:val="FFFFFF"/>
                <w:sz w:val="20"/>
                <w:szCs w:val="20"/>
              </w:rPr>
              <w:t xml:space="preserve">Detail</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Algorithm</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Isolation Forest (scikit-learn), unsupervised, contamination = 0.02</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Purpose</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Flag loans whose overall combination of amount, interest rate and tenor is unusual — a multivariate check, complementary to the single-column SQL rules</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Tested performance</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≈31% precision, ≈50% recall against known numeric-logic errors</w:t>
            </w:r>
          </w:p>
        </w:tc>
      </w:tr>
      <w:tr>
        <w:tc>
          <w:tcPr>
            <w:tcW w:type="dxa" w:w="3000"/>
            <w:tcMar>
              <w:top w:type="dxa" w:w="60"/>
              <w:left w:type="dxa" w:w="100"/>
              <w:bottom w:type="dxa" w:w="60"/>
              <w:right w:type="dxa" w:w="100"/>
            </w:tcMar>
            <w:vAlign w:val="center"/>
          </w:tcPr>
          <w:p>
            <w:pPr>
              <w:jc w:val="left"/>
            </w:pPr>
            <w:r>
              <w:rPr>
                <w:b w:val="false"/>
                <w:bCs w:val="false"/>
                <w:color w:val="000000"/>
                <w:sz w:val="20"/>
                <w:szCs w:val="20"/>
              </w:rPr>
              <w:t xml:space="preserve">Conclusion</w:t>
            </w:r>
          </w:p>
        </w:tc>
        <w:tc>
          <w:tcPr>
            <w:tcW w:type="dxa" w:w="6400"/>
            <w:tcMar>
              <w:top w:type="dxa" w:w="60"/>
              <w:left w:type="dxa" w:w="100"/>
              <w:bottom w:type="dxa" w:w="60"/>
              <w:right w:type="dxa" w:w="100"/>
            </w:tcMar>
            <w:vAlign w:val="center"/>
          </w:tcPr>
          <w:p>
            <w:pPr>
              <w:jc w:val="left"/>
            </w:pPr>
            <w:r>
              <w:rPr>
                <w:b w:val="false"/>
                <w:bCs w:val="false"/>
                <w:color w:val="000000"/>
                <w:sz w:val="20"/>
                <w:szCs w:val="20"/>
              </w:rPr>
              <w:t xml:space="preserve">Deliberately weaker than the hand-written SQL rules on the specific errors used for testing — its value is surfacing unexpected combinations no explicit rule covers, not replacing the rules</w:t>
            </w:r>
          </w:p>
        </w:tc>
      </w:tr>
    </w:tbl>
    <w:p>
      <w:pPr>
        <w:pStyle w:val="Heading2"/>
        <w:spacing w:after="120" w:before="260"/>
      </w:pPr>
      <w:r>
        <w:rPr>
          <w:b/>
          <w:bCs/>
          <w:color w:val="2E75B6"/>
          <w:sz w:val="24"/>
          <w:szCs w:val="24"/>
        </w:rPr>
        <w:t xml:space="preserve">5.4 Issues Found and Fixed During Testing</w:t>
      </w:r>
    </w:p>
    <w:p>
      <w:pPr>
        <w:spacing w:after="160" w:line="276"/>
      </w:pPr>
      <w:r>
        <w:rPr>
          <w:sz w:val="22"/>
          <w:szCs w:val="22"/>
        </w:rPr>
        <w:t xml:space="preserve">Each model was tested against the project's own hidden ground truth, and against full sample output, before being finalised. Three genuine defects were found and corrected this way rather than being discovered later in production:</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600"/>
        <w:gridCol w:w="32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Issue</w:t>
            </w:r>
          </w:p>
        </w:tc>
        <w:tc>
          <w:tcPr>
            <w:tcW w:type="dxa" w:w="3600"/>
            <w:shd w:fill="1F3864" w:val="clear"/>
            <w:tcMar>
              <w:top w:type="dxa" w:w="60"/>
              <w:left w:type="dxa" w:w="100"/>
              <w:bottom w:type="dxa" w:w="60"/>
              <w:right w:type="dxa" w:w="100"/>
            </w:tcMar>
            <w:vAlign w:val="center"/>
          </w:tcPr>
          <w:p>
            <w:pPr>
              <w:jc w:val="left"/>
            </w:pPr>
            <w:r>
              <w:rPr>
                <w:b/>
                <w:bCs/>
                <w:color w:val="FFFFFF"/>
                <w:sz w:val="20"/>
                <w:szCs w:val="20"/>
              </w:rPr>
              <w:t xml:space="preserve">Symptom</w:t>
            </w:r>
          </w:p>
        </w:tc>
        <w:tc>
          <w:tcPr>
            <w:tcW w:type="dxa" w:w="3200"/>
            <w:shd w:fill="1F3864" w:val="clear"/>
            <w:tcMar>
              <w:top w:type="dxa" w:w="60"/>
              <w:left w:type="dxa" w:w="100"/>
              <w:bottom w:type="dxa" w:w="60"/>
              <w:right w:type="dxa" w:w="100"/>
            </w:tcMar>
            <w:vAlign w:val="center"/>
          </w:tcPr>
          <w:p>
            <w:pPr>
              <w:jc w:val="left"/>
            </w:pPr>
            <w:r>
              <w:rPr>
                <w:b/>
                <w:bCs/>
                <w:color w:val="FFFFFF"/>
                <w:sz w:val="20"/>
                <w:szCs w:val="20"/>
              </w:rPr>
              <w:t xml:space="preserve">Resolution</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Signed length-difference feature</w:t>
            </w:r>
          </w:p>
        </w:tc>
        <w:tc>
          <w:tcPr>
            <w:tcW w:type="dxa" w:w="3600"/>
            <w:tcMar>
              <w:top w:type="dxa" w:w="60"/>
              <w:left w:type="dxa" w:w="100"/>
              <w:bottom w:type="dxa" w:w="60"/>
              <w:right w:type="dxa" w:w="100"/>
            </w:tcMar>
            <w:vAlign w:val="center"/>
          </w:tcPr>
          <w:p>
            <w:pPr>
              <w:jc w:val="left"/>
            </w:pPr>
            <w:r>
              <w:rPr>
                <w:b w:val="false"/>
                <w:bCs w:val="false"/>
                <w:color w:val="000000"/>
                <w:sz w:val="20"/>
                <w:szCs w:val="20"/>
              </w:rPr>
              <w:t xml:space="preserve">A raw signed length difference let null values (already flagged separately) leak large negative numbers into the total violation count, inverting its correlation with real errors</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Replaced with a clean 0/1 boolean flag</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Unsafe category canonicalisation</w:t>
            </w:r>
          </w:p>
        </w:tc>
        <w:tc>
          <w:tcPr>
            <w:tcW w:type="dxa" w:w="3600"/>
            <w:tcMar>
              <w:top w:type="dxa" w:w="60"/>
              <w:left w:type="dxa" w:w="100"/>
              <w:bottom w:type="dxa" w:w="60"/>
              <w:right w:type="dxa" w:w="100"/>
            </w:tcMar>
            <w:vAlign w:val="center"/>
          </w:tcPr>
          <w:p>
            <w:pPr>
              <w:jc w:val="left"/>
            </w:pPr>
            <w:r>
              <w:rPr>
                <w:b w:val="false"/>
                <w:bCs w:val="false"/>
                <w:color w:val="000000"/>
                <w:sz w:val="20"/>
                <w:szCs w:val="20"/>
              </w:rPr>
              <w:t xml:space="preserve">First version grouped categories by shared first letter, wrongly suggesting fixes like 'Kochi' → 'Kolkata' or 'STUDENT' → 'SALARIED'</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Restricted merging to genuine short-code prefixes only (e.g. 'M' is a prefix of 'MALE'), verified against full output before release</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Row-by-row performance bottleneck</w:t>
            </w:r>
          </w:p>
        </w:tc>
        <w:tc>
          <w:tcPr>
            <w:tcW w:type="dxa" w:w="3600"/>
            <w:tcMar>
              <w:top w:type="dxa" w:w="60"/>
              <w:left w:type="dxa" w:w="100"/>
              <w:bottom w:type="dxa" w:w="60"/>
              <w:right w:type="dxa" w:w="100"/>
            </w:tcMar>
            <w:vAlign w:val="center"/>
          </w:tcPr>
          <w:p>
            <w:pPr>
              <w:jc w:val="left"/>
            </w:pPr>
            <w:r>
              <w:rPr>
                <w:b w:val="false"/>
                <w:bCs w:val="false"/>
                <w:color w:val="000000"/>
                <w:sz w:val="20"/>
                <w:szCs w:val="20"/>
              </w:rPr>
              <w:t xml:space="preserve">Applying corrections looped over every single row with repeated .iloc lookups; did not complete within 5 minutes on the full 100,000-row table</w:t>
            </w:r>
          </w:p>
        </w:tc>
        <w:tc>
          <w:tcPr>
            <w:tcW w:type="dxa" w:w="3200"/>
            <w:tcMar>
              <w:top w:type="dxa" w:w="60"/>
              <w:left w:type="dxa" w:w="100"/>
              <w:bottom w:type="dxa" w:w="60"/>
              <w:right w:type="dxa" w:w="100"/>
            </w:tcMar>
            <w:vAlign w:val="center"/>
          </w:tcPr>
          <w:p>
            <w:pPr>
              <w:jc w:val="left"/>
            </w:pPr>
            <w:r>
              <w:rPr>
                <w:b w:val="false"/>
                <w:bCs w:val="false"/>
                <w:color w:val="000000"/>
                <w:sz w:val="20"/>
                <w:szCs w:val="20"/>
              </w:rPr>
              <w:t xml:space="preserve">Rewritten to compute suggestions only for the subset of rows that actually violate each rule; full-table run now completes in about 2 seconds</w:t>
            </w:r>
          </w:p>
        </w:tc>
      </w:tr>
    </w:tbl>
    <w:p>
      <w:pPr>
        <w:pStyle w:val="Heading2"/>
        <w:spacing w:after="120" w:before="260"/>
      </w:pPr>
      <w:r>
        <w:rPr>
          <w:b/>
          <w:bCs/>
          <w:color w:val="2E75B6"/>
          <w:sz w:val="24"/>
          <w:szCs w:val="24"/>
        </w:rPr>
        <w:t xml:space="preserve">5.5 Integration into the Production Workflow</w:t>
      </w:r>
    </w:p>
    <w:p>
      <w:pPr>
        <w:spacing w:after="160" w:line="276"/>
      </w:pPr>
      <w:r>
        <w:rPr>
          <w:sz w:val="22"/>
          <w:szCs w:val="22"/>
        </w:rPr>
        <w:t xml:space="preserve">The trained pipeline's output was written directly into the same dq_corrections review queue used by the rule-based suggestions (Section 3.7–3.8), tagged with correction_method = 'ML_PIPELINE'. A data steward now reviews suggestions from both approaches in a single queue, through the same approve / reject / staged-apply / audit-trail workflow already in place.</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7200"/>
        <w:gridCol w:w="2000"/>
      </w:tblGrid>
      <w:tr>
        <w:trPr>
          <w:tblHeader/>
        </w:trPr>
        <w:tc>
          <w:tcPr>
            <w:tcW w:type="dxa" w:w="7200"/>
            <w:shd w:fill="1F3864" w:val="clear"/>
            <w:tcMar>
              <w:top w:type="dxa" w:w="60"/>
              <w:left w:type="dxa" w:w="100"/>
              <w:bottom w:type="dxa" w:w="60"/>
              <w:right w:type="dxa" w:w="100"/>
            </w:tcMar>
            <w:vAlign w:val="center"/>
          </w:tcPr>
          <w:p>
            <w:pPr>
              <w:jc w:val="left"/>
            </w:pPr>
            <w:r>
              <w:rPr>
                <w:b/>
                <w:bCs/>
                <w:color w:val="FFFFFF"/>
                <w:sz w:val="20"/>
                <w:szCs w:val="20"/>
              </w:rPr>
              <w:t xml:space="preserve">Metric</w:t>
            </w:r>
          </w:p>
        </w:tc>
        <w:tc>
          <w:tcPr>
            <w:tcW w:type="dxa" w:w="2000"/>
            <w:shd w:fill="1F3864" w:val="clear"/>
            <w:tcMar>
              <w:top w:type="dxa" w:w="60"/>
              <w:left w:type="dxa" w:w="100"/>
              <w:bottom w:type="dxa" w:w="60"/>
              <w:right w:type="dxa" w:w="100"/>
            </w:tcMar>
            <w:vAlign w:val="center"/>
          </w:tcPr>
          <w:p>
            <w:pPr>
              <w:jc w:val="left"/>
            </w:pPr>
            <w:r>
              <w:rPr>
                <w:b/>
                <w:bCs/>
                <w:color w:val="FFFFFF"/>
                <w:sz w:val="20"/>
                <w:szCs w:val="20"/>
              </w:rPr>
              <w:t xml:space="preserve">Count</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ML-generated suggestions inserted</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18,365</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NULL_VALUE</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10,852</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TOO_SHORT</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2,272</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NUMERIC_OUTLIER</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2,203</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ML_RULE_VIOLATION (general)</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2,058</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EMBEDDED_SPACE</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575</w:t>
            </w:r>
          </w:p>
        </w:tc>
      </w:tr>
      <w:tr>
        <w:tc>
          <w:tcPr>
            <w:tcW w:type="dxa" w:w="7200"/>
            <w:tcMar>
              <w:top w:type="dxa" w:w="60"/>
              <w:left w:type="dxa" w:w="100"/>
              <w:bottom w:type="dxa" w:w="60"/>
              <w:right w:type="dxa" w:w="100"/>
            </w:tcMar>
            <w:vAlign w:val="center"/>
          </w:tcPr>
          <w:p>
            <w:pPr>
              <w:jc w:val="left"/>
            </w:pPr>
            <w:r>
              <w:rPr>
                <w:b w:val="false"/>
                <w:bCs w:val="false"/>
                <w:color w:val="000000"/>
                <w:sz w:val="20"/>
                <w:szCs w:val="20"/>
              </w:rPr>
              <w:t xml:space="preserve">  — DATE_OUT_OF_RANGE</w:t>
            </w:r>
          </w:p>
        </w:tc>
        <w:tc>
          <w:tcPr>
            <w:tcW w:type="dxa" w:w="2000"/>
            <w:tcMar>
              <w:top w:type="dxa" w:w="60"/>
              <w:left w:type="dxa" w:w="100"/>
              <w:bottom w:type="dxa" w:w="60"/>
              <w:right w:type="dxa" w:w="100"/>
            </w:tcMar>
            <w:vAlign w:val="center"/>
          </w:tcPr>
          <w:p>
            <w:pPr>
              <w:jc w:val="left"/>
            </w:pPr>
            <w:r>
              <w:rPr>
                <w:b w:val="false"/>
                <w:bCs w:val="false"/>
                <w:color w:val="000000"/>
                <w:sz w:val="20"/>
                <w:szCs w:val="20"/>
              </w:rPr>
              <w:t xml:space="preserve">405</w:t>
            </w:r>
          </w:p>
        </w:tc>
      </w:tr>
    </w:tbl>
    <w:p>
      <w:r>
        <w:br w:type="page"/>
      </w:r>
    </w:p>
    <w:p>
      <w:pPr>
        <w:pStyle w:val="Heading1"/>
        <w:pBdr>
          <w:bottom w:val="single" w:color="2E75B6" w:sz="6" w:space="4"/>
        </w:pBdr>
        <w:spacing w:after="160" w:before="360"/>
      </w:pPr>
      <w:r>
        <w:rPr>
          <w:b/>
          <w:bCs/>
          <w:color w:val="1F3864"/>
          <w:sz w:val="30"/>
          <w:szCs w:val="30"/>
        </w:rPr>
        <w:t xml:space="preserve">6. Front-End Application</w:t>
      </w:r>
    </w:p>
    <w:p>
      <w:pPr>
        <w:spacing w:after="160" w:line="276"/>
      </w:pPr>
      <w:r>
        <w:rPr>
          <w:sz w:val="22"/>
          <w:szCs w:val="22"/>
        </w:rPr>
        <w:t xml:space="preserve">To make the pipeline usable without writing or editing code for every new batch of data, a local web interface was built on top of the existing, already-tested Python pipeline. It does not duplicate any logic - it calls the same DQPipeline class documented in Section 5, so its results are identical to running the pipeline directly.</w:t>
      </w:r>
    </w:p>
    <w:tbl>
      <w:tblPr>
        <w:tblW w:type="dxa" w:w="94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8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Aspect</w:t>
            </w:r>
          </w:p>
        </w:tc>
        <w:tc>
          <w:tcPr>
            <w:tcW w:type="dxa" w:w="6800"/>
            <w:shd w:fill="1F3864" w:val="clear"/>
            <w:tcMar>
              <w:top w:type="dxa" w:w="60"/>
              <w:left w:type="dxa" w:w="100"/>
              <w:bottom w:type="dxa" w:w="60"/>
              <w:right w:type="dxa" w:w="100"/>
            </w:tcMar>
            <w:vAlign w:val="center"/>
          </w:tcPr>
          <w:p>
            <w:pPr>
              <w:jc w:val="left"/>
            </w:pPr>
            <w:r>
              <w:rPr>
                <w:b/>
                <w:bCs/>
                <w:color w:val="FFFFFF"/>
                <w:sz w:val="20"/>
                <w:szCs w:val="20"/>
              </w:rPr>
              <w:t xml:space="preserve">Detail</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Framework</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Streamlit (Python) — turns the existing pipeline script into a local browser application, with no separate HTML/JavaScript development required</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Data sources</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Upload any CSV directly, or pull records from customer_master filtered by load_date (a configurable "last N days" window), so either a one-off file or a live recent batch can be checked</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Model used</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Loads the already-trained pipeline (dq_pipeline_trained.joblib) saved by dq_ml_pipeline.py — no retraining happens when the app runs, so results are returned in seconds</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Dashboard shown</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Records checked, percentage with an issue, and an estimated quality score as headline metrics; a bar chart of issues by column; a bar chart of issues by confidence tier; and the full suggestion-level table, sortable and searchable</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Export</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The complete report can be downloaded as a CSV directly from the browser</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Review queue integration</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A single button sends every suggestion into the same dq_corrections table used by the rest of the project (Section 3.7-3.8), skipping anything already submitted in an earlier run. Nothing is written to production data from the app - every submission lands as PENDING and still requires the same human approval and staged-apply process described in Sections 3.7-3.8</w:t>
            </w:r>
          </w:p>
        </w:tc>
      </w:tr>
      <w:tr>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How it is run</w:t>
            </w:r>
          </w:p>
        </w:tc>
        <w:tc>
          <w:tcPr>
            <w:tcW w:type="dxa" w:w="6800"/>
            <w:tcMar>
              <w:top w:type="dxa" w:w="60"/>
              <w:left w:type="dxa" w:w="100"/>
              <w:bottom w:type="dxa" w:w="60"/>
              <w:right w:type="dxa" w:w="100"/>
            </w:tcMar>
            <w:vAlign w:val="center"/>
          </w:tcPr>
          <w:p>
            <w:pPr>
              <w:jc w:val="left"/>
            </w:pPr>
            <w:r>
              <w:rPr>
                <w:b w:val="false"/>
                <w:bCs w:val="false"/>
                <w:color w:val="000000"/>
                <w:sz w:val="20"/>
                <w:szCs w:val="20"/>
              </w:rPr>
              <w:t xml:space="preserve">streamlit run dq_frontend_app.py, opened locally at http://localhost:8501 - not launched as a normal Python script, since Streamlit manages its own local web server</w:t>
            </w:r>
          </w:p>
        </w:tc>
      </w:tr>
    </w:tbl>
    <w:p>
      <w:pPr>
        <w:spacing w:after="160" w:line="276"/>
      </w:pPr>
      <w:r>
        <w:rPr>
          <w:i/>
          <w:iCs/>
          <w:sz w:val="22"/>
          <w:szCs w:val="22"/>
        </w:rPr>
        <w:t xml:space="preserve">This closes the loop described in the source metric's "Human Review Queue" requirement (action step 45): a data steward with no Python or SQL experience can check a new file, see a clear quality summary, and submit findings for review, all from a browser window, while the approval and audit-trail controls built in Sections 3.7-3.8 remain fully in effect underneath it.</w:t>
      </w:r>
    </w:p>
    <w:p>
      <w:r>
        <w:br w:type="page"/>
      </w:r>
    </w:p>
    <w:p>
      <w:pPr>
        <w:pStyle w:val="Heading1"/>
        <w:pBdr>
          <w:bottom w:val="single" w:color="2E75B6" w:sz="6" w:space="4"/>
        </w:pBdr>
        <w:spacing w:after="160" w:before="360"/>
      </w:pPr>
      <w:r>
        <w:rPr>
          <w:b/>
          <w:bCs/>
          <w:color w:val="1F3864"/>
          <w:sz w:val="30"/>
          <w:szCs w:val="30"/>
        </w:rPr>
        <w:t xml:space="preserve">7. Action-Step Traceability Matrix</w:t>
      </w:r>
    </w:p>
    <w:p>
      <w:pPr>
        <w:spacing w:after="160" w:line="276"/>
      </w:pPr>
      <w:r>
        <w:rPr>
          <w:sz w:val="22"/>
          <w:szCs w:val="22"/>
        </w:rPr>
        <w:t xml:space="preserve">The table below maps each action step of Metric 04.01.05 to the specific file that implements it, for audit and review purposes.</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5200"/>
        <w:gridCol w:w="26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20"/>
                <w:szCs w:val="20"/>
              </w:rPr>
              <w:t xml:space="preserve">Steps</w:t>
            </w:r>
          </w:p>
        </w:tc>
        <w:tc>
          <w:tcPr>
            <w:tcW w:type="dxa" w:w="5200"/>
            <w:shd w:fill="1F3864" w:val="clear"/>
            <w:tcMar>
              <w:top w:type="dxa" w:w="60"/>
              <w:left w:type="dxa" w:w="100"/>
              <w:bottom w:type="dxa" w:w="60"/>
              <w:right w:type="dxa" w:w="100"/>
            </w:tcMar>
            <w:vAlign w:val="center"/>
          </w:tcPr>
          <w:p>
            <w:pPr>
              <w:jc w:val="left"/>
            </w:pPr>
            <w:r>
              <w:rPr>
                <w:b/>
                <w:bCs/>
                <w:color w:val="FFFFFF"/>
                <w:sz w:val="20"/>
                <w:szCs w:val="20"/>
              </w:rPr>
              <w:t xml:space="preserve">Requirement</w:t>
            </w:r>
          </w:p>
        </w:tc>
        <w:tc>
          <w:tcPr>
            <w:tcW w:type="dxa" w:w="2600"/>
            <w:shd w:fill="1F3864" w:val="clear"/>
            <w:tcMar>
              <w:top w:type="dxa" w:w="60"/>
              <w:left w:type="dxa" w:w="100"/>
              <w:bottom w:type="dxa" w:w="60"/>
              <w:right w:type="dxa" w:w="100"/>
            </w:tcMar>
            <w:vAlign w:val="center"/>
          </w:tcPr>
          <w:p>
            <w:pPr>
              <w:jc w:val="left"/>
            </w:pPr>
            <w:r>
              <w:rPr>
                <w:b/>
                <w:bCs/>
                <w:color w:val="FFFFFF"/>
                <w:sz w:val="20"/>
                <w:szCs w:val="20"/>
              </w:rPr>
              <w:t xml:space="preserve">Implementing File</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25–26</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Select AI/DQ tooling approach; integrate with the data platform</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generate_realistic_bank_data.py, load_to_oracle.py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27</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Auto-profile datasets: null rates, cardinality, format patterns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dq_step1_profile.sql / dq_step1_profile.py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28</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AI-suggested DQ rules with owner review/approval</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dq_step2_rules.sql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29</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Auto-calculate DQ scores per rule, table and dimension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dq_step3_scores.sql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30</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Publish DQ scores to a governance dashboard</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dq_step4_dashboard.py / dq_step8_dashboard_v2.py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31–32</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Governance review cycle; phased rollout by data domain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Rule status workflow in dq_step2_rules.sql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33–34</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Deploy anomaly detection engine; train on historical patterns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dq_step6_spike_detection.py (rolling baseline)</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35</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Configure spike/sensitivity thresholds per domain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dq_step6_spike_detection.py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36</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Relationship inference; alert on broken links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dq_step5_anomalies.sql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37</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Root-cause diagnosis: isolated error vs. upstream failure</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dq_step7_root_cause.sql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38</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Automated anomaly report with recommended action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dq_step8_dashboard_v2.py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39</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Live anomaly dashboard: counts, trend, status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dq_step8_dashboard_v2.py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40</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Measure diagnostic accuracy against ground truth</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dq_step9_accuracy.sql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41</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Define correction scope: low-risk, high-frequency fields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dq_step10_corrections.sql (Section 1–2 design)</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42</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Build rule-based / ML correction recommendation models</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dq_step10_corrections.sql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43</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Attach a confidence score to each recommendation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dq_step10_corrections.sql (history-based scoring)</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44</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Assess potential business impact of each correction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dq_step10_corrections.sql (business_impact column)</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45</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Human review queue: view, approve, reject, annotate</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dq_step11_review_apply_audit.sql (Section 1)</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46</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Controlled apply: staging validation, then production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dq_step11_review_apply_audit.sql (Section 2)</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47</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Full correction audit trail</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dq_step11_review_apply_audit.sql (Section 1, 2d)</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48</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Monthly accuracy review and model retraining</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dq_step12_monthly_retrain.sql</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33–34 (ML)</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Model-based multivariate anomaly detection (Isolation Forest, as named in the source metric)</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dq_step14_isolation_forest.py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27, 28, 42 (ML)</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Self-learning rule induction and error detection, trained and validated on any bank dataset</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dq_ml_pipeline.py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43 (ML)</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Trained classifier for correction-approval confidence, replacing the lookup-table version</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dq_step13_ml_confidence.py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45 (ML)</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Integrates ML-generated suggestions into the existing human review queue</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dq_step15_ml_to_corrections.py</w:t>
            </w:r>
          </w:p>
        </w:tc>
      </w:tr>
      <w:tr>
        <w:tc>
          <w:tcPr>
            <w:tcW w:type="dxa" w:w="1200"/>
            <w:tcMar>
              <w:top w:type="dxa" w:w="60"/>
              <w:left w:type="dxa" w:w="100"/>
              <w:bottom w:type="dxa" w:w="60"/>
              <w:right w:type="dxa" w:w="100"/>
            </w:tcMar>
            <w:vAlign w:val="center"/>
          </w:tcPr>
          <w:p>
            <w:pPr>
              <w:jc w:val="left"/>
            </w:pPr>
            <w:r>
              <w:rPr>
                <w:b w:val="false"/>
                <w:bCs w:val="false"/>
                <w:color w:val="000000"/>
                <w:sz w:val="20"/>
                <w:szCs w:val="20"/>
              </w:rPr>
              <w:t xml:space="preserve">45 (UI)</w:t>
            </w:r>
          </w:p>
        </w:tc>
        <w:tc>
          <w:tcPr>
            <w:tcW w:type="dxa" w:w="5200"/>
            <w:tcMar>
              <w:top w:type="dxa" w:w="60"/>
              <w:left w:type="dxa" w:w="100"/>
              <w:bottom w:type="dxa" w:w="60"/>
              <w:right w:type="dxa" w:w="100"/>
            </w:tcMar>
            <w:vAlign w:val="center"/>
          </w:tcPr>
          <w:p>
            <w:pPr>
              <w:jc w:val="left"/>
            </w:pPr>
            <w:r>
              <w:rPr>
                <w:b w:val="false"/>
                <w:bCs w:val="false"/>
                <w:color w:val="000000"/>
                <w:sz w:val="20"/>
                <w:szCs w:val="20"/>
              </w:rPr>
              <w:t xml:space="preserve">Browser-based front end: upload/pull data, view the dashboard, submit to the review queue</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dq_frontend_app.py</w:t>
            </w:r>
          </w:p>
        </w:tc>
      </w:tr>
    </w:tbl>
    <w:p>
      <w:r>
        <w:br w:type="page"/>
      </w:r>
    </w:p>
    <w:p>
      <w:pPr>
        <w:pStyle w:val="Heading1"/>
        <w:pBdr>
          <w:bottom w:val="single" w:color="2E75B6" w:sz="6" w:space="4"/>
        </w:pBdr>
        <w:spacing w:after="160" w:before="360"/>
      </w:pPr>
      <w:r>
        <w:rPr>
          <w:b/>
          <w:bCs/>
          <w:color w:val="1F3864"/>
          <w:sz w:val="30"/>
          <w:szCs w:val="30"/>
        </w:rPr>
        <w:t xml:space="preserve">8. Tools and Technologies Used</w:t>
      </w:r>
    </w:p>
    <w:p>
      <w:pPr>
        <w:pStyle w:val="ListParagraph"/>
        <w:numPr>
          <w:ilvl w:val="0"/>
          <w:numId w:val="2"/>
        </w:numPr>
        <w:spacing w:after="80"/>
      </w:pPr>
      <w:r>
        <w:rPr>
          <w:sz w:val="22"/>
          <w:szCs w:val="22"/>
        </w:rPr>
        <w:t xml:space="preserve">Oracle Database (SQL, PL/SQL, SQL Developer) — schema, rule engine, anomaly storage, audit trail</w:t>
      </w:r>
    </w:p>
    <w:p>
      <w:pPr>
        <w:pStyle w:val="ListParagraph"/>
        <w:numPr>
          <w:ilvl w:val="0"/>
          <w:numId w:val="2"/>
        </w:numPr>
        <w:spacing w:after="80"/>
      </w:pPr>
      <w:r>
        <w:rPr>
          <w:sz w:val="22"/>
          <w:szCs w:val="22"/>
        </w:rPr>
        <w:t xml:space="preserve">Python (pandas, NumPy, oracledb) — synthetic data generation, statistical spike detection, dashboard generation</w:t>
      </w:r>
    </w:p>
    <w:p>
      <w:pPr>
        <w:pStyle w:val="ListParagraph"/>
        <w:numPr>
          <w:ilvl w:val="0"/>
          <w:numId w:val="2"/>
        </w:numPr>
        <w:spacing w:after="80"/>
      </w:pPr>
      <w:r>
        <w:rPr>
          <w:sz w:val="22"/>
          <w:szCs w:val="22"/>
        </w:rPr>
        <w:t xml:space="preserve">scikit-learn — Random Forest and Logistic Regression classifiers, Isolation Forest anomaly detection, train/validation/test splitting and cross-validation</w:t>
      </w:r>
    </w:p>
    <w:p>
      <w:pPr>
        <w:pStyle w:val="ListParagraph"/>
        <w:numPr>
          <w:ilvl w:val="0"/>
          <w:numId w:val="2"/>
        </w:numPr>
        <w:spacing w:after="80"/>
      </w:pPr>
      <w:r>
        <w:rPr>
          <w:sz w:val="22"/>
          <w:szCs w:val="22"/>
        </w:rPr>
        <w:t xml:space="preserve">Streamlit — local browser front end for uploading data, viewing the dashboard, and submitting to the review queue</w:t>
      </w:r>
    </w:p>
    <w:p>
      <w:pPr>
        <w:pStyle w:val="ListParagraph"/>
        <w:numPr>
          <w:ilvl w:val="0"/>
          <w:numId w:val="2"/>
        </w:numPr>
        <w:spacing w:after="80"/>
      </w:pPr>
      <w:r>
        <w:rPr>
          <w:sz w:val="22"/>
          <w:szCs w:val="22"/>
        </w:rPr>
        <w:t xml:space="preserve">Chart.js (via HTML dashboard) — live visualisation of DQ scores, anomaly counts, root-cause split, and detection accuracy</w:t>
      </w:r>
    </w:p>
    <w:p>
      <w:pPr>
        <w:pStyle w:val="ListParagraph"/>
        <w:numPr>
          <w:ilvl w:val="0"/>
          <w:numId w:val="2"/>
        </w:numPr>
        <w:spacing w:after="80"/>
      </w:pPr>
      <w:r>
        <w:rPr>
          <w:sz w:val="22"/>
          <w:szCs w:val="22"/>
        </w:rPr>
        <w:t xml:space="preserve">PyCharm — development environment for all Python components</w:t>
      </w:r>
    </w:p>
    <w:p>
      <w:pPr>
        <w:pStyle w:val="Heading1"/>
        <w:pBdr>
          <w:bottom w:val="single" w:color="2E75B6" w:sz="6" w:space="4"/>
        </w:pBdr>
        <w:spacing w:after="160" w:before="360"/>
      </w:pPr>
      <w:r>
        <w:rPr>
          <w:b/>
          <w:bCs/>
          <w:color w:val="1F3864"/>
          <w:sz w:val="30"/>
          <w:szCs w:val="30"/>
        </w:rPr>
        <w:t xml:space="preserve">9. Conclusion</w:t>
      </w:r>
    </w:p>
    <w:p>
      <w:pPr>
        <w:spacing w:after="160" w:line="276"/>
      </w:pPr>
      <w:r>
        <w:rPr>
          <w:sz w:val="22"/>
          <w:szCs w:val="22"/>
        </w:rPr>
        <w:t xml:space="preserve">This project demonstrates a complete, working implementation of an AI-assisted data quality management lifecycle on a realistic synthetic banking dataset — from automatic rule generation and scoring, through anomaly detection with statistically grounded root-cause diagnosis, to a fully audited, human-supervised correction workflow.</w:t>
      </w:r>
    </w:p>
    <w:p>
      <w:pPr>
        <w:spacing w:after="160" w:line="276"/>
      </w:pPr>
      <w:r>
        <w:rPr>
          <w:sz w:val="22"/>
          <w:szCs w:val="22"/>
        </w:rPr>
        <w:t xml:space="preserve">The results validate the core design principle underlying Metric 04.01.05: automation should surface and prioritise problems, and even propose fixes, but a human decision-maker remains the final authority before any change reaches production data. The system achieved 100% recall in detecting the deliberately injected structural errors used to test it, correctly distinguished a genuine upstream feed failure from routine isolated mistakes, and left the majority of low-confidence correction suggestions for manual review rather than applying them automatically — behaviour that reflects a trustworthy, not merely automated, system.</w:t>
      </w:r>
    </w:p>
    <w:p>
      <w:pPr>
        <w:spacing w:after="160" w:line="276"/>
      </w:pPr>
      <w:r>
        <w:rPr>
          <w:sz w:val="22"/>
          <w:szCs w:val="22"/>
        </w:rPr>
        <w:t xml:space="preserve">Future extensions could include: replacing the rule-based correction models for name and address matching with a proper record-linkage / clustering model (e.g. for the duplicate-customer scenario retained in the dataset), scheduling the profiling and anomaly jobs to run automatically on each daily batch load, and integrating the dashboard with an actual enterprise catalog tool such as Microsoft Purview or Ataccama ONE as referenced in the metric.</w:t>
      </w:r>
    </w:p>
    <w:p>
      <w:pPr>
        <w:spacing w:after="300"/>
      </w:pPr>
    </w:p>
    <w:p>
      <w:pPr>
        <w:spacing w:after="160" w:line="276"/>
      </w:pPr>
      <w:r>
        <w:rPr>
          <w:i/>
          <w:iCs/>
          <w:color w:val="595959"/>
          <w:sz w:val="22"/>
          <w:szCs w:val="22"/>
        </w:rPr>
        <w:t xml:space="preserve">— End of Report —</w:t>
      </w:r>
    </w:p>
    <w:p>
      <w:pPr>
        <w:spacing w:after="100"/>
      </w:pPr>
    </w:p>
    <w:p>
      <w:pPr>
        <w:spacing w:after="160" w:line="276"/>
      </w:pPr>
      <w:r>
        <w:rPr>
          <w:b/>
          <w:bCs/>
          <w:sz w:val="22"/>
          <w:szCs w:val="22"/>
        </w:rPr>
        <w:t xml:space="preserve">Prepared by: Suman.P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AI-Driven Data Quality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Data Quality Management System — Project Report</dc:title>
  <dc:creator>Suman.P</dc:creator>
  <cp:lastModifiedBy>Un-named</cp:lastModifiedBy>
  <cp:revision>1</cp:revision>
  <dcterms:created xsi:type="dcterms:W3CDTF">2026-10-03T10:03:39.257Z</dcterms:created>
  <dcterms:modified xsi:type="dcterms:W3CDTF">2026-10-03T10:03:39.257Z</dcterms:modified>
</cp:coreProperties>
</file>

<file path=docProps/custom.xml><?xml version="1.0" encoding="utf-8"?>
<Properties xmlns="http://schemas.openxmlformats.org/officeDocument/2006/custom-properties" xmlns:vt="http://schemas.openxmlformats.org/officeDocument/2006/docPropsVTypes"/>
</file>