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color w:val="1F3864"/>
          <w:sz w:val="56"/>
          <w:szCs w:val="56"/>
        </w:rPr>
        <w:t xml:space="preserve">Bank Loan Status Prediction</w:t>
      </w:r>
    </w:p>
    <w:p>
      <w:pPr>
        <w:spacing w:after="1200"/>
        <w:jc w:val="center"/>
      </w:pPr>
      <w:r>
        <w:rPr>
          <w:color w:val="444444"/>
          <w:sz w:val="28"/>
          <w:szCs w:val="28"/>
        </w:rPr>
        <w:t xml:space="preserve">A Machine Learning Mini Project on Relational Banking Data</w:t>
      </w:r>
    </w:p>
    <w:p>
      <w:pPr>
        <w:jc w:val="center"/>
      </w:pPr>
      <w:r>
        <w:rPr>
          <w:i/>
          <w:iCs/>
          <w:sz w:val="22"/>
          <w:szCs w:val="22"/>
        </w:rPr>
        <w:t xml:space="preserve">Predicting whether a customer's loan will remain ACTIVE or become CLOSED,</w:t>
      </w:r>
    </w:p>
    <w:p>
      <w:pPr>
        <w:spacing w:after="1600"/>
        <w:jc w:val="center"/>
      </w:pPr>
      <w:r>
        <w:rPr>
          <w:i/>
          <w:iCs/>
          <w:sz w:val="22"/>
          <w:szCs w:val="22"/>
        </w:rPr>
        <w:t xml:space="preserve">using customer, account, transaction, and loan data from an Oracle database.</w:t>
      </w:r>
    </w:p>
    <w:p>
      <w:pPr>
        <w:spacing w:after="80"/>
        <w:jc w:val="center"/>
      </w:pPr>
      <w:r>
        <w:rPr>
          <w:sz w:val="22"/>
          <w:szCs w:val="22"/>
        </w:rPr>
        <w:t xml:space="preserve">Database: Oracle (4 relational tables)</w:t>
      </w:r>
    </w:p>
    <w:p>
      <w:pPr>
        <w:spacing w:after="80"/>
        <w:jc w:val="center"/>
      </w:pPr>
      <w:r>
        <w:rPr>
          <w:sz w:val="22"/>
          <w:szCs w:val="22"/>
        </w:rPr>
        <w:t xml:space="preserve">Tools: Oracle SQL Developer, Python (pandas, scikit-learn)</w:t>
      </w:r>
    </w:p>
    <w:p>
      <w:pPr>
        <w:jc w:val="center"/>
      </w:pPr>
      <w:r>
        <w:rPr>
          <w:sz w:val="22"/>
          <w:szCs w:val="22"/>
        </w:rPr>
        <w:t xml:space="preserve">Date: September 2026</w:t>
      </w:r>
    </w:p>
    <w:p>
      <w:pPr>
        <w:sectPr>
          <w:pgSz w:w="12240" w:h="15840" w:orient="portrait"/>
          <w:pgMar w:top="1440" w:right="1440" w:bottom="1440" w:left="1440" w:header="708" w:footer="708" w:gutter="0"/>
          <w:pgNumType/>
          <w:docGrid w:linePitch="360"/>
        </w:sectPr>
      </w:pPr>
    </w:p>
    <w:p>
      <w:pPr>
        <w:pStyle w:val="Heading1"/>
        <w:spacing w:after="150" w:before="300"/>
      </w:pPr>
      <w:r>
        <w:t xml:space="preserve">1. Introduction &amp; Objective</w:t>
      </w:r>
    </w:p>
    <w:p>
      <w:pPr>
        <w:spacing w:after="160"/>
      </w:pPr>
      <w:r>
        <w:t xml:space="preserve">This project analyzes a relational banking dataset consisting of four linked tables — Customers, Accounts, Transactions, and Loans — to build a machine learning model that predicts whether a customer's loan is ACTIVE or CLOSED. The goal is to demonstrate an end-to-end data pipeline: from a normalized relational database, through SQL-based feature engineering, to a trained and evaluated classification model.</w:t>
      </w:r>
    </w:p>
    <w:p>
      <w:pPr>
        <w:spacing w:after="160"/>
      </w:pPr>
      <w:r>
        <w:t xml:space="preserve">The project covers:</w:t>
      </w:r>
    </w:p>
    <w:p>
      <w:pPr>
        <w:pStyle w:val="ListParagraph"/>
        <w:numPr>
          <w:ilvl w:val="0"/>
          <w:numId w:val="1"/>
        </w:numPr>
        <w:spacing w:after="80"/>
      </w:pPr>
      <w:r>
        <w:t xml:space="preserve">Database schema design and entity relationships</w:t>
      </w:r>
    </w:p>
    <w:p>
      <w:pPr>
        <w:pStyle w:val="ListParagraph"/>
        <w:numPr>
          <w:ilvl w:val="0"/>
          <w:numId w:val="1"/>
        </w:numPr>
        <w:spacing w:after="80"/>
      </w:pPr>
      <w:r>
        <w:t xml:space="preserve">SQL queries for feature extraction and business insights</w:t>
      </w:r>
    </w:p>
    <w:p>
      <w:pPr>
        <w:pStyle w:val="ListParagraph"/>
        <w:numPr>
          <w:ilvl w:val="0"/>
          <w:numId w:val="1"/>
        </w:numPr>
        <w:spacing w:after="80"/>
      </w:pPr>
      <w:r>
        <w:t xml:space="preserve">Machine learning model training and evaluation (Logistic Regression &amp; Random Forest)</w:t>
      </w:r>
    </w:p>
    <w:p>
      <w:pPr>
        <w:pStyle w:val="ListParagraph"/>
        <w:numPr>
          <w:ilvl w:val="0"/>
          <w:numId w:val="1"/>
        </w:numPr>
        <w:spacing w:after="80"/>
      </w:pPr>
      <w:r>
        <w:t xml:space="preserve">Interpretation of results and feature importance</w:t>
      </w:r>
    </w:p>
    <w:p>
      <w:pPr>
        <w:pStyle w:val="Heading1"/>
        <w:spacing w:after="150" w:before="300"/>
      </w:pPr>
      <w:r>
        <w:t xml:space="preserve">2. Database Schema</w:t>
      </w:r>
    </w:p>
    <w:p>
      <w:pPr>
        <w:spacing w:after="160"/>
      </w:pPr>
      <w:r>
        <w:t xml:space="preserve">The database consists of four tables with the following relationships: a customer can hold multiple accounts and take multiple loans; each account can have many transactions over time.</w:t>
      </w:r>
    </w:p>
    <w:p>
      <w:pPr>
        <w:spacing w:after="80"/>
        <w:jc w:val="center"/>
      </w:pPr>
      <w:r>
        <w:drawing>
          <wp:inline distT="0" distB="0" distL="0" distR="0">
            <wp:extent cx="3238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324100"/>
                    </a:xfrm>
                    <a:prstGeom prst="rect">
                      <a:avLst/>
                    </a:prstGeom>
                  </pic:spPr>
                </pic:pic>
              </a:graphicData>
            </a:graphic>
          </wp:inline>
        </w:drawing>
      </w:r>
    </w:p>
    <w:p>
      <w:pPr>
        <w:spacing w:after="240"/>
        <w:jc w:val="center"/>
      </w:pPr>
      <w:r>
        <w:rPr>
          <w:i/>
          <w:iCs/>
          <w:color w:val="555555"/>
          <w:sz w:val="20"/>
          <w:szCs w:val="20"/>
        </w:rPr>
        <w:t xml:space="preserve">Figure 1: Entity-Relationship Diagram of the 4-table banking schema</w:t>
      </w:r>
    </w:p>
    <w:p>
      <w:pPr>
        <w:pStyle w:val="Heading2"/>
        <w:spacing w:after="120" w:before="240"/>
      </w:pPr>
      <w:r>
        <w:t xml:space="preserve">2.1 Table Structures</w:t>
      </w:r>
    </w:p>
    <w:p>
      <w:pPr>
        <w:spacing w:after="160"/>
      </w:pPr>
      <w:r>
        <w:rPr>
          <w:b/>
          <w:bCs/>
        </w:rPr>
        <w:t xml:space="preserve">CUSTOMERS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000"/>
      </w:tblGrid>
      <w:tr>
        <w:tc>
          <w:tcPr>
            <w:tcW w:type="dxa" w:w="2200"/>
            <w:shd w:fill="2E5090" w:val="clear"/>
          </w:tcPr>
          <w:p>
            <w:r>
              <w:rPr>
                <w:b/>
                <w:bCs/>
                <w:color w:val="FFFFFF"/>
                <w:sz w:val="20"/>
                <w:szCs w:val="20"/>
              </w:rPr>
              <w:t xml:space="preserve">Column</w:t>
            </w:r>
          </w:p>
        </w:tc>
        <w:tc>
          <w:tcPr>
            <w:tcW w:type="dxa" w:w="1400"/>
            <w:shd w:fill="2E5090" w:val="clear"/>
          </w:tcPr>
          <w:p>
            <w:r>
              <w:rPr>
                <w:b/>
                <w:bCs/>
                <w:color w:val="FFFFFF"/>
                <w:sz w:val="20"/>
                <w:szCs w:val="20"/>
              </w:rPr>
              <w:t xml:space="preserve">Type</w:t>
            </w:r>
          </w:p>
        </w:tc>
        <w:tc>
          <w:tcPr>
            <w:tcW w:type="dxa" w:w="5000"/>
            <w:shd w:fill="2E5090" w:val="clear"/>
          </w:tcPr>
          <w:p>
            <w:r>
              <w:rPr>
                <w:b/>
                <w:bCs/>
                <w:color w:val="FFFFFF"/>
                <w:sz w:val="20"/>
                <w:szCs w:val="20"/>
              </w:rPr>
              <w:t xml:space="preserve">Description</w:t>
            </w:r>
          </w:p>
        </w:tc>
      </w:tr>
      <w:tr>
        <w:tc>
          <w:tcPr>
            <w:tcW w:type="dxa" w:w="2200"/>
          </w:tcPr>
          <w:p>
            <w:r>
              <w:rPr>
                <w:sz w:val="20"/>
                <w:szCs w:val="20"/>
              </w:rPr>
              <w:t xml:space="preserve">CUSTOMERID</w:t>
            </w:r>
          </w:p>
        </w:tc>
        <w:tc>
          <w:tcPr>
            <w:tcW w:type="dxa" w:w="1400"/>
          </w:tcPr>
          <w:p>
            <w:r>
              <w:rPr>
                <w:sz w:val="20"/>
                <w:szCs w:val="20"/>
              </w:rPr>
              <w:t xml:space="preserve">NUMBER (PK)</w:t>
            </w:r>
          </w:p>
        </w:tc>
        <w:tc>
          <w:tcPr>
            <w:tcW w:type="dxa" w:w="5000"/>
          </w:tcPr>
          <w:p>
            <w:r>
              <w:rPr>
                <w:sz w:val="20"/>
                <w:szCs w:val="20"/>
              </w:rPr>
              <w:t xml:space="preserve">Unique customer identifier</w:t>
            </w:r>
          </w:p>
        </w:tc>
      </w:tr>
      <w:tr>
        <w:tc>
          <w:tcPr>
            <w:tcW w:type="dxa" w:w="2200"/>
          </w:tcPr>
          <w:p>
            <w:r>
              <w:rPr>
                <w:sz w:val="20"/>
                <w:szCs w:val="20"/>
              </w:rPr>
              <w:t xml:space="preserve">FIRSTNAME, LASTNAME</w:t>
            </w:r>
          </w:p>
        </w:tc>
        <w:tc>
          <w:tcPr>
            <w:tcW w:type="dxa" w:w="1400"/>
          </w:tcPr>
          <w:p>
            <w:r>
              <w:rPr>
                <w:sz w:val="20"/>
                <w:szCs w:val="20"/>
              </w:rPr>
              <w:t xml:space="preserve">VARCHAR2</w:t>
            </w:r>
          </w:p>
        </w:tc>
        <w:tc>
          <w:tcPr>
            <w:tcW w:type="dxa" w:w="5000"/>
          </w:tcPr>
          <w:p>
            <w:r>
              <w:rPr>
                <w:sz w:val="20"/>
                <w:szCs w:val="20"/>
              </w:rPr>
              <w:t xml:space="preserve">Customer name</w:t>
            </w:r>
          </w:p>
        </w:tc>
      </w:tr>
      <w:tr>
        <w:tc>
          <w:tcPr>
            <w:tcW w:type="dxa" w:w="2200"/>
          </w:tcPr>
          <w:p>
            <w:r>
              <w:rPr>
                <w:sz w:val="20"/>
                <w:szCs w:val="20"/>
              </w:rPr>
              <w:t xml:space="preserve">DATEOFBIRTH</w:t>
            </w:r>
          </w:p>
        </w:tc>
        <w:tc>
          <w:tcPr>
            <w:tcW w:type="dxa" w:w="1400"/>
          </w:tcPr>
          <w:p>
            <w:r>
              <w:rPr>
                <w:sz w:val="20"/>
                <w:szCs w:val="20"/>
              </w:rPr>
              <w:t xml:space="preserve">DATE</w:t>
            </w:r>
          </w:p>
        </w:tc>
        <w:tc>
          <w:tcPr>
            <w:tcW w:type="dxa" w:w="5000"/>
          </w:tcPr>
          <w:p>
            <w:r>
              <w:rPr>
                <w:sz w:val="20"/>
                <w:szCs w:val="20"/>
              </w:rPr>
              <w:t xml:space="preserve">Used to derive age</w:t>
            </w:r>
          </w:p>
        </w:tc>
      </w:tr>
      <w:tr>
        <w:tc>
          <w:tcPr>
            <w:tcW w:type="dxa" w:w="2200"/>
          </w:tcPr>
          <w:p>
            <w:r>
              <w:rPr>
                <w:sz w:val="20"/>
                <w:szCs w:val="20"/>
              </w:rPr>
              <w:t xml:space="preserve">GENDER</w:t>
            </w:r>
          </w:p>
        </w:tc>
        <w:tc>
          <w:tcPr>
            <w:tcW w:type="dxa" w:w="1400"/>
          </w:tcPr>
          <w:p>
            <w:r>
              <w:rPr>
                <w:sz w:val="20"/>
                <w:szCs w:val="20"/>
              </w:rPr>
              <w:t xml:space="preserve">VARCHAR2</w:t>
            </w:r>
          </w:p>
        </w:tc>
        <w:tc>
          <w:tcPr>
            <w:tcW w:type="dxa" w:w="5000"/>
          </w:tcPr>
          <w:p>
            <w:r>
              <w:rPr>
                <w:sz w:val="20"/>
                <w:szCs w:val="20"/>
              </w:rPr>
              <w:t xml:space="preserve">Customer gender</w:t>
            </w:r>
          </w:p>
        </w:tc>
      </w:tr>
      <w:tr>
        <w:tc>
          <w:tcPr>
            <w:tcW w:type="dxa" w:w="2200"/>
          </w:tcPr>
          <w:p>
            <w:r>
              <w:rPr>
                <w:sz w:val="20"/>
                <w:szCs w:val="20"/>
              </w:rPr>
              <w:t xml:space="preserve">ACCOUNTNUMBER, ACCOUNTTYPE, BALANCE</w:t>
            </w:r>
          </w:p>
        </w:tc>
        <w:tc>
          <w:tcPr>
            <w:tcW w:type="dxa" w:w="1400"/>
          </w:tcPr>
          <w:p>
            <w:r>
              <w:rPr>
                <w:sz w:val="20"/>
                <w:szCs w:val="20"/>
              </w:rPr>
              <w:t xml:space="preserve">VARCHAR2 / NUMBER</w:t>
            </w:r>
          </w:p>
        </w:tc>
        <w:tc>
          <w:tcPr>
            <w:tcW w:type="dxa" w:w="5000"/>
          </w:tcPr>
          <w:p>
            <w:r>
              <w:rPr>
                <w:sz w:val="20"/>
                <w:szCs w:val="20"/>
              </w:rPr>
              <w:t xml:space="preserve">Denormalized account summary</w:t>
            </w:r>
          </w:p>
        </w:tc>
      </w:tr>
      <w:tr>
        <w:tc>
          <w:tcPr>
            <w:tcW w:type="dxa" w:w="2200"/>
          </w:tcPr>
          <w:p>
            <w:r>
              <w:rPr>
                <w:sz w:val="20"/>
                <w:szCs w:val="20"/>
              </w:rPr>
              <w:t xml:space="preserve">BRANCHID</w:t>
            </w:r>
          </w:p>
        </w:tc>
        <w:tc>
          <w:tcPr>
            <w:tcW w:type="dxa" w:w="1400"/>
          </w:tcPr>
          <w:p>
            <w:r>
              <w:rPr>
                <w:sz w:val="20"/>
                <w:szCs w:val="20"/>
              </w:rPr>
              <w:t xml:space="preserve">NUMBER</w:t>
            </w:r>
          </w:p>
        </w:tc>
        <w:tc>
          <w:tcPr>
            <w:tcW w:type="dxa" w:w="5000"/>
          </w:tcPr>
          <w:p>
            <w:r>
              <w:rPr>
                <w:sz w:val="20"/>
                <w:szCs w:val="20"/>
              </w:rPr>
              <w:t xml:space="preserve">Branch reference</w:t>
            </w:r>
          </w:p>
        </w:tc>
      </w:tr>
      <w:tr>
        <w:tc>
          <w:tcPr>
            <w:tcW w:type="dxa" w:w="2200"/>
          </w:tcPr>
          <w:p>
            <w:r>
              <w:rPr>
                <w:sz w:val="20"/>
                <w:szCs w:val="20"/>
              </w:rPr>
              <w:t xml:space="preserve">CREATEDDATE</w:t>
            </w:r>
          </w:p>
        </w:tc>
        <w:tc>
          <w:tcPr>
            <w:tcW w:type="dxa" w:w="1400"/>
          </w:tcPr>
          <w:p>
            <w:r>
              <w:rPr>
                <w:sz w:val="20"/>
                <w:szCs w:val="20"/>
              </w:rPr>
              <w:t xml:space="preserve">DATE</w:t>
            </w:r>
          </w:p>
        </w:tc>
        <w:tc>
          <w:tcPr>
            <w:tcW w:type="dxa" w:w="5000"/>
          </w:tcPr>
          <w:p>
            <w:r>
              <w:rPr>
                <w:sz w:val="20"/>
                <w:szCs w:val="20"/>
              </w:rPr>
              <w:t xml:space="preserve">Used to derive account tenure</w:t>
            </w:r>
          </w:p>
        </w:tc>
      </w:tr>
      <w:tr>
        <w:tc>
          <w:tcPr>
            <w:tcW w:type="dxa" w:w="2200"/>
          </w:tcPr>
          <w:p>
            <w:r>
              <w:rPr>
                <w:sz w:val="20"/>
                <w:szCs w:val="20"/>
              </w:rPr>
              <w:t xml:space="preserve">STATUS</w:t>
            </w:r>
          </w:p>
        </w:tc>
        <w:tc>
          <w:tcPr>
            <w:tcW w:type="dxa" w:w="1400"/>
          </w:tcPr>
          <w:p>
            <w:r>
              <w:rPr>
                <w:sz w:val="20"/>
                <w:szCs w:val="20"/>
              </w:rPr>
              <w:t xml:space="preserve">VARCHAR2</w:t>
            </w:r>
          </w:p>
        </w:tc>
        <w:tc>
          <w:tcPr>
            <w:tcW w:type="dxa" w:w="5000"/>
          </w:tcPr>
          <w:p>
            <w:r>
              <w:rPr>
                <w:sz w:val="20"/>
                <w:szCs w:val="20"/>
              </w:rPr>
              <w:t xml:space="preserve">Customer account status</w:t>
            </w:r>
          </w:p>
        </w:tc>
      </w:tr>
    </w:tbl>
    <w:p>
      <w:pPr>
        <w:spacing w:after="200"/>
      </w:pPr>
    </w:p>
    <w:p>
      <w:pPr>
        <w:spacing w:after="160"/>
      </w:pPr>
      <w:r>
        <w:rPr>
          <w:b/>
          <w:bCs/>
        </w:rPr>
        <w:t xml:space="preserve">ACCOUNTS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000"/>
      </w:tblGrid>
      <w:tr>
        <w:tc>
          <w:tcPr>
            <w:tcW w:type="dxa" w:w="2200"/>
            <w:shd w:fill="1E7145" w:val="clear"/>
          </w:tcPr>
          <w:p>
            <w:r>
              <w:rPr>
                <w:b/>
                <w:bCs/>
                <w:color w:val="FFFFFF"/>
                <w:sz w:val="20"/>
                <w:szCs w:val="20"/>
              </w:rPr>
              <w:t xml:space="preserve">Column</w:t>
            </w:r>
          </w:p>
        </w:tc>
        <w:tc>
          <w:tcPr>
            <w:tcW w:type="dxa" w:w="1400"/>
            <w:shd w:fill="1E7145" w:val="clear"/>
          </w:tcPr>
          <w:p>
            <w:r>
              <w:rPr>
                <w:b/>
                <w:bCs/>
                <w:color w:val="FFFFFF"/>
                <w:sz w:val="20"/>
                <w:szCs w:val="20"/>
              </w:rPr>
              <w:t xml:space="preserve">Type</w:t>
            </w:r>
          </w:p>
        </w:tc>
        <w:tc>
          <w:tcPr>
            <w:tcW w:type="dxa" w:w="5000"/>
            <w:shd w:fill="1E7145" w:val="clear"/>
          </w:tcPr>
          <w:p>
            <w:r>
              <w:rPr>
                <w:b/>
                <w:bCs/>
                <w:color w:val="FFFFFF"/>
                <w:sz w:val="20"/>
                <w:szCs w:val="20"/>
              </w:rPr>
              <w:t xml:space="preserve">Description</w:t>
            </w:r>
          </w:p>
        </w:tc>
      </w:tr>
      <w:tr>
        <w:tc>
          <w:tcPr>
            <w:tcW w:type="dxa" w:w="2200"/>
          </w:tcPr>
          <w:p>
            <w:r>
              <w:rPr>
                <w:sz w:val="20"/>
                <w:szCs w:val="20"/>
              </w:rPr>
              <w:t xml:space="preserve">ACCOUNTID</w:t>
            </w:r>
          </w:p>
        </w:tc>
        <w:tc>
          <w:tcPr>
            <w:tcW w:type="dxa" w:w="1400"/>
          </w:tcPr>
          <w:p>
            <w:r>
              <w:rPr>
                <w:sz w:val="20"/>
                <w:szCs w:val="20"/>
              </w:rPr>
              <w:t xml:space="preserve">NUMBER (PK)</w:t>
            </w:r>
          </w:p>
        </w:tc>
        <w:tc>
          <w:tcPr>
            <w:tcW w:type="dxa" w:w="5000"/>
          </w:tcPr>
          <w:p>
            <w:r>
              <w:rPr>
                <w:sz w:val="20"/>
                <w:szCs w:val="20"/>
              </w:rPr>
              <w:t xml:space="preserve">Unique account identifier</w:t>
            </w:r>
          </w:p>
        </w:tc>
      </w:tr>
      <w:tr>
        <w:tc>
          <w:tcPr>
            <w:tcW w:type="dxa" w:w="2200"/>
          </w:tcPr>
          <w:p>
            <w:r>
              <w:rPr>
                <w:sz w:val="20"/>
                <w:szCs w:val="20"/>
              </w:rPr>
              <w:t xml:space="preserve">CUSID</w:t>
            </w:r>
          </w:p>
        </w:tc>
        <w:tc>
          <w:tcPr>
            <w:tcW w:type="dxa" w:w="1400"/>
          </w:tcPr>
          <w:p>
            <w:r>
              <w:rPr>
                <w:sz w:val="20"/>
                <w:szCs w:val="20"/>
              </w:rPr>
              <w:t xml:space="preserve">NUMBER (FK)</w:t>
            </w:r>
          </w:p>
        </w:tc>
        <w:tc>
          <w:tcPr>
            <w:tcW w:type="dxa" w:w="5000"/>
          </w:tcPr>
          <w:p>
            <w:r>
              <w:rPr>
                <w:sz w:val="20"/>
                <w:szCs w:val="20"/>
              </w:rPr>
              <w:t xml:space="preserve">References CUSTOMERS.CUSTOMERID</w:t>
            </w:r>
          </w:p>
        </w:tc>
      </w:tr>
      <w:tr>
        <w:tc>
          <w:tcPr>
            <w:tcW w:type="dxa" w:w="2200"/>
          </w:tcPr>
          <w:p>
            <w:r>
              <w:rPr>
                <w:sz w:val="20"/>
                <w:szCs w:val="20"/>
              </w:rPr>
              <w:t xml:space="preserve">ACCOUNTTYPE</w:t>
            </w:r>
          </w:p>
        </w:tc>
        <w:tc>
          <w:tcPr>
            <w:tcW w:type="dxa" w:w="1400"/>
          </w:tcPr>
          <w:p>
            <w:r>
              <w:rPr>
                <w:sz w:val="20"/>
                <w:szCs w:val="20"/>
              </w:rPr>
              <w:t xml:space="preserve">VARCHAR2</w:t>
            </w:r>
          </w:p>
        </w:tc>
        <w:tc>
          <w:tcPr>
            <w:tcW w:type="dxa" w:w="5000"/>
          </w:tcPr>
          <w:p>
            <w:r>
              <w:rPr>
                <w:sz w:val="20"/>
                <w:szCs w:val="20"/>
              </w:rPr>
              <w:t xml:space="preserve">Savings / Current</w:t>
            </w:r>
          </w:p>
        </w:tc>
      </w:tr>
      <w:tr>
        <w:tc>
          <w:tcPr>
            <w:tcW w:type="dxa" w:w="2200"/>
          </w:tcPr>
          <w:p>
            <w:r>
              <w:rPr>
                <w:sz w:val="20"/>
                <w:szCs w:val="20"/>
              </w:rPr>
              <w:t xml:space="preserve">BALANCE</w:t>
            </w:r>
          </w:p>
        </w:tc>
        <w:tc>
          <w:tcPr>
            <w:tcW w:type="dxa" w:w="1400"/>
          </w:tcPr>
          <w:p>
            <w:r>
              <w:rPr>
                <w:sz w:val="20"/>
                <w:szCs w:val="20"/>
              </w:rPr>
              <w:t xml:space="preserve">NUMBER</w:t>
            </w:r>
          </w:p>
        </w:tc>
        <w:tc>
          <w:tcPr>
            <w:tcW w:type="dxa" w:w="5000"/>
          </w:tcPr>
          <w:p>
            <w:r>
              <w:rPr>
                <w:sz w:val="20"/>
                <w:szCs w:val="20"/>
              </w:rPr>
              <w:t xml:space="preserve">Current account balance</w:t>
            </w:r>
          </w:p>
        </w:tc>
      </w:tr>
      <w:tr>
        <w:tc>
          <w:tcPr>
            <w:tcW w:type="dxa" w:w="2200"/>
          </w:tcPr>
          <w:p>
            <w:r>
              <w:rPr>
                <w:sz w:val="20"/>
                <w:szCs w:val="20"/>
              </w:rPr>
              <w:t xml:space="preserve">STATUS</w:t>
            </w:r>
          </w:p>
        </w:tc>
        <w:tc>
          <w:tcPr>
            <w:tcW w:type="dxa" w:w="1400"/>
          </w:tcPr>
          <w:p>
            <w:r>
              <w:rPr>
                <w:sz w:val="20"/>
                <w:szCs w:val="20"/>
              </w:rPr>
              <w:t xml:space="preserve">VARCHAR2</w:t>
            </w:r>
          </w:p>
        </w:tc>
        <w:tc>
          <w:tcPr>
            <w:tcW w:type="dxa" w:w="5000"/>
          </w:tcPr>
          <w:p>
            <w:r>
              <w:rPr>
                <w:sz w:val="20"/>
                <w:szCs w:val="20"/>
              </w:rPr>
              <w:t xml:space="preserve">Account status</w:t>
            </w:r>
          </w:p>
        </w:tc>
      </w:tr>
    </w:tbl>
    <w:p>
      <w:pPr>
        <w:spacing w:after="200"/>
      </w:pPr>
    </w:p>
    <w:p>
      <w:pPr>
        <w:spacing w:after="160"/>
      </w:pPr>
      <w:r>
        <w:rPr>
          <w:b/>
          <w:bCs/>
        </w:rPr>
        <w:t xml:space="preserve">TRANSACTIONS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000"/>
      </w:tblGrid>
      <w:tr>
        <w:tc>
          <w:tcPr>
            <w:tcW w:type="dxa" w:w="2200"/>
            <w:shd w:fill="B8860B" w:val="clear"/>
          </w:tcPr>
          <w:p>
            <w:r>
              <w:rPr>
                <w:b/>
                <w:bCs/>
                <w:color w:val="FFFFFF"/>
                <w:sz w:val="20"/>
                <w:szCs w:val="20"/>
              </w:rPr>
              <w:t xml:space="preserve">Column</w:t>
            </w:r>
          </w:p>
        </w:tc>
        <w:tc>
          <w:tcPr>
            <w:tcW w:type="dxa" w:w="1400"/>
            <w:shd w:fill="B8860B" w:val="clear"/>
          </w:tcPr>
          <w:p>
            <w:r>
              <w:rPr>
                <w:b/>
                <w:bCs/>
                <w:color w:val="FFFFFF"/>
                <w:sz w:val="20"/>
                <w:szCs w:val="20"/>
              </w:rPr>
              <w:t xml:space="preserve">Type</w:t>
            </w:r>
          </w:p>
        </w:tc>
        <w:tc>
          <w:tcPr>
            <w:tcW w:type="dxa" w:w="5000"/>
            <w:shd w:fill="B8860B" w:val="clear"/>
          </w:tcPr>
          <w:p>
            <w:r>
              <w:rPr>
                <w:b/>
                <w:bCs/>
                <w:color w:val="FFFFFF"/>
                <w:sz w:val="20"/>
                <w:szCs w:val="20"/>
              </w:rPr>
              <w:t xml:space="preserve">Description</w:t>
            </w:r>
          </w:p>
        </w:tc>
      </w:tr>
      <w:tr>
        <w:tc>
          <w:tcPr>
            <w:tcW w:type="dxa" w:w="2200"/>
          </w:tcPr>
          <w:p>
            <w:r>
              <w:rPr>
                <w:sz w:val="20"/>
                <w:szCs w:val="20"/>
              </w:rPr>
              <w:t xml:space="preserve">TRANSACTIONID</w:t>
            </w:r>
          </w:p>
        </w:tc>
        <w:tc>
          <w:tcPr>
            <w:tcW w:type="dxa" w:w="1400"/>
          </w:tcPr>
          <w:p>
            <w:r>
              <w:rPr>
                <w:sz w:val="20"/>
                <w:szCs w:val="20"/>
              </w:rPr>
              <w:t xml:space="preserve">NUMBER (PK)</w:t>
            </w:r>
          </w:p>
        </w:tc>
        <w:tc>
          <w:tcPr>
            <w:tcW w:type="dxa" w:w="5000"/>
          </w:tcPr>
          <w:p>
            <w:r>
              <w:rPr>
                <w:sz w:val="20"/>
                <w:szCs w:val="20"/>
              </w:rPr>
              <w:t xml:space="preserve">Unique transaction identifier</w:t>
            </w:r>
          </w:p>
        </w:tc>
      </w:tr>
      <w:tr>
        <w:tc>
          <w:tcPr>
            <w:tcW w:type="dxa" w:w="2200"/>
          </w:tcPr>
          <w:p>
            <w:r>
              <w:rPr>
                <w:sz w:val="20"/>
                <w:szCs w:val="20"/>
              </w:rPr>
              <w:t xml:space="preserve">ACCOUNTID</w:t>
            </w:r>
          </w:p>
        </w:tc>
        <w:tc>
          <w:tcPr>
            <w:tcW w:type="dxa" w:w="1400"/>
          </w:tcPr>
          <w:p>
            <w:r>
              <w:rPr>
                <w:sz w:val="20"/>
                <w:szCs w:val="20"/>
              </w:rPr>
              <w:t xml:space="preserve">NUMBER (FK)</w:t>
            </w:r>
          </w:p>
        </w:tc>
        <w:tc>
          <w:tcPr>
            <w:tcW w:type="dxa" w:w="5000"/>
          </w:tcPr>
          <w:p>
            <w:r>
              <w:rPr>
                <w:sz w:val="20"/>
                <w:szCs w:val="20"/>
              </w:rPr>
              <w:t xml:space="preserve">References ACCOUNTS</w:t>
            </w:r>
          </w:p>
        </w:tc>
      </w:tr>
      <w:tr>
        <w:tc>
          <w:tcPr>
            <w:tcW w:type="dxa" w:w="2200"/>
          </w:tcPr>
          <w:p>
            <w:r>
              <w:rPr>
                <w:sz w:val="20"/>
                <w:szCs w:val="20"/>
              </w:rPr>
              <w:t xml:space="preserve">AMOUNT</w:t>
            </w:r>
          </w:p>
        </w:tc>
        <w:tc>
          <w:tcPr>
            <w:tcW w:type="dxa" w:w="1400"/>
          </w:tcPr>
          <w:p>
            <w:r>
              <w:rPr>
                <w:sz w:val="20"/>
                <w:szCs w:val="20"/>
              </w:rPr>
              <w:t xml:space="preserve">NUMBER</w:t>
            </w:r>
          </w:p>
        </w:tc>
        <w:tc>
          <w:tcPr>
            <w:tcW w:type="dxa" w:w="5000"/>
          </w:tcPr>
          <w:p>
            <w:r>
              <w:rPr>
                <w:sz w:val="20"/>
                <w:szCs w:val="20"/>
              </w:rPr>
              <w:t xml:space="preserve">Positive = deposit, negative = withdrawal</w:t>
            </w:r>
          </w:p>
        </w:tc>
      </w:tr>
      <w:tr>
        <w:tc>
          <w:tcPr>
            <w:tcW w:type="dxa" w:w="2200"/>
          </w:tcPr>
          <w:p>
            <w:r>
              <w:rPr>
                <w:sz w:val="20"/>
                <w:szCs w:val="20"/>
              </w:rPr>
              <w:t xml:space="preserve">TRANSACTIONTYPE</w:t>
            </w:r>
          </w:p>
        </w:tc>
        <w:tc>
          <w:tcPr>
            <w:tcW w:type="dxa" w:w="1400"/>
          </w:tcPr>
          <w:p>
            <w:r>
              <w:rPr>
                <w:sz w:val="20"/>
                <w:szCs w:val="20"/>
              </w:rPr>
              <w:t xml:space="preserve">VARCHAR2</w:t>
            </w:r>
          </w:p>
        </w:tc>
        <w:tc>
          <w:tcPr>
            <w:tcW w:type="dxa" w:w="5000"/>
          </w:tcPr>
          <w:p>
            <w:r>
              <w:rPr>
                <w:sz w:val="20"/>
                <w:szCs w:val="20"/>
              </w:rPr>
              <w:t xml:space="preserve">DEPOSIT / WITHDRAWAL</w:t>
            </w:r>
          </w:p>
        </w:tc>
      </w:tr>
      <w:tr>
        <w:tc>
          <w:tcPr>
            <w:tcW w:type="dxa" w:w="2200"/>
          </w:tcPr>
          <w:p>
            <w:r>
              <w:rPr>
                <w:sz w:val="20"/>
                <w:szCs w:val="20"/>
              </w:rPr>
              <w:t xml:space="preserve">TXTDATE</w:t>
            </w:r>
          </w:p>
        </w:tc>
        <w:tc>
          <w:tcPr>
            <w:tcW w:type="dxa" w:w="1400"/>
          </w:tcPr>
          <w:p>
            <w:r>
              <w:rPr>
                <w:sz w:val="20"/>
                <w:szCs w:val="20"/>
              </w:rPr>
              <w:t xml:space="preserve">DATE</w:t>
            </w:r>
          </w:p>
        </w:tc>
        <w:tc>
          <w:tcPr>
            <w:tcW w:type="dxa" w:w="5000"/>
          </w:tcPr>
          <w:p>
            <w:r>
              <w:rPr>
                <w:sz w:val="20"/>
                <w:szCs w:val="20"/>
              </w:rPr>
              <w:t xml:space="preserve">Transaction date</w:t>
            </w:r>
          </w:p>
        </w:tc>
      </w:tr>
    </w:tbl>
    <w:p>
      <w:pPr>
        <w:spacing w:after="200"/>
      </w:pPr>
    </w:p>
    <w:p>
      <w:pPr>
        <w:spacing w:after="160"/>
      </w:pPr>
      <w:r>
        <w:rPr>
          <w:b/>
          <w:bCs/>
        </w:rPr>
        <w:t xml:space="preserve">LOANS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000"/>
      </w:tblGrid>
      <w:tr>
        <w:tc>
          <w:tcPr>
            <w:tcW w:type="dxa" w:w="2200"/>
            <w:shd w:fill="8B2E2E" w:val="clear"/>
          </w:tcPr>
          <w:p>
            <w:r>
              <w:rPr>
                <w:b/>
                <w:bCs/>
                <w:color w:val="FFFFFF"/>
                <w:sz w:val="20"/>
                <w:szCs w:val="20"/>
              </w:rPr>
              <w:t xml:space="preserve">Column</w:t>
            </w:r>
          </w:p>
        </w:tc>
        <w:tc>
          <w:tcPr>
            <w:tcW w:type="dxa" w:w="1400"/>
            <w:shd w:fill="8B2E2E" w:val="clear"/>
          </w:tcPr>
          <w:p>
            <w:r>
              <w:rPr>
                <w:b/>
                <w:bCs/>
                <w:color w:val="FFFFFF"/>
                <w:sz w:val="20"/>
                <w:szCs w:val="20"/>
              </w:rPr>
              <w:t xml:space="preserve">Type</w:t>
            </w:r>
          </w:p>
        </w:tc>
        <w:tc>
          <w:tcPr>
            <w:tcW w:type="dxa" w:w="5000"/>
            <w:shd w:fill="8B2E2E" w:val="clear"/>
          </w:tcPr>
          <w:p>
            <w:r>
              <w:rPr>
                <w:b/>
                <w:bCs/>
                <w:color w:val="FFFFFF"/>
                <w:sz w:val="20"/>
                <w:szCs w:val="20"/>
              </w:rPr>
              <w:t xml:space="preserve">Description</w:t>
            </w:r>
          </w:p>
        </w:tc>
      </w:tr>
      <w:tr>
        <w:tc>
          <w:tcPr>
            <w:tcW w:type="dxa" w:w="2200"/>
          </w:tcPr>
          <w:p>
            <w:r>
              <w:rPr>
                <w:sz w:val="20"/>
                <w:szCs w:val="20"/>
              </w:rPr>
              <w:t xml:space="preserve">LOAN_ID</w:t>
            </w:r>
          </w:p>
        </w:tc>
        <w:tc>
          <w:tcPr>
            <w:tcW w:type="dxa" w:w="1400"/>
          </w:tcPr>
          <w:p>
            <w:r>
              <w:rPr>
                <w:sz w:val="20"/>
                <w:szCs w:val="20"/>
              </w:rPr>
              <w:t xml:space="preserve">NUMBER (PK)</w:t>
            </w:r>
          </w:p>
        </w:tc>
        <w:tc>
          <w:tcPr>
            <w:tcW w:type="dxa" w:w="5000"/>
          </w:tcPr>
          <w:p>
            <w:r>
              <w:rPr>
                <w:sz w:val="20"/>
                <w:szCs w:val="20"/>
              </w:rPr>
              <w:t xml:space="preserve">Unique loan identifier</w:t>
            </w:r>
          </w:p>
        </w:tc>
      </w:tr>
      <w:tr>
        <w:tc>
          <w:tcPr>
            <w:tcW w:type="dxa" w:w="2200"/>
          </w:tcPr>
          <w:p>
            <w:r>
              <w:rPr>
                <w:sz w:val="20"/>
                <w:szCs w:val="20"/>
              </w:rPr>
              <w:t xml:space="preserve">CUSTOMER_ID</w:t>
            </w:r>
          </w:p>
        </w:tc>
        <w:tc>
          <w:tcPr>
            <w:tcW w:type="dxa" w:w="1400"/>
          </w:tcPr>
          <w:p>
            <w:r>
              <w:rPr>
                <w:sz w:val="20"/>
                <w:szCs w:val="20"/>
              </w:rPr>
              <w:t xml:space="preserve">NUMBER (FK)</w:t>
            </w:r>
          </w:p>
        </w:tc>
        <w:tc>
          <w:tcPr>
            <w:tcW w:type="dxa" w:w="5000"/>
          </w:tcPr>
          <w:p>
            <w:r>
              <w:rPr>
                <w:sz w:val="20"/>
                <w:szCs w:val="20"/>
              </w:rPr>
              <w:t xml:space="preserve">References CUSTOMERS</w:t>
            </w:r>
          </w:p>
        </w:tc>
      </w:tr>
      <w:tr>
        <w:tc>
          <w:tcPr>
            <w:tcW w:type="dxa" w:w="2200"/>
          </w:tcPr>
          <w:p>
            <w:r>
              <w:rPr>
                <w:sz w:val="20"/>
                <w:szCs w:val="20"/>
              </w:rPr>
              <w:t xml:space="preserve">PRINCIPAL</w:t>
            </w:r>
          </w:p>
        </w:tc>
        <w:tc>
          <w:tcPr>
            <w:tcW w:type="dxa" w:w="1400"/>
          </w:tcPr>
          <w:p>
            <w:r>
              <w:rPr>
                <w:sz w:val="20"/>
                <w:szCs w:val="20"/>
              </w:rPr>
              <w:t xml:space="preserve">NUMBER</w:t>
            </w:r>
          </w:p>
        </w:tc>
        <w:tc>
          <w:tcPr>
            <w:tcW w:type="dxa" w:w="5000"/>
          </w:tcPr>
          <w:p>
            <w:r>
              <w:rPr>
                <w:sz w:val="20"/>
                <w:szCs w:val="20"/>
              </w:rPr>
              <w:t xml:space="preserve">Loan amount</w:t>
            </w:r>
          </w:p>
        </w:tc>
      </w:tr>
      <w:tr>
        <w:tc>
          <w:tcPr>
            <w:tcW w:type="dxa" w:w="2200"/>
          </w:tcPr>
          <w:p>
            <w:r>
              <w:rPr>
                <w:sz w:val="20"/>
                <w:szCs w:val="20"/>
              </w:rPr>
              <w:t xml:space="preserve">INTEREST_RATE</w:t>
            </w:r>
          </w:p>
        </w:tc>
        <w:tc>
          <w:tcPr>
            <w:tcW w:type="dxa" w:w="1400"/>
          </w:tcPr>
          <w:p>
            <w:r>
              <w:rPr>
                <w:sz w:val="20"/>
                <w:szCs w:val="20"/>
              </w:rPr>
              <w:t xml:space="preserve">NUMBER</w:t>
            </w:r>
          </w:p>
        </w:tc>
        <w:tc>
          <w:tcPr>
            <w:tcW w:type="dxa" w:w="5000"/>
          </w:tcPr>
          <w:p>
            <w:r>
              <w:rPr>
                <w:sz w:val="20"/>
                <w:szCs w:val="20"/>
              </w:rPr>
              <w:t xml:space="preserve">Annual interest rate (%)</w:t>
            </w:r>
          </w:p>
        </w:tc>
      </w:tr>
      <w:tr>
        <w:tc>
          <w:tcPr>
            <w:tcW w:type="dxa" w:w="2200"/>
          </w:tcPr>
          <w:p>
            <w:r>
              <w:rPr>
                <w:sz w:val="20"/>
                <w:szCs w:val="20"/>
              </w:rPr>
              <w:t xml:space="preserve">TERM_MONTHS</w:t>
            </w:r>
          </w:p>
        </w:tc>
        <w:tc>
          <w:tcPr>
            <w:tcW w:type="dxa" w:w="1400"/>
          </w:tcPr>
          <w:p>
            <w:r>
              <w:rPr>
                <w:sz w:val="20"/>
                <w:szCs w:val="20"/>
              </w:rPr>
              <w:t xml:space="preserve">NUMBER</w:t>
            </w:r>
          </w:p>
        </w:tc>
        <w:tc>
          <w:tcPr>
            <w:tcW w:type="dxa" w:w="5000"/>
          </w:tcPr>
          <w:p>
            <w:r>
              <w:rPr>
                <w:sz w:val="20"/>
                <w:szCs w:val="20"/>
              </w:rPr>
              <w:t xml:space="preserve">Loan duration in months</w:t>
            </w:r>
          </w:p>
        </w:tc>
      </w:tr>
      <w:tr>
        <w:tc>
          <w:tcPr>
            <w:tcW w:type="dxa" w:w="2200"/>
          </w:tcPr>
          <w:p>
            <w:r>
              <w:rPr>
                <w:sz w:val="20"/>
                <w:szCs w:val="20"/>
              </w:rPr>
              <w:t xml:space="preserve">EMI_AMOUNT</w:t>
            </w:r>
          </w:p>
        </w:tc>
        <w:tc>
          <w:tcPr>
            <w:tcW w:type="dxa" w:w="1400"/>
          </w:tcPr>
          <w:p>
            <w:r>
              <w:rPr>
                <w:sz w:val="20"/>
                <w:szCs w:val="20"/>
              </w:rPr>
              <w:t xml:space="preserve">NUMBER</w:t>
            </w:r>
          </w:p>
        </w:tc>
        <w:tc>
          <w:tcPr>
            <w:tcW w:type="dxa" w:w="5000"/>
          </w:tcPr>
          <w:p>
            <w:r>
              <w:rPr>
                <w:sz w:val="20"/>
                <w:szCs w:val="20"/>
              </w:rPr>
              <w:t xml:space="preserve">Monthly installment</w:t>
            </w:r>
          </w:p>
        </w:tc>
      </w:tr>
      <w:tr>
        <w:tc>
          <w:tcPr>
            <w:tcW w:type="dxa" w:w="2200"/>
          </w:tcPr>
          <w:p>
            <w:r>
              <w:rPr>
                <w:sz w:val="20"/>
                <w:szCs w:val="20"/>
              </w:rPr>
              <w:t xml:space="preserve">LOAN_STATUS</w:t>
            </w:r>
          </w:p>
        </w:tc>
        <w:tc>
          <w:tcPr>
            <w:tcW w:type="dxa" w:w="1400"/>
          </w:tcPr>
          <w:p>
            <w:r>
              <w:rPr>
                <w:sz w:val="20"/>
                <w:szCs w:val="20"/>
              </w:rPr>
              <w:t xml:space="preserve">VARCHAR2</w:t>
            </w:r>
          </w:p>
        </w:tc>
        <w:tc>
          <w:tcPr>
            <w:tcW w:type="dxa" w:w="5000"/>
          </w:tcPr>
          <w:p>
            <w:r>
              <w:rPr>
                <w:sz w:val="20"/>
                <w:szCs w:val="20"/>
              </w:rPr>
              <w:t xml:space="preserve">ACTIVE or CLOSED — the prediction target</w:t>
            </w:r>
          </w:p>
        </w:tc>
      </w:tr>
    </w:tbl>
    <w:p>
      <w:r>
        <w:br w:type="page"/>
      </w:r>
    </w:p>
    <w:p>
      <w:pPr>
        <w:pStyle w:val="Heading1"/>
        <w:spacing w:after="150" w:before="300"/>
      </w:pPr>
      <w:r>
        <w:t xml:space="preserve">3. Methodology</w:t>
      </w:r>
    </w:p>
    <w:p>
      <w:pPr>
        <w:pStyle w:val="Heading2"/>
        <w:spacing w:after="120" w:before="240"/>
      </w:pPr>
      <w:r>
        <w:t xml:space="preserve">3.1 Feature Engineering via SQL</w:t>
      </w:r>
    </w:p>
    <w:p>
      <w:pPr>
        <w:spacing w:after="160"/>
      </w:pPr>
      <w:r>
        <w:t xml:space="preserve">All four tables were joined using SQL to build a single feature table, one row per loan. Customer demographics (age, tenure) were derived from date fields, account balance was pulled from the ACCOUNTS table, and transaction activity (count and average amount) was aggregated per account. Two engineered ratios were added: EMI-to-Principal ratio and EMI-to-Balance ratio, capturing loan affordability relative to the loan size and the customer's financial standing respectively.</w:t>
      </w:r>
    </w:p>
    <w:p>
      <w:pPr>
        <w:spacing w:after="160"/>
      </w:pPr>
      <w:r>
        <w:rPr>
          <w:b/>
          <w:bCs/>
        </w:rPr>
        <w:t xml:space="preserve">Core SQL join query:</w:t>
      </w:r>
    </w:p>
    <w:p>
      <w:pPr>
        <w:shd w:fill="F2F2F2" w:val="clear"/>
        <w:spacing w:after="240"/>
      </w:pPr>
      <w:r>
        <w:rPr>
          <w:rFonts w:ascii="Courier New" w:cs="Courier New" w:eastAsia="Courier New" w:hAnsi="Courier New"/>
          <w:sz w:val="18"/>
          <w:szCs w:val="18"/>
        </w:rPr>
        <w:t xml:space="preserve">SELECT l.LOAN_ID, l.CUSTOMER_ID, l.PRINCIPAL, l.INTEREST_RATE, l.TERM_MONTHS,
       l.EMI_AMOUNT, (l.EMI_AMOUNT / l.PRINCIPAL) AS emi_to_principal_ratio,
       c.GENDER, MONTHS_BETWEEN(SYSDATE, c.DATEOFBIRTH)/12 AS age,
       MONTHS_BETWEEN(SYSDATE, c.CREATEDDATE) AS tenure_months,
       a.BALANCE, (l.EMI_AMOUNT / a.BALANCE) AS emi_to_balance_ratio,
       NVL(t.txn_count, 0) AS txn_count, NVL(t.avg_txn_amount, 0) AS avg_txn_amount,
       l.LOAN_STATUS
FROM loans l
JOIN customers c ON l.CUSTOMER_ID = c.CUSTOMERID
JOIN accounts a ON a.CUSID = c.CUSTOMERID
LEFT JOIN (
    SELECT ACCOUNTID, COUNT(*) AS txn_count, AVG(ABS(AMOUNT)) AS avg_txn_amount
    FROM transactions GROUP BY ACCOUNTID
) t ON t.ACCOUNTID = a.CUSID;</w:t>
      </w:r>
    </w:p>
    <w:p>
      <w:pPr>
        <w:pStyle w:val="Heading2"/>
        <w:spacing w:after="120" w:before="240"/>
      </w:pPr>
      <w:r>
        <w:t xml:space="preserve">3.2 Dataset Summary</w:t>
      </w:r>
    </w:p>
    <w:p>
      <w:pPr>
        <w:spacing w:after="160"/>
      </w:pPr>
      <w:r>
        <w:t xml:space="preserve">The resulting feature table contained 200 records (one per loan) with the following class distribution:</w:t>
      </w:r>
    </w:p>
    <w:p>
      <w:pPr>
        <w:pStyle w:val="ListParagraph"/>
        <w:numPr>
          <w:ilvl w:val="0"/>
          <w:numId w:val="1"/>
        </w:numPr>
        <w:spacing w:after="80"/>
      </w:pPr>
      <w:r>
        <w:t xml:space="preserve">ACTIVE: 110 loans (55%)</w:t>
      </w:r>
    </w:p>
    <w:p>
      <w:pPr>
        <w:pStyle w:val="ListParagraph"/>
        <w:numPr>
          <w:ilvl w:val="0"/>
          <w:numId w:val="1"/>
        </w:numPr>
        <w:spacing w:after="80"/>
      </w:pPr>
      <w:r>
        <w:t xml:space="preserve">CLOSED: 90 loans (45%)</w:t>
      </w:r>
    </w:p>
    <w:p>
      <w:pPr>
        <w:spacing w:after="160"/>
      </w:pPr>
      <w:r>
        <w:t xml:space="preserve">Features used for modeling: Principal, Interest Rate, Term (months), EMI Amount, EMI-to-Principal Ratio, EMI-to-Balance Ratio, Gender, Age, Account Tenure, Balance, Transaction Count, and Average Transaction Amount.</w:t>
      </w:r>
    </w:p>
    <w:p>
      <w:pPr>
        <w:pStyle w:val="Heading2"/>
        <w:spacing w:after="120" w:before="240"/>
      </w:pPr>
      <w:r>
        <w:t xml:space="preserve">3.3 Model Training</w:t>
      </w:r>
    </w:p>
    <w:p>
      <w:pPr>
        <w:spacing w:after="160"/>
      </w:pPr>
      <w:r>
        <w:t xml:space="preserve">The data was split into 80% training and 20% testing sets (stratified by target class). Two classification models were trained and compared:</w:t>
      </w:r>
    </w:p>
    <w:p>
      <w:pPr>
        <w:pStyle w:val="ListParagraph"/>
        <w:numPr>
          <w:ilvl w:val="0"/>
          <w:numId w:val="1"/>
        </w:numPr>
        <w:spacing w:after="80"/>
      </w:pPr>
      <w:r>
        <w:t xml:space="preserve">Logistic Regression — a linear baseline model, trained on standardized features with balanced class weights</w:t>
      </w:r>
    </w:p>
    <w:p>
      <w:pPr>
        <w:pStyle w:val="ListParagraph"/>
        <w:numPr>
          <w:ilvl w:val="0"/>
          <w:numId w:val="1"/>
        </w:numPr>
        <w:spacing w:after="80"/>
      </w:pPr>
      <w:r>
        <w:t xml:space="preserve">Random Forest — an ensemble tree-based model (300 trees, max depth 6), also with balanced class weights</w:t>
      </w:r>
    </w:p>
    <w:p>
      <w:r>
        <w:br w:type="page"/>
      </w:r>
    </w:p>
    <w:p>
      <w:pPr>
        <w:pStyle w:val="Heading1"/>
        <w:spacing w:after="150" w:before="300"/>
      </w:pPr>
      <w:r>
        <w:t xml:space="preserve">4. Results</w:t>
      </w:r>
    </w:p>
    <w:p>
      <w:pPr>
        <w:pStyle w:val="Heading2"/>
        <w:spacing w:after="120" w:before="240"/>
      </w:pPr>
      <w:r>
        <w:t xml:space="preserve">4.1 Model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E5090" w:val="clear"/>
          </w:tcPr>
          <w:p>
            <w:r>
              <w:rPr>
                <w:b/>
                <w:bCs/>
                <w:color w:val="FFFFFF"/>
              </w:rPr>
              <w:t xml:space="preserve">Metric</w:t>
            </w:r>
          </w:p>
        </w:tc>
        <w:tc>
          <w:tcPr>
            <w:tcW w:type="dxa" w:w="3120"/>
            <w:shd w:fill="2E5090" w:val="clear"/>
          </w:tcPr>
          <w:p>
            <w:r>
              <w:rPr>
                <w:b/>
                <w:bCs/>
                <w:color w:val="FFFFFF"/>
              </w:rPr>
              <w:t xml:space="preserve">Logistic Regression</w:t>
            </w:r>
          </w:p>
        </w:tc>
        <w:tc>
          <w:tcPr>
            <w:tcW w:type="dxa" w:w="3120"/>
            <w:shd w:fill="2E5090" w:val="clear"/>
          </w:tcPr>
          <w:p>
            <w:r>
              <w:rPr>
                <w:b/>
                <w:bCs/>
                <w:color w:val="FFFFFF"/>
              </w:rPr>
              <w:t xml:space="preserve">Random Forest</w:t>
            </w:r>
          </w:p>
        </w:tc>
      </w:tr>
      <w:tr>
        <w:tc>
          <w:tcPr>
            <w:tcW w:type="dxa" w:w="3120"/>
          </w:tcPr>
          <w:p>
            <w:pPr>
              <w:jc w:val="left"/>
            </w:pPr>
            <w:r>
              <w:t xml:space="preserve">Accuracy</w:t>
            </w:r>
          </w:p>
        </w:tc>
        <w:tc>
          <w:tcPr>
            <w:tcW w:type="dxa" w:w="3120"/>
          </w:tcPr>
          <w:p>
            <w:pPr>
              <w:jc w:val="center"/>
            </w:pPr>
            <w:r>
              <w:t xml:space="preserve">0.725</w:t>
            </w:r>
          </w:p>
        </w:tc>
        <w:tc>
          <w:tcPr>
            <w:tcW w:type="dxa" w:w="3120"/>
          </w:tcPr>
          <w:p>
            <w:pPr>
              <w:jc w:val="center"/>
            </w:pPr>
            <w:r>
              <w:t xml:space="preserve">0.550</w:t>
            </w:r>
          </w:p>
        </w:tc>
      </w:tr>
      <w:tr>
        <w:tc>
          <w:tcPr>
            <w:tcW w:type="dxa" w:w="3120"/>
          </w:tcPr>
          <w:p>
            <w:pPr>
              <w:jc w:val="left"/>
            </w:pPr>
            <w:r>
              <w:t xml:space="preserve">Precision</w:t>
            </w:r>
          </w:p>
        </w:tc>
        <w:tc>
          <w:tcPr>
            <w:tcW w:type="dxa" w:w="3120"/>
          </w:tcPr>
          <w:p>
            <w:pPr>
              <w:jc w:val="center"/>
            </w:pPr>
            <w:r>
              <w:t xml:space="preserve">0.706</w:t>
            </w:r>
          </w:p>
        </w:tc>
        <w:tc>
          <w:tcPr>
            <w:tcW w:type="dxa" w:w="3120"/>
          </w:tcPr>
          <w:p>
            <w:pPr>
              <w:jc w:val="center"/>
            </w:pPr>
            <w:r>
              <w:t xml:space="preserve">0.500</w:t>
            </w:r>
          </w:p>
        </w:tc>
      </w:tr>
      <w:tr>
        <w:tc>
          <w:tcPr>
            <w:tcW w:type="dxa" w:w="3120"/>
          </w:tcPr>
          <w:p>
            <w:pPr>
              <w:jc w:val="left"/>
            </w:pPr>
            <w:r>
              <w:t xml:space="preserve">Recall</w:t>
            </w:r>
          </w:p>
        </w:tc>
        <w:tc>
          <w:tcPr>
            <w:tcW w:type="dxa" w:w="3120"/>
          </w:tcPr>
          <w:p>
            <w:pPr>
              <w:jc w:val="center"/>
            </w:pPr>
            <w:r>
              <w:t xml:space="preserve">0.667</w:t>
            </w:r>
          </w:p>
        </w:tc>
        <w:tc>
          <w:tcPr>
            <w:tcW w:type="dxa" w:w="3120"/>
          </w:tcPr>
          <w:p>
            <w:pPr>
              <w:jc w:val="center"/>
            </w:pPr>
            <w:r>
              <w:t xml:space="preserve">0.444</w:t>
            </w:r>
          </w:p>
        </w:tc>
      </w:tr>
      <w:tr>
        <w:tc>
          <w:tcPr>
            <w:tcW w:type="dxa" w:w="3120"/>
          </w:tcPr>
          <w:p>
            <w:pPr>
              <w:jc w:val="left"/>
            </w:pPr>
            <w:r>
              <w:t xml:space="preserve">F1 Score</w:t>
            </w:r>
          </w:p>
        </w:tc>
        <w:tc>
          <w:tcPr>
            <w:tcW w:type="dxa" w:w="3120"/>
          </w:tcPr>
          <w:p>
            <w:pPr>
              <w:jc w:val="center"/>
            </w:pPr>
            <w:r>
              <w:t xml:space="preserve">0.686</w:t>
            </w:r>
          </w:p>
        </w:tc>
        <w:tc>
          <w:tcPr>
            <w:tcW w:type="dxa" w:w="3120"/>
          </w:tcPr>
          <w:p>
            <w:pPr>
              <w:jc w:val="center"/>
            </w:pPr>
            <w:r>
              <w:t xml:space="preserve">0.471</w:t>
            </w:r>
          </w:p>
        </w:tc>
      </w:tr>
      <w:tr>
        <w:tc>
          <w:tcPr>
            <w:tcW w:type="dxa" w:w="3120"/>
          </w:tcPr>
          <w:p>
            <w:pPr>
              <w:jc w:val="left"/>
            </w:pPr>
            <w:r>
              <w:t xml:space="preserve">ROC-AUC</w:t>
            </w:r>
          </w:p>
        </w:tc>
        <w:tc>
          <w:tcPr>
            <w:tcW w:type="dxa" w:w="3120"/>
          </w:tcPr>
          <w:p>
            <w:pPr>
              <w:jc w:val="center"/>
            </w:pPr>
            <w:r>
              <w:t xml:space="preserve">0.740</w:t>
            </w:r>
          </w:p>
        </w:tc>
        <w:tc>
          <w:tcPr>
            <w:tcW w:type="dxa" w:w="3120"/>
          </w:tcPr>
          <w:p>
            <w:pPr>
              <w:jc w:val="center"/>
            </w:pPr>
            <w:r>
              <w:t xml:space="preserve">0.672</w:t>
            </w:r>
          </w:p>
        </w:tc>
      </w:tr>
    </w:tbl>
    <w:p>
      <w:pPr>
        <w:spacing w:after="240"/>
      </w:pPr>
    </w:p>
    <w:p>
      <w:pPr>
        <w:spacing w:after="160"/>
      </w:pPr>
      <w:r>
        <w:t xml:space="preserve">Logistic Regression outperformed Random Forest across every metric, achieving 72.5% accuracy and a ROC-AUC of 0.74 (compared to 55% accuracy and 0.67 ROC-AUC for Random Forest). This suggests the relationship between loan features and closure status is relatively simple and close to linear, which the Random Forest's added complexity does not help with — a common pattern on small datasets (200 rows), where simpler models often generalize better than complex ensemble methods.</w:t>
      </w:r>
    </w:p>
    <w:p>
      <w:pPr>
        <w:pStyle w:val="Heading2"/>
        <w:spacing w:after="120" w:before="240"/>
      </w:pPr>
      <w:r>
        <w:t xml:space="preserve">4.2 Confusion Matrix (Random Forest)</w:t>
      </w:r>
    </w:p>
    <w:p>
      <w:pPr>
        <w:spacing w:after="80"/>
        <w:jc w:val="center"/>
      </w:pPr>
      <w:r>
        <w:drawing>
          <wp:inline distT="0" distB="0" distL="0" distR="0">
            <wp:extent cx="214312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43125" cy="1790700"/>
                    </a:xfrm>
                    <a:prstGeom prst="rect">
                      <a:avLst/>
                    </a:prstGeom>
                  </pic:spPr>
                </pic:pic>
              </a:graphicData>
            </a:graphic>
          </wp:inline>
        </w:drawing>
      </w:r>
    </w:p>
    <w:p>
      <w:pPr>
        <w:spacing w:after="240"/>
        <w:jc w:val="center"/>
      </w:pPr>
      <w:r>
        <w:rPr>
          <w:i/>
          <w:iCs/>
          <w:color w:val="555555"/>
          <w:sz w:val="20"/>
          <w:szCs w:val="20"/>
        </w:rPr>
        <w:t xml:space="preserve">Figure 2: Confusion matrix showing actual vs predicted loan status on the test set</w:t>
      </w:r>
    </w:p>
    <w:p>
      <w:pPr>
        <w:pStyle w:val="Heading2"/>
        <w:spacing w:after="120" w:before="240"/>
      </w:pPr>
      <w:r>
        <w:t xml:space="preserve">4.3 ROC Curve</w:t>
      </w:r>
    </w:p>
    <w:p>
      <w:pPr>
        <w:spacing w:after="80"/>
        <w:jc w:val="center"/>
      </w:pPr>
      <w:r>
        <w:drawing>
          <wp:inline distT="0" distB="0" distL="0" distR="0">
            <wp:extent cx="214312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43125" cy="1790700"/>
                    </a:xfrm>
                    <a:prstGeom prst="rect">
                      <a:avLst/>
                    </a:prstGeom>
                  </pic:spPr>
                </pic:pic>
              </a:graphicData>
            </a:graphic>
          </wp:inline>
        </w:drawing>
      </w:r>
    </w:p>
    <w:p>
      <w:pPr>
        <w:spacing w:after="240"/>
        <w:jc w:val="center"/>
      </w:pPr>
      <w:r>
        <w:rPr>
          <w:i/>
          <w:iCs/>
          <w:color w:val="555555"/>
          <w:sz w:val="20"/>
          <w:szCs w:val="20"/>
        </w:rPr>
        <w:t xml:space="preserve">Figure 3: ROC curves comparing Logistic Regression and Random Forest</w:t>
      </w:r>
    </w:p>
    <w:p>
      <w:pPr>
        <w:pStyle w:val="Heading2"/>
        <w:spacing w:after="120" w:before="240"/>
      </w:pPr>
      <w:r>
        <w:t xml:space="preserve">4.4 Feature Importance</w:t>
      </w:r>
    </w:p>
    <w:p>
      <w:pPr>
        <w:spacing w:after="80"/>
        <w:jc w:val="center"/>
      </w:pPr>
      <w:r>
        <w:drawing>
          <wp:inline distT="0" distB="0" distL="0" distR="0">
            <wp:extent cx="2619375"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19375" cy="1866900"/>
                    </a:xfrm>
                    <a:prstGeom prst="rect">
                      <a:avLst/>
                    </a:prstGeom>
                  </pic:spPr>
                </pic:pic>
              </a:graphicData>
            </a:graphic>
          </wp:inline>
        </w:drawing>
      </w:r>
    </w:p>
    <w:p>
      <w:pPr>
        <w:spacing w:after="240"/>
        <w:jc w:val="center"/>
      </w:pPr>
      <w:r>
        <w:rPr>
          <w:i/>
          <w:iCs/>
          <w:color w:val="555555"/>
          <w:sz w:val="20"/>
          <w:szCs w:val="20"/>
        </w:rPr>
        <w:t xml:space="preserve">Figure 4: Relative importance of each feature (Random Forest)</w:t>
      </w:r>
    </w:p>
    <w:p>
      <w:pPr>
        <w:spacing w:after="160"/>
      </w:pPr>
      <w:r>
        <w:t xml:space="preserve">The EMI-to-Principal ratio emerged as the strongest predictor of loan status, followed by EMI Amount, Term Length, and EMI-to-Balance ratio. This aligns with financial intuition: loans with manageable installment burdens relative to their size and the customer's balance are more likely to be paid off (closed) rather than remain active.</w:t>
      </w:r>
    </w:p>
    <w:p>
      <w:pPr>
        <w:pStyle w:val="Heading1"/>
        <w:spacing w:after="150" w:before="300"/>
      </w:pPr>
      <w:r>
        <w:t xml:space="preserve">5. Business Insights</w:t>
      </w:r>
    </w:p>
    <w:p>
      <w:pPr>
        <w:pStyle w:val="ListParagraph"/>
        <w:numPr>
          <w:ilvl w:val="0"/>
          <w:numId w:val="1"/>
        </w:numPr>
        <w:spacing w:after="80"/>
      </w:pPr>
      <w:r>
        <w:t xml:space="preserve">Loans with a lower EMI-to-Principal ratio are more likely to close, suggesting affordability is the single biggest driver of repayment behavior.</w:t>
      </w:r>
    </w:p>
    <w:p>
      <w:pPr>
        <w:pStyle w:val="ListParagraph"/>
        <w:numPr>
          <w:ilvl w:val="0"/>
          <w:numId w:val="1"/>
        </w:numPr>
        <w:spacing w:after="80"/>
      </w:pPr>
      <w:r>
        <w:t xml:space="preserve">Customers with higher account balances tend to close loans sooner, likely due to greater capacity for early repayment.</w:t>
      </w:r>
    </w:p>
    <w:p>
      <w:pPr>
        <w:pStyle w:val="ListParagraph"/>
        <w:numPr>
          <w:ilvl w:val="0"/>
          <w:numId w:val="1"/>
        </w:numPr>
        <w:spacing w:after="80"/>
      </w:pPr>
      <w:r>
        <w:t xml:space="preserve">Loan term length has a measurable effect — shorter-term loans naturally mature and close faster than longer-term ones.</w:t>
      </w:r>
    </w:p>
    <w:p>
      <w:pPr>
        <w:pStyle w:val="ListParagraph"/>
        <w:numPr>
          <w:ilvl w:val="0"/>
          <w:numId w:val="1"/>
        </w:numPr>
        <w:spacing w:after="80"/>
      </w:pPr>
      <w:r>
        <w:t xml:space="preserve">Transaction activity (frequency and average amount) contributes modestly to predicting loan status, indicating that overall financial engagement is a secondary but relevant signal.</w:t>
      </w:r>
    </w:p>
    <w:p>
      <w:pPr>
        <w:pStyle w:val="Heading1"/>
        <w:spacing w:after="150" w:before="300"/>
      </w:pPr>
      <w:r>
        <w:t xml:space="preserve">6. Conclusion &amp; Future Scope</w:t>
      </w:r>
    </w:p>
    <w:p>
      <w:pPr>
        <w:spacing w:after="160"/>
      </w:pPr>
      <w:r>
        <w:t xml:space="preserve">This project demonstrates a complete pipeline from a normalized relational database to a working machine learning classifier. Despite the modest dataset size (200 records), the model achieved a meaningful ROC-AUC of 0.74, well above random chance (0.5), with clear, interpretable feature importance results.</w:t>
      </w:r>
    </w:p>
    <w:p>
      <w:pPr>
        <w:spacing w:after="160"/>
      </w:pPr>
      <w:r>
        <w:rPr>
          <w:b/>
          <w:bCs/>
        </w:rPr>
        <w:t xml:space="preserve">Future improvements could include:</w:t>
      </w:r>
    </w:p>
    <w:p>
      <w:pPr>
        <w:pStyle w:val="ListParagraph"/>
        <w:numPr>
          <w:ilvl w:val="0"/>
          <w:numId w:val="1"/>
        </w:numPr>
        <w:spacing w:after="80"/>
      </w:pPr>
      <w:r>
        <w:t xml:space="preserve">Incorporating a payment/EMI-history table to track missed or late payments directly, rather than inferring risk from static features</w:t>
      </w:r>
    </w:p>
    <w:p>
      <w:pPr>
        <w:pStyle w:val="ListParagraph"/>
        <w:numPr>
          <w:ilvl w:val="0"/>
          <w:numId w:val="1"/>
        </w:numPr>
        <w:spacing w:after="80"/>
      </w:pPr>
      <w:r>
        <w:t xml:space="preserve">Expanding the dataset size for more robust model training and hyperparameter tuning</w:t>
      </w:r>
    </w:p>
    <w:p>
      <w:pPr>
        <w:pStyle w:val="ListParagraph"/>
        <w:numPr>
          <w:ilvl w:val="0"/>
          <w:numId w:val="1"/>
        </w:numPr>
        <w:spacing w:after="80"/>
      </w:pPr>
      <w:r>
        <w:t xml:space="preserve">Testing additional models such as Gradient Boosting (XGBoost) or a properly tuned Random Forest with cross-validation</w:t>
      </w:r>
    </w:p>
    <w:p>
      <w:pPr>
        <w:pStyle w:val="ListParagraph"/>
        <w:numPr>
          <w:ilvl w:val="0"/>
          <w:numId w:val="1"/>
        </w:numPr>
        <w:spacing w:after="80"/>
      </w:pPr>
      <w:r>
        <w:t xml:space="preserve">Building a live dashboard connecting directly to the Oracle database for real-time risk scoring</w:t>
      </w:r>
    </w:p>
    <w:p>
      <w:r>
        <w:br w:type="page"/>
      </w:r>
    </w:p>
    <w:p>
      <w:pPr>
        <w:pStyle w:val="Heading1"/>
        <w:spacing w:after="150" w:before="300"/>
      </w:pPr>
      <w:r>
        <w:t xml:space="preserve">Appendix A: Additional SQL Insight Queries</w:t>
      </w:r>
    </w:p>
    <w:p>
      <w:pPr>
        <w:spacing w:after="160"/>
      </w:pPr>
      <w:r>
        <w:t xml:space="preserve">Beyond the core feature-extraction query, the following queries were used to explore the dataset:</w:t>
      </w:r>
    </w:p>
    <w:p>
      <w:pPr>
        <w:pStyle w:val="ListParagraph"/>
        <w:numPr>
          <w:ilvl w:val="0"/>
          <w:numId w:val="1"/>
        </w:numPr>
        <w:spacing w:after="80"/>
      </w:pPr>
      <w:r>
        <w:t xml:space="preserve">Loan status distribution overall and by branch</w:t>
      </w:r>
    </w:p>
    <w:p>
      <w:pPr>
        <w:pStyle w:val="ListParagraph"/>
        <w:numPr>
          <w:ilvl w:val="0"/>
          <w:numId w:val="1"/>
        </w:numPr>
        <w:spacing w:after="80"/>
      </w:pPr>
      <w:r>
        <w:t xml:space="preserve">High EMI-burden customers (EMI &gt; 15% of balance) — a risk watchlist</w:t>
      </w:r>
    </w:p>
    <w:p>
      <w:pPr>
        <w:pStyle w:val="ListParagraph"/>
        <w:numPr>
          <w:ilvl w:val="0"/>
          <w:numId w:val="1"/>
        </w:numPr>
        <w:spacing w:after="80"/>
      </w:pPr>
      <w:r>
        <w:t xml:space="preserve">Top 10 most financially active customers by transaction count</w:t>
      </w:r>
    </w:p>
    <w:p>
      <w:pPr>
        <w:pStyle w:val="ListParagraph"/>
        <w:numPr>
          <w:ilvl w:val="0"/>
          <w:numId w:val="1"/>
        </w:numPr>
        <w:spacing w:after="80"/>
      </w:pPr>
      <w:r>
        <w:t xml:space="preserve">Loan closure rate by term length</w:t>
      </w:r>
    </w:p>
    <w:p>
      <w:pPr>
        <w:pStyle w:val="ListParagraph"/>
        <w:numPr>
          <w:ilvl w:val="0"/>
          <w:numId w:val="1"/>
        </w:numPr>
        <w:spacing w:after="80"/>
      </w:pPr>
      <w:r>
        <w:t xml:space="preserve">Average customer age, tenure, and balance grouped by loan status</w:t>
      </w:r>
    </w:p>
    <w:p>
      <w:pPr>
        <w:pStyle w:val="ListParagraph"/>
        <w:numPr>
          <w:ilvl w:val="0"/>
          <w:numId w:val="1"/>
        </w:numPr>
        <w:spacing w:after="80"/>
      </w:pPr>
      <w:r>
        <w:t xml:space="preserve">Gender-wise and state-wise loan status breakdowns</w:t>
      </w:r>
    </w:p>
    <w:p>
      <w:pPr>
        <w:pStyle w:val="ListParagraph"/>
        <w:numPr>
          <w:ilvl w:val="0"/>
          <w:numId w:val="1"/>
        </w:numPr>
        <w:spacing w:after="80"/>
      </w:pPr>
      <w:r>
        <w:t xml:space="preserve">Dormant/low-activity account detection (fewer than 3 transactions)</w:t>
      </w:r>
    </w:p>
    <w:p>
      <w:pPr>
        <w:spacing w:after="160"/>
      </w:pPr>
      <w:r>
        <w:rPr>
          <w:i/>
          <w:iCs/>
        </w:rPr>
        <w:t xml:space="preserve">(Full query text provided in the accompanying sql_insight_queries.sql file.)</w:t>
      </w:r>
    </w:p>
    <w:p>
      <w:pPr>
        <w:pStyle w:val="Heading1"/>
        <w:spacing w:after="150" w:before="300"/>
      </w:pPr>
      <w:r>
        <w:t xml:space="preserve">Appendix B: Tools &amp; Technologies Used</w:t>
      </w:r>
    </w:p>
    <w:p>
      <w:pPr>
        <w:pStyle w:val="ListParagraph"/>
        <w:numPr>
          <w:ilvl w:val="0"/>
          <w:numId w:val="1"/>
        </w:numPr>
        <w:spacing w:after="80"/>
      </w:pPr>
      <w:r>
        <w:t xml:space="preserve">Database: Oracle SQL Developer</w:t>
      </w:r>
    </w:p>
    <w:p>
      <w:pPr>
        <w:pStyle w:val="ListParagraph"/>
        <w:numPr>
          <w:ilvl w:val="0"/>
          <w:numId w:val="1"/>
        </w:numPr>
        <w:spacing w:after="80"/>
      </w:pPr>
      <w:r>
        <w:t xml:space="preserve">Language: Python 3</w:t>
      </w:r>
    </w:p>
    <w:p>
      <w:pPr>
        <w:pStyle w:val="ListParagraph"/>
        <w:numPr>
          <w:ilvl w:val="0"/>
          <w:numId w:val="1"/>
        </w:numPr>
        <w:spacing w:after="80"/>
      </w:pPr>
      <w:r>
        <w:t xml:space="preserve">Libraries: pandas, numpy, scikit-learn, matplotlib, seaborn</w:t>
      </w:r>
    </w:p>
    <w:p>
      <w:pPr>
        <w:pStyle w:val="ListParagraph"/>
        <w:numPr>
          <w:ilvl w:val="0"/>
          <w:numId w:val="1"/>
        </w:numPr>
        <w:spacing w:after="80"/>
      </w:pPr>
      <w:r>
        <w:t xml:space="preserve">IDE: PyCharm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Bank Loan Status Prediction —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33b8176b2190887ed12f683238eb0da4bad685.png"/><Relationship Id="rId10" Type="http://schemas.openxmlformats.org/officeDocument/2006/relationships/image" Target="media/17afc9dc0878ff03257035bc3b8d4bb72620e3fa.png"/><Relationship Id="rId11" Type="http://schemas.openxmlformats.org/officeDocument/2006/relationships/image" Target="media/e637f7a0b36ee0a7e30dd346ea297a947be806e8.png"/><Relationship Id="rId12" Type="http://schemas.openxmlformats.org/officeDocument/2006/relationships/image" Target="media/e4171c73bedbee7fab43a516da3ae837c58eb42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2026-09-17T07:27:22.607Z</dcterms:created>
  <dcterms:modified xsi:type="dcterms:W3CDTF">2026-09-17T07:27:22.615Z</dcterms:modified>
</cp:coreProperties>
</file>

<file path=docProps/custom.xml><?xml version="1.0" encoding="utf-8"?>
<Properties xmlns="http://schemas.openxmlformats.org/officeDocument/2006/custom-properties" xmlns:vt="http://schemas.openxmlformats.org/officeDocument/2006/docPropsVTypes"/>
</file>