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Charles River Holdings LLC ("Landlord") and the student named below ("Tenant") for the apartment at 64 Strathmore Rd, Unit 3,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$2,950 per month, due on the first day of each month.</w:t>
      </w:r>
    </w:p>
    <w:p>
      <w:r>
        <w:t>3. PAYMENTS AT SIGNING. At signing Tenant shall pay first month's rent of $2,950, last month's rent of $2,950, and a security deposit of $2,950.</w:t>
      </w:r>
    </w:p>
    <w:p>
      <w:r>
        <w:t>4. STATEMENT OF CONDITION. Landlord will give Tenant a written statement of the apartment's condition within ten days after the tenancy begins.</w:t>
      </w:r>
    </w:p>
    <w:p>
      <w:r>
        <w:t>5. LAUNDRY. Coin-operated washers and dryers are available in the basement for the use of all tenants.</w:t>
      </w:r>
    </w:p>
    <w:p>
      <w:r>
        <w:t>6. ACCESS. Landlord may enter the apartment at reasonable times, with 24 hours' notice except in an emergency, to inspect it, make repairs, or show it to prospective tenants or buyers.</w:t>
      </w:r>
    </w:p>
    <w:p>
      <w:r>
        <w:t>7. LEAD PAINT. The building was built before 1978. Before signing, Landlord gave Tenant the Tenant Lead Law Notification and the Tenant Certification form.</w:t>
      </w:r>
    </w:p>
    <w:p>
      <w:r>
        <w:t>8. GUESTS. Tenant may not have overnight guests for more than three nights in any month without Landlord's written permission.</w:t>
      </w:r>
    </w:p>
    <w:p>
      <w:r>
        <w:t>9. NOTICE OF MOVE-OUT. Tenant must give Landlord 60 days' written notice before moving out at the end of the lease term.</w:t>
      </w:r>
    </w:p>
    <w:p>
      <w:r>
        <w:t>10. PEST CONTROL. Tenant shall pay for all extermination and pest control, whatever the cause of the infestation.</w:t>
      </w:r>
    </w:p>
    <w:p>
      <w:r>
        <w:t>11. OCCUPANCY. No more than two persons shall live in the apartment.</w:t>
      </w:r>
    </w:p>
    <w:p>
      <w:r>
        <w:t>12. KEYS. At the end of the tenancy Tenant shall return all keys to Landlord.</w:t>
      </w:r>
    </w:p>
    <w:p>
      <w:r>
        <w:t>13. DEPOSIT ACCOUNT. The security deposit will be held in a separate interest-bearing account at a Massachusetts bank, and Tenant will receive a receipt naming the bank, its address and the account number within thirty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