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EA79" w14:textId="77777777" w:rsidR="00D213D0" w:rsidRPr="00FC6C4D" w:rsidRDefault="00D213D0" w:rsidP="00AA6A7F">
      <w:pPr>
        <w:spacing w:line="480" w:lineRule="auto"/>
        <w:jc w:val="center"/>
        <w:rPr>
          <w:rFonts w:ascii="Times New Roman" w:eastAsia="Times New Roman" w:hAnsi="Times New Roman" w:cs="Times New Roman"/>
          <w:b/>
          <w:sz w:val="30"/>
          <w:szCs w:val="30"/>
        </w:rPr>
      </w:pPr>
    </w:p>
    <w:p w14:paraId="0849F9E7" w14:textId="77777777" w:rsidR="00D213D0" w:rsidRPr="00FC6C4D" w:rsidRDefault="00D213D0" w:rsidP="00AA6A7F">
      <w:pPr>
        <w:spacing w:line="480" w:lineRule="auto"/>
        <w:jc w:val="center"/>
        <w:rPr>
          <w:rFonts w:ascii="Times New Roman" w:eastAsia="Times New Roman" w:hAnsi="Times New Roman" w:cs="Times New Roman"/>
          <w:b/>
          <w:sz w:val="30"/>
          <w:szCs w:val="30"/>
        </w:rPr>
      </w:pPr>
    </w:p>
    <w:p w14:paraId="1904D382" w14:textId="77777777" w:rsidR="00D213D0" w:rsidRPr="00FC6C4D" w:rsidRDefault="00D213D0" w:rsidP="00AA6A7F">
      <w:pPr>
        <w:spacing w:line="480" w:lineRule="auto"/>
        <w:jc w:val="center"/>
        <w:rPr>
          <w:rFonts w:ascii="Times New Roman" w:eastAsia="Times New Roman" w:hAnsi="Times New Roman" w:cs="Times New Roman"/>
          <w:b/>
          <w:sz w:val="30"/>
          <w:szCs w:val="30"/>
        </w:rPr>
      </w:pPr>
    </w:p>
    <w:p w14:paraId="6932EBBB" w14:textId="77777777" w:rsidR="00D213D0" w:rsidRPr="00FC6C4D" w:rsidRDefault="00D213D0" w:rsidP="00AA6A7F">
      <w:pPr>
        <w:spacing w:line="480" w:lineRule="auto"/>
        <w:jc w:val="center"/>
        <w:rPr>
          <w:rFonts w:ascii="Times New Roman" w:eastAsia="Times New Roman" w:hAnsi="Times New Roman" w:cs="Times New Roman"/>
          <w:b/>
          <w:sz w:val="30"/>
          <w:szCs w:val="30"/>
        </w:rPr>
      </w:pPr>
    </w:p>
    <w:p w14:paraId="618A460A" w14:textId="77777777" w:rsidR="00D213D0" w:rsidRPr="00FC6C4D" w:rsidRDefault="00D213D0" w:rsidP="00AA6A7F">
      <w:pPr>
        <w:spacing w:line="480" w:lineRule="auto"/>
        <w:jc w:val="center"/>
        <w:rPr>
          <w:rFonts w:ascii="Times New Roman" w:eastAsia="Times New Roman" w:hAnsi="Times New Roman" w:cs="Times New Roman"/>
          <w:b/>
          <w:sz w:val="30"/>
          <w:szCs w:val="30"/>
        </w:rPr>
      </w:pPr>
    </w:p>
    <w:p w14:paraId="10ADD70F" w14:textId="77777777" w:rsidR="00D213D0" w:rsidRPr="00FC6C4D" w:rsidRDefault="00D213D0" w:rsidP="00AA6A7F">
      <w:pPr>
        <w:spacing w:line="480" w:lineRule="auto"/>
        <w:jc w:val="center"/>
        <w:rPr>
          <w:rFonts w:ascii="Times New Roman" w:eastAsia="Times New Roman" w:hAnsi="Times New Roman" w:cs="Times New Roman"/>
          <w:b/>
          <w:sz w:val="30"/>
          <w:szCs w:val="30"/>
        </w:rPr>
      </w:pPr>
    </w:p>
    <w:p w14:paraId="782023BA" w14:textId="77777777" w:rsidR="00D213D0" w:rsidRPr="00FC6C4D" w:rsidRDefault="00D213D0" w:rsidP="00AA6A7F">
      <w:pPr>
        <w:spacing w:line="480" w:lineRule="auto"/>
        <w:jc w:val="center"/>
        <w:rPr>
          <w:rFonts w:ascii="Times New Roman" w:eastAsia="Times New Roman" w:hAnsi="Times New Roman" w:cs="Times New Roman"/>
          <w:b/>
          <w:sz w:val="32"/>
          <w:szCs w:val="32"/>
        </w:rPr>
      </w:pPr>
    </w:p>
    <w:p w14:paraId="04078924" w14:textId="77777777" w:rsidR="00D213D0" w:rsidRPr="00FC6C4D" w:rsidRDefault="00000000" w:rsidP="00AA6A7F">
      <w:pPr>
        <w:spacing w:line="480" w:lineRule="auto"/>
        <w:jc w:val="center"/>
        <w:rPr>
          <w:rFonts w:ascii="Times New Roman" w:eastAsia="Times New Roman" w:hAnsi="Times New Roman" w:cs="Times New Roman"/>
          <w:b/>
          <w:sz w:val="24"/>
          <w:szCs w:val="24"/>
        </w:rPr>
      </w:pPr>
      <w:bookmarkStart w:id="0" w:name="_Hlk138279599"/>
      <w:r w:rsidRPr="00FC6C4D">
        <w:rPr>
          <w:rFonts w:ascii="Times New Roman" w:eastAsia="Times New Roman" w:hAnsi="Times New Roman" w:cs="Times New Roman"/>
          <w:b/>
          <w:sz w:val="32"/>
          <w:szCs w:val="32"/>
        </w:rPr>
        <w:t>FINANCIAL DECISION MAKING</w:t>
      </w:r>
      <w:bookmarkEnd w:id="0"/>
      <w:r w:rsidRPr="00FC6C4D">
        <w:br w:type="page"/>
      </w:r>
    </w:p>
    <w:sdt>
      <w:sdtPr>
        <w:id w:val="-75060032"/>
        <w:docPartObj>
          <w:docPartGallery w:val="Table of Contents"/>
          <w:docPartUnique/>
        </w:docPartObj>
      </w:sdtPr>
      <w:sdtEndPr>
        <w:rPr>
          <w:rFonts w:ascii="Arial" w:eastAsia="Arial" w:hAnsi="Arial" w:cs="Arial"/>
          <w:b/>
          <w:bCs/>
          <w:noProof/>
          <w:color w:val="auto"/>
          <w:sz w:val="22"/>
          <w:szCs w:val="22"/>
          <w:lang w:val="en" w:eastAsia="en-IN"/>
        </w:rPr>
      </w:sdtEndPr>
      <w:sdtContent>
        <w:p w14:paraId="069E086D" w14:textId="471D864D" w:rsidR="00AA6A7F" w:rsidRPr="00FC6C4D" w:rsidRDefault="00AA6A7F" w:rsidP="00AA6A7F">
          <w:pPr>
            <w:pStyle w:val="TOCHeading"/>
            <w:spacing w:line="480" w:lineRule="auto"/>
            <w:jc w:val="center"/>
            <w:rPr>
              <w:rFonts w:ascii="Times New Roman" w:hAnsi="Times New Roman" w:cs="Times New Roman"/>
              <w:b/>
              <w:bCs/>
              <w:color w:val="000000" w:themeColor="text1"/>
            </w:rPr>
          </w:pPr>
          <w:r w:rsidRPr="00FC6C4D">
            <w:rPr>
              <w:rFonts w:ascii="Times New Roman" w:hAnsi="Times New Roman" w:cs="Times New Roman"/>
              <w:b/>
              <w:bCs/>
              <w:color w:val="000000" w:themeColor="text1"/>
            </w:rPr>
            <w:t>Table of Contents</w:t>
          </w:r>
        </w:p>
        <w:p w14:paraId="2C62DE95" w14:textId="75DE6FE7" w:rsidR="00AA6A7F" w:rsidRPr="00FC6C4D" w:rsidRDefault="00AA6A7F" w:rsidP="00AA6A7F">
          <w:pPr>
            <w:pStyle w:val="TOC1"/>
            <w:tabs>
              <w:tab w:val="right" w:leader="dot" w:pos="9350"/>
            </w:tabs>
            <w:spacing w:line="480" w:lineRule="auto"/>
            <w:rPr>
              <w:rFonts w:ascii="Times New Roman" w:hAnsi="Times New Roman" w:cs="Times New Roman"/>
              <w:noProof/>
              <w:sz w:val="24"/>
              <w:szCs w:val="24"/>
            </w:rPr>
          </w:pPr>
          <w:r w:rsidRPr="00FC6C4D">
            <w:rPr>
              <w:rFonts w:ascii="Times New Roman" w:hAnsi="Times New Roman" w:cs="Times New Roman"/>
              <w:sz w:val="24"/>
              <w:szCs w:val="24"/>
            </w:rPr>
            <w:fldChar w:fldCharType="begin"/>
          </w:r>
          <w:r w:rsidRPr="00FC6C4D">
            <w:rPr>
              <w:rFonts w:ascii="Times New Roman" w:hAnsi="Times New Roman" w:cs="Times New Roman"/>
              <w:sz w:val="24"/>
              <w:szCs w:val="24"/>
            </w:rPr>
            <w:instrText xml:space="preserve"> TOC \o "1-3" \h \z \u </w:instrText>
          </w:r>
          <w:r w:rsidRPr="00FC6C4D">
            <w:rPr>
              <w:rFonts w:ascii="Times New Roman" w:hAnsi="Times New Roman" w:cs="Times New Roman"/>
              <w:sz w:val="24"/>
              <w:szCs w:val="24"/>
            </w:rPr>
            <w:fldChar w:fldCharType="separate"/>
          </w:r>
          <w:hyperlink w:anchor="_Toc138279534" w:history="1">
            <w:r w:rsidRPr="00FC6C4D">
              <w:rPr>
                <w:rStyle w:val="Hyperlink"/>
                <w:rFonts w:ascii="Times New Roman" w:hAnsi="Times New Roman" w:cs="Times New Roman"/>
                <w:noProof/>
                <w:sz w:val="24"/>
                <w:szCs w:val="24"/>
                <w:u w:val="none"/>
              </w:rPr>
              <w:t>(i) Introduction</w:t>
            </w:r>
            <w:r w:rsidRPr="00FC6C4D">
              <w:rPr>
                <w:rFonts w:ascii="Times New Roman" w:hAnsi="Times New Roman" w:cs="Times New Roman"/>
                <w:noProof/>
                <w:webHidden/>
                <w:sz w:val="24"/>
                <w:szCs w:val="24"/>
              </w:rPr>
              <w:tab/>
            </w:r>
            <w:r w:rsidRPr="00FC6C4D">
              <w:rPr>
                <w:rFonts w:ascii="Times New Roman" w:hAnsi="Times New Roman" w:cs="Times New Roman"/>
                <w:noProof/>
                <w:webHidden/>
                <w:sz w:val="24"/>
                <w:szCs w:val="24"/>
              </w:rPr>
              <w:fldChar w:fldCharType="begin"/>
            </w:r>
            <w:r w:rsidRPr="00FC6C4D">
              <w:rPr>
                <w:rFonts w:ascii="Times New Roman" w:hAnsi="Times New Roman" w:cs="Times New Roman"/>
                <w:noProof/>
                <w:webHidden/>
                <w:sz w:val="24"/>
                <w:szCs w:val="24"/>
              </w:rPr>
              <w:instrText xml:space="preserve"> PAGEREF _Toc138279534 \h </w:instrText>
            </w:r>
            <w:r w:rsidRPr="00FC6C4D">
              <w:rPr>
                <w:rFonts w:ascii="Times New Roman" w:hAnsi="Times New Roman" w:cs="Times New Roman"/>
                <w:noProof/>
                <w:webHidden/>
                <w:sz w:val="24"/>
                <w:szCs w:val="24"/>
              </w:rPr>
            </w:r>
            <w:r w:rsidRPr="00FC6C4D">
              <w:rPr>
                <w:rFonts w:ascii="Times New Roman" w:hAnsi="Times New Roman" w:cs="Times New Roman"/>
                <w:noProof/>
                <w:webHidden/>
                <w:sz w:val="24"/>
                <w:szCs w:val="24"/>
              </w:rPr>
              <w:fldChar w:fldCharType="separate"/>
            </w:r>
            <w:r w:rsidRPr="00FC6C4D">
              <w:rPr>
                <w:rFonts w:ascii="Times New Roman" w:hAnsi="Times New Roman" w:cs="Times New Roman"/>
                <w:noProof/>
                <w:webHidden/>
                <w:sz w:val="24"/>
                <w:szCs w:val="24"/>
              </w:rPr>
              <w:t>3</w:t>
            </w:r>
            <w:r w:rsidRPr="00FC6C4D">
              <w:rPr>
                <w:rFonts w:ascii="Times New Roman" w:hAnsi="Times New Roman" w:cs="Times New Roman"/>
                <w:noProof/>
                <w:webHidden/>
                <w:sz w:val="24"/>
                <w:szCs w:val="24"/>
              </w:rPr>
              <w:fldChar w:fldCharType="end"/>
            </w:r>
          </w:hyperlink>
        </w:p>
        <w:p w14:paraId="6801D3BE" w14:textId="14DB1ED9" w:rsidR="00AA6A7F" w:rsidRPr="00FC6C4D" w:rsidRDefault="00AA6A7F" w:rsidP="00AA6A7F">
          <w:pPr>
            <w:pStyle w:val="TOC1"/>
            <w:tabs>
              <w:tab w:val="right" w:leader="dot" w:pos="9350"/>
            </w:tabs>
            <w:spacing w:line="480" w:lineRule="auto"/>
            <w:rPr>
              <w:rFonts w:ascii="Times New Roman" w:hAnsi="Times New Roman" w:cs="Times New Roman"/>
              <w:noProof/>
              <w:sz w:val="24"/>
              <w:szCs w:val="24"/>
            </w:rPr>
          </w:pPr>
          <w:hyperlink w:anchor="_Toc138279535" w:history="1">
            <w:r w:rsidRPr="00FC6C4D">
              <w:rPr>
                <w:rStyle w:val="Hyperlink"/>
                <w:rFonts w:ascii="Times New Roman" w:hAnsi="Times New Roman" w:cs="Times New Roman"/>
                <w:noProof/>
                <w:sz w:val="24"/>
                <w:szCs w:val="24"/>
                <w:u w:val="none"/>
              </w:rPr>
              <w:t>(ii) Ratio analysis and interpretation of financial information</w:t>
            </w:r>
            <w:r w:rsidRPr="00FC6C4D">
              <w:rPr>
                <w:rFonts w:ascii="Times New Roman" w:hAnsi="Times New Roman" w:cs="Times New Roman"/>
                <w:noProof/>
                <w:webHidden/>
                <w:sz w:val="24"/>
                <w:szCs w:val="24"/>
              </w:rPr>
              <w:tab/>
            </w:r>
            <w:r w:rsidRPr="00FC6C4D">
              <w:rPr>
                <w:rFonts w:ascii="Times New Roman" w:hAnsi="Times New Roman" w:cs="Times New Roman"/>
                <w:noProof/>
                <w:webHidden/>
                <w:sz w:val="24"/>
                <w:szCs w:val="24"/>
              </w:rPr>
              <w:fldChar w:fldCharType="begin"/>
            </w:r>
            <w:r w:rsidRPr="00FC6C4D">
              <w:rPr>
                <w:rFonts w:ascii="Times New Roman" w:hAnsi="Times New Roman" w:cs="Times New Roman"/>
                <w:noProof/>
                <w:webHidden/>
                <w:sz w:val="24"/>
                <w:szCs w:val="24"/>
              </w:rPr>
              <w:instrText xml:space="preserve"> PAGEREF _Toc138279535 \h </w:instrText>
            </w:r>
            <w:r w:rsidRPr="00FC6C4D">
              <w:rPr>
                <w:rFonts w:ascii="Times New Roman" w:hAnsi="Times New Roman" w:cs="Times New Roman"/>
                <w:noProof/>
                <w:webHidden/>
                <w:sz w:val="24"/>
                <w:szCs w:val="24"/>
              </w:rPr>
            </w:r>
            <w:r w:rsidRPr="00FC6C4D">
              <w:rPr>
                <w:rFonts w:ascii="Times New Roman" w:hAnsi="Times New Roman" w:cs="Times New Roman"/>
                <w:noProof/>
                <w:webHidden/>
                <w:sz w:val="24"/>
                <w:szCs w:val="24"/>
              </w:rPr>
              <w:fldChar w:fldCharType="separate"/>
            </w:r>
            <w:r w:rsidRPr="00FC6C4D">
              <w:rPr>
                <w:rFonts w:ascii="Times New Roman" w:hAnsi="Times New Roman" w:cs="Times New Roman"/>
                <w:noProof/>
                <w:webHidden/>
                <w:sz w:val="24"/>
                <w:szCs w:val="24"/>
              </w:rPr>
              <w:t>3</w:t>
            </w:r>
            <w:r w:rsidRPr="00FC6C4D">
              <w:rPr>
                <w:rFonts w:ascii="Times New Roman" w:hAnsi="Times New Roman" w:cs="Times New Roman"/>
                <w:noProof/>
                <w:webHidden/>
                <w:sz w:val="24"/>
                <w:szCs w:val="24"/>
              </w:rPr>
              <w:fldChar w:fldCharType="end"/>
            </w:r>
          </w:hyperlink>
        </w:p>
        <w:p w14:paraId="29250328" w14:textId="15B28325" w:rsidR="00AA6A7F" w:rsidRPr="00FC6C4D" w:rsidRDefault="00AA6A7F" w:rsidP="00AA6A7F">
          <w:pPr>
            <w:pStyle w:val="TOC1"/>
            <w:tabs>
              <w:tab w:val="right" w:leader="dot" w:pos="9350"/>
            </w:tabs>
            <w:spacing w:line="480" w:lineRule="auto"/>
            <w:rPr>
              <w:rFonts w:ascii="Times New Roman" w:hAnsi="Times New Roman" w:cs="Times New Roman"/>
              <w:noProof/>
              <w:sz w:val="24"/>
              <w:szCs w:val="24"/>
            </w:rPr>
          </w:pPr>
          <w:hyperlink w:anchor="_Toc138279536" w:history="1">
            <w:r w:rsidRPr="00FC6C4D">
              <w:rPr>
                <w:rStyle w:val="Hyperlink"/>
                <w:rFonts w:ascii="Times New Roman" w:hAnsi="Times New Roman" w:cs="Times New Roman"/>
                <w:noProof/>
                <w:sz w:val="24"/>
                <w:szCs w:val="24"/>
                <w:u w:val="none"/>
              </w:rPr>
              <w:t>(iii) Vertical and horizontal analysis</w:t>
            </w:r>
            <w:r w:rsidRPr="00FC6C4D">
              <w:rPr>
                <w:rFonts w:ascii="Times New Roman" w:hAnsi="Times New Roman" w:cs="Times New Roman"/>
                <w:noProof/>
                <w:webHidden/>
                <w:sz w:val="24"/>
                <w:szCs w:val="24"/>
              </w:rPr>
              <w:tab/>
            </w:r>
            <w:r w:rsidRPr="00FC6C4D">
              <w:rPr>
                <w:rFonts w:ascii="Times New Roman" w:hAnsi="Times New Roman" w:cs="Times New Roman"/>
                <w:noProof/>
                <w:webHidden/>
                <w:sz w:val="24"/>
                <w:szCs w:val="24"/>
              </w:rPr>
              <w:fldChar w:fldCharType="begin"/>
            </w:r>
            <w:r w:rsidRPr="00FC6C4D">
              <w:rPr>
                <w:rFonts w:ascii="Times New Roman" w:hAnsi="Times New Roman" w:cs="Times New Roman"/>
                <w:noProof/>
                <w:webHidden/>
                <w:sz w:val="24"/>
                <w:szCs w:val="24"/>
              </w:rPr>
              <w:instrText xml:space="preserve"> PAGEREF _Toc138279536 \h </w:instrText>
            </w:r>
            <w:r w:rsidRPr="00FC6C4D">
              <w:rPr>
                <w:rFonts w:ascii="Times New Roman" w:hAnsi="Times New Roman" w:cs="Times New Roman"/>
                <w:noProof/>
                <w:webHidden/>
                <w:sz w:val="24"/>
                <w:szCs w:val="24"/>
              </w:rPr>
            </w:r>
            <w:r w:rsidRPr="00FC6C4D">
              <w:rPr>
                <w:rFonts w:ascii="Times New Roman" w:hAnsi="Times New Roman" w:cs="Times New Roman"/>
                <w:noProof/>
                <w:webHidden/>
                <w:sz w:val="24"/>
                <w:szCs w:val="24"/>
              </w:rPr>
              <w:fldChar w:fldCharType="separate"/>
            </w:r>
            <w:r w:rsidRPr="00FC6C4D">
              <w:rPr>
                <w:rFonts w:ascii="Times New Roman" w:hAnsi="Times New Roman" w:cs="Times New Roman"/>
                <w:noProof/>
                <w:webHidden/>
                <w:sz w:val="24"/>
                <w:szCs w:val="24"/>
              </w:rPr>
              <w:t>13</w:t>
            </w:r>
            <w:r w:rsidRPr="00FC6C4D">
              <w:rPr>
                <w:rFonts w:ascii="Times New Roman" w:hAnsi="Times New Roman" w:cs="Times New Roman"/>
                <w:noProof/>
                <w:webHidden/>
                <w:sz w:val="24"/>
                <w:szCs w:val="24"/>
              </w:rPr>
              <w:fldChar w:fldCharType="end"/>
            </w:r>
          </w:hyperlink>
        </w:p>
        <w:p w14:paraId="0BF6D4ED" w14:textId="65F850A9" w:rsidR="00AA6A7F" w:rsidRPr="00FC6C4D" w:rsidRDefault="00AA6A7F" w:rsidP="00AA6A7F">
          <w:pPr>
            <w:pStyle w:val="TOC1"/>
            <w:tabs>
              <w:tab w:val="right" w:leader="dot" w:pos="9350"/>
            </w:tabs>
            <w:spacing w:line="480" w:lineRule="auto"/>
            <w:rPr>
              <w:rFonts w:ascii="Times New Roman" w:hAnsi="Times New Roman" w:cs="Times New Roman"/>
              <w:noProof/>
              <w:sz w:val="24"/>
              <w:szCs w:val="24"/>
            </w:rPr>
          </w:pPr>
          <w:hyperlink w:anchor="_Toc138279537" w:history="1">
            <w:r w:rsidRPr="00FC6C4D">
              <w:rPr>
                <w:rStyle w:val="Hyperlink"/>
                <w:rFonts w:ascii="Times New Roman" w:hAnsi="Times New Roman" w:cs="Times New Roman"/>
                <w:noProof/>
                <w:sz w:val="24"/>
                <w:szCs w:val="24"/>
                <w:u w:val="none"/>
              </w:rPr>
              <w:t>(iv) Balanced scorecard covering FOUR perspectives</w:t>
            </w:r>
            <w:r w:rsidRPr="00FC6C4D">
              <w:rPr>
                <w:rFonts w:ascii="Times New Roman" w:hAnsi="Times New Roman" w:cs="Times New Roman"/>
                <w:noProof/>
                <w:webHidden/>
                <w:sz w:val="24"/>
                <w:szCs w:val="24"/>
              </w:rPr>
              <w:tab/>
            </w:r>
            <w:r w:rsidRPr="00FC6C4D">
              <w:rPr>
                <w:rFonts w:ascii="Times New Roman" w:hAnsi="Times New Roman" w:cs="Times New Roman"/>
                <w:noProof/>
                <w:webHidden/>
                <w:sz w:val="24"/>
                <w:szCs w:val="24"/>
              </w:rPr>
              <w:fldChar w:fldCharType="begin"/>
            </w:r>
            <w:r w:rsidRPr="00FC6C4D">
              <w:rPr>
                <w:rFonts w:ascii="Times New Roman" w:hAnsi="Times New Roman" w:cs="Times New Roman"/>
                <w:noProof/>
                <w:webHidden/>
                <w:sz w:val="24"/>
                <w:szCs w:val="24"/>
              </w:rPr>
              <w:instrText xml:space="preserve"> PAGEREF _Toc138279537 \h </w:instrText>
            </w:r>
            <w:r w:rsidRPr="00FC6C4D">
              <w:rPr>
                <w:rFonts w:ascii="Times New Roman" w:hAnsi="Times New Roman" w:cs="Times New Roman"/>
                <w:noProof/>
                <w:webHidden/>
                <w:sz w:val="24"/>
                <w:szCs w:val="24"/>
              </w:rPr>
            </w:r>
            <w:r w:rsidRPr="00FC6C4D">
              <w:rPr>
                <w:rFonts w:ascii="Times New Roman" w:hAnsi="Times New Roman" w:cs="Times New Roman"/>
                <w:noProof/>
                <w:webHidden/>
                <w:sz w:val="24"/>
                <w:szCs w:val="24"/>
              </w:rPr>
              <w:fldChar w:fldCharType="separate"/>
            </w:r>
            <w:r w:rsidRPr="00FC6C4D">
              <w:rPr>
                <w:rFonts w:ascii="Times New Roman" w:hAnsi="Times New Roman" w:cs="Times New Roman"/>
                <w:noProof/>
                <w:webHidden/>
                <w:sz w:val="24"/>
                <w:szCs w:val="24"/>
              </w:rPr>
              <w:t>17</w:t>
            </w:r>
            <w:r w:rsidRPr="00FC6C4D">
              <w:rPr>
                <w:rFonts w:ascii="Times New Roman" w:hAnsi="Times New Roman" w:cs="Times New Roman"/>
                <w:noProof/>
                <w:webHidden/>
                <w:sz w:val="24"/>
                <w:szCs w:val="24"/>
              </w:rPr>
              <w:fldChar w:fldCharType="end"/>
            </w:r>
          </w:hyperlink>
        </w:p>
        <w:p w14:paraId="17532ED7" w14:textId="43D84B39" w:rsidR="00AA6A7F" w:rsidRPr="00FC6C4D" w:rsidRDefault="00AA6A7F" w:rsidP="00AA6A7F">
          <w:pPr>
            <w:pStyle w:val="TOC1"/>
            <w:tabs>
              <w:tab w:val="right" w:leader="dot" w:pos="9350"/>
            </w:tabs>
            <w:spacing w:line="480" w:lineRule="auto"/>
            <w:rPr>
              <w:rFonts w:ascii="Times New Roman" w:hAnsi="Times New Roman" w:cs="Times New Roman"/>
              <w:noProof/>
              <w:sz w:val="24"/>
              <w:szCs w:val="24"/>
            </w:rPr>
          </w:pPr>
          <w:hyperlink w:anchor="_Toc138279538" w:history="1">
            <w:r w:rsidRPr="00FC6C4D">
              <w:rPr>
                <w:rStyle w:val="Hyperlink"/>
                <w:rFonts w:ascii="Times New Roman" w:hAnsi="Times New Roman" w:cs="Times New Roman"/>
                <w:noProof/>
                <w:sz w:val="24"/>
                <w:szCs w:val="24"/>
                <w:u w:val="none"/>
              </w:rPr>
              <w:t>(v) Strategy map that links with the balanced scorecard</w:t>
            </w:r>
            <w:r w:rsidRPr="00FC6C4D">
              <w:rPr>
                <w:rFonts w:ascii="Times New Roman" w:hAnsi="Times New Roman" w:cs="Times New Roman"/>
                <w:noProof/>
                <w:webHidden/>
                <w:sz w:val="24"/>
                <w:szCs w:val="24"/>
              </w:rPr>
              <w:tab/>
            </w:r>
            <w:r w:rsidRPr="00FC6C4D">
              <w:rPr>
                <w:rFonts w:ascii="Times New Roman" w:hAnsi="Times New Roman" w:cs="Times New Roman"/>
                <w:noProof/>
                <w:webHidden/>
                <w:sz w:val="24"/>
                <w:szCs w:val="24"/>
              </w:rPr>
              <w:fldChar w:fldCharType="begin"/>
            </w:r>
            <w:r w:rsidRPr="00FC6C4D">
              <w:rPr>
                <w:rFonts w:ascii="Times New Roman" w:hAnsi="Times New Roman" w:cs="Times New Roman"/>
                <w:noProof/>
                <w:webHidden/>
                <w:sz w:val="24"/>
                <w:szCs w:val="24"/>
              </w:rPr>
              <w:instrText xml:space="preserve"> PAGEREF _Toc138279538 \h </w:instrText>
            </w:r>
            <w:r w:rsidRPr="00FC6C4D">
              <w:rPr>
                <w:rFonts w:ascii="Times New Roman" w:hAnsi="Times New Roman" w:cs="Times New Roman"/>
                <w:noProof/>
                <w:webHidden/>
                <w:sz w:val="24"/>
                <w:szCs w:val="24"/>
              </w:rPr>
            </w:r>
            <w:r w:rsidRPr="00FC6C4D">
              <w:rPr>
                <w:rFonts w:ascii="Times New Roman" w:hAnsi="Times New Roman" w:cs="Times New Roman"/>
                <w:noProof/>
                <w:webHidden/>
                <w:sz w:val="24"/>
                <w:szCs w:val="24"/>
              </w:rPr>
              <w:fldChar w:fldCharType="separate"/>
            </w:r>
            <w:r w:rsidRPr="00FC6C4D">
              <w:rPr>
                <w:rFonts w:ascii="Times New Roman" w:hAnsi="Times New Roman" w:cs="Times New Roman"/>
                <w:noProof/>
                <w:webHidden/>
                <w:sz w:val="24"/>
                <w:szCs w:val="24"/>
              </w:rPr>
              <w:t>23</w:t>
            </w:r>
            <w:r w:rsidRPr="00FC6C4D">
              <w:rPr>
                <w:rFonts w:ascii="Times New Roman" w:hAnsi="Times New Roman" w:cs="Times New Roman"/>
                <w:noProof/>
                <w:webHidden/>
                <w:sz w:val="24"/>
                <w:szCs w:val="24"/>
              </w:rPr>
              <w:fldChar w:fldCharType="end"/>
            </w:r>
          </w:hyperlink>
        </w:p>
        <w:p w14:paraId="6D389E0F" w14:textId="1CC14058" w:rsidR="00AA6A7F" w:rsidRPr="00FC6C4D" w:rsidRDefault="00AA6A7F" w:rsidP="00AA6A7F">
          <w:pPr>
            <w:pStyle w:val="TOC1"/>
            <w:tabs>
              <w:tab w:val="right" w:leader="dot" w:pos="9350"/>
            </w:tabs>
            <w:spacing w:line="480" w:lineRule="auto"/>
            <w:rPr>
              <w:rFonts w:ascii="Times New Roman" w:hAnsi="Times New Roman" w:cs="Times New Roman"/>
              <w:noProof/>
              <w:sz w:val="24"/>
              <w:szCs w:val="24"/>
            </w:rPr>
          </w:pPr>
          <w:hyperlink w:anchor="_Toc138279539" w:history="1">
            <w:r w:rsidRPr="00FC6C4D">
              <w:rPr>
                <w:rStyle w:val="Hyperlink"/>
                <w:rFonts w:ascii="Times New Roman" w:hAnsi="Times New Roman" w:cs="Times New Roman"/>
                <w:noProof/>
                <w:sz w:val="24"/>
                <w:szCs w:val="24"/>
                <w:u w:val="none"/>
              </w:rPr>
              <w:t>(vi) Engagement and reflection of group work</w:t>
            </w:r>
            <w:r w:rsidRPr="00FC6C4D">
              <w:rPr>
                <w:rFonts w:ascii="Times New Roman" w:hAnsi="Times New Roman" w:cs="Times New Roman"/>
                <w:noProof/>
                <w:webHidden/>
                <w:sz w:val="24"/>
                <w:szCs w:val="24"/>
              </w:rPr>
              <w:tab/>
            </w:r>
            <w:r w:rsidRPr="00FC6C4D">
              <w:rPr>
                <w:rFonts w:ascii="Times New Roman" w:hAnsi="Times New Roman" w:cs="Times New Roman"/>
                <w:noProof/>
                <w:webHidden/>
                <w:sz w:val="24"/>
                <w:szCs w:val="24"/>
              </w:rPr>
              <w:fldChar w:fldCharType="begin"/>
            </w:r>
            <w:r w:rsidRPr="00FC6C4D">
              <w:rPr>
                <w:rFonts w:ascii="Times New Roman" w:hAnsi="Times New Roman" w:cs="Times New Roman"/>
                <w:noProof/>
                <w:webHidden/>
                <w:sz w:val="24"/>
                <w:szCs w:val="24"/>
              </w:rPr>
              <w:instrText xml:space="preserve"> PAGEREF _Toc138279539 \h </w:instrText>
            </w:r>
            <w:r w:rsidRPr="00FC6C4D">
              <w:rPr>
                <w:rFonts w:ascii="Times New Roman" w:hAnsi="Times New Roman" w:cs="Times New Roman"/>
                <w:noProof/>
                <w:webHidden/>
                <w:sz w:val="24"/>
                <w:szCs w:val="24"/>
              </w:rPr>
            </w:r>
            <w:r w:rsidRPr="00FC6C4D">
              <w:rPr>
                <w:rFonts w:ascii="Times New Roman" w:hAnsi="Times New Roman" w:cs="Times New Roman"/>
                <w:noProof/>
                <w:webHidden/>
                <w:sz w:val="24"/>
                <w:szCs w:val="24"/>
              </w:rPr>
              <w:fldChar w:fldCharType="separate"/>
            </w:r>
            <w:r w:rsidRPr="00FC6C4D">
              <w:rPr>
                <w:rFonts w:ascii="Times New Roman" w:hAnsi="Times New Roman" w:cs="Times New Roman"/>
                <w:noProof/>
                <w:webHidden/>
                <w:sz w:val="24"/>
                <w:szCs w:val="24"/>
              </w:rPr>
              <w:t>23</w:t>
            </w:r>
            <w:r w:rsidRPr="00FC6C4D">
              <w:rPr>
                <w:rFonts w:ascii="Times New Roman" w:hAnsi="Times New Roman" w:cs="Times New Roman"/>
                <w:noProof/>
                <w:webHidden/>
                <w:sz w:val="24"/>
                <w:szCs w:val="24"/>
              </w:rPr>
              <w:fldChar w:fldCharType="end"/>
            </w:r>
          </w:hyperlink>
        </w:p>
        <w:p w14:paraId="301488E1" w14:textId="7338DF14" w:rsidR="00AA6A7F" w:rsidRPr="00FC6C4D" w:rsidRDefault="00AA6A7F" w:rsidP="00AA6A7F">
          <w:pPr>
            <w:pStyle w:val="TOC1"/>
            <w:tabs>
              <w:tab w:val="right" w:leader="dot" w:pos="9350"/>
            </w:tabs>
            <w:spacing w:line="480" w:lineRule="auto"/>
            <w:rPr>
              <w:rFonts w:ascii="Times New Roman" w:hAnsi="Times New Roman" w:cs="Times New Roman"/>
              <w:noProof/>
              <w:sz w:val="24"/>
              <w:szCs w:val="24"/>
            </w:rPr>
          </w:pPr>
          <w:hyperlink w:anchor="_Toc138279540" w:history="1">
            <w:r w:rsidRPr="00FC6C4D">
              <w:rPr>
                <w:rStyle w:val="Hyperlink"/>
                <w:rFonts w:ascii="Times New Roman" w:hAnsi="Times New Roman" w:cs="Times New Roman"/>
                <w:noProof/>
                <w:sz w:val="24"/>
                <w:szCs w:val="24"/>
                <w:u w:val="none"/>
              </w:rPr>
              <w:t>(vii) Conclusion and recommendation</w:t>
            </w:r>
            <w:r w:rsidRPr="00FC6C4D">
              <w:rPr>
                <w:rFonts w:ascii="Times New Roman" w:hAnsi="Times New Roman" w:cs="Times New Roman"/>
                <w:noProof/>
                <w:webHidden/>
                <w:sz w:val="24"/>
                <w:szCs w:val="24"/>
              </w:rPr>
              <w:tab/>
            </w:r>
            <w:r w:rsidRPr="00FC6C4D">
              <w:rPr>
                <w:rFonts w:ascii="Times New Roman" w:hAnsi="Times New Roman" w:cs="Times New Roman"/>
                <w:noProof/>
                <w:webHidden/>
                <w:sz w:val="24"/>
                <w:szCs w:val="24"/>
              </w:rPr>
              <w:fldChar w:fldCharType="begin"/>
            </w:r>
            <w:r w:rsidRPr="00FC6C4D">
              <w:rPr>
                <w:rFonts w:ascii="Times New Roman" w:hAnsi="Times New Roman" w:cs="Times New Roman"/>
                <w:noProof/>
                <w:webHidden/>
                <w:sz w:val="24"/>
                <w:szCs w:val="24"/>
              </w:rPr>
              <w:instrText xml:space="preserve"> PAGEREF _Toc138279540 \h </w:instrText>
            </w:r>
            <w:r w:rsidRPr="00FC6C4D">
              <w:rPr>
                <w:rFonts w:ascii="Times New Roman" w:hAnsi="Times New Roman" w:cs="Times New Roman"/>
                <w:noProof/>
                <w:webHidden/>
                <w:sz w:val="24"/>
                <w:szCs w:val="24"/>
              </w:rPr>
            </w:r>
            <w:r w:rsidRPr="00FC6C4D">
              <w:rPr>
                <w:rFonts w:ascii="Times New Roman" w:hAnsi="Times New Roman" w:cs="Times New Roman"/>
                <w:noProof/>
                <w:webHidden/>
                <w:sz w:val="24"/>
                <w:szCs w:val="24"/>
              </w:rPr>
              <w:fldChar w:fldCharType="separate"/>
            </w:r>
            <w:r w:rsidRPr="00FC6C4D">
              <w:rPr>
                <w:rFonts w:ascii="Times New Roman" w:hAnsi="Times New Roman" w:cs="Times New Roman"/>
                <w:noProof/>
                <w:webHidden/>
                <w:sz w:val="24"/>
                <w:szCs w:val="24"/>
              </w:rPr>
              <w:t>24</w:t>
            </w:r>
            <w:r w:rsidRPr="00FC6C4D">
              <w:rPr>
                <w:rFonts w:ascii="Times New Roman" w:hAnsi="Times New Roman" w:cs="Times New Roman"/>
                <w:noProof/>
                <w:webHidden/>
                <w:sz w:val="24"/>
                <w:szCs w:val="24"/>
              </w:rPr>
              <w:fldChar w:fldCharType="end"/>
            </w:r>
          </w:hyperlink>
        </w:p>
        <w:p w14:paraId="1ED3FB14" w14:textId="7855427B" w:rsidR="00AA6A7F" w:rsidRPr="00FC6C4D" w:rsidRDefault="00AA6A7F" w:rsidP="00AA6A7F">
          <w:pPr>
            <w:pStyle w:val="TOC1"/>
            <w:tabs>
              <w:tab w:val="right" w:leader="dot" w:pos="9350"/>
            </w:tabs>
            <w:spacing w:line="480" w:lineRule="auto"/>
            <w:rPr>
              <w:rFonts w:ascii="Times New Roman" w:hAnsi="Times New Roman" w:cs="Times New Roman"/>
              <w:noProof/>
              <w:sz w:val="24"/>
              <w:szCs w:val="24"/>
            </w:rPr>
          </w:pPr>
          <w:hyperlink w:anchor="_Toc138279541" w:history="1">
            <w:r w:rsidRPr="00FC6C4D">
              <w:rPr>
                <w:rStyle w:val="Hyperlink"/>
                <w:rFonts w:ascii="Times New Roman" w:hAnsi="Times New Roman" w:cs="Times New Roman"/>
                <w:noProof/>
                <w:sz w:val="24"/>
                <w:szCs w:val="24"/>
                <w:u w:val="none"/>
              </w:rPr>
              <w:t>Reference list</w:t>
            </w:r>
            <w:r w:rsidRPr="00FC6C4D">
              <w:rPr>
                <w:rFonts w:ascii="Times New Roman" w:hAnsi="Times New Roman" w:cs="Times New Roman"/>
                <w:noProof/>
                <w:webHidden/>
                <w:sz w:val="24"/>
                <w:szCs w:val="24"/>
              </w:rPr>
              <w:tab/>
            </w:r>
            <w:r w:rsidRPr="00FC6C4D">
              <w:rPr>
                <w:rFonts w:ascii="Times New Roman" w:hAnsi="Times New Roman" w:cs="Times New Roman"/>
                <w:noProof/>
                <w:webHidden/>
                <w:sz w:val="24"/>
                <w:szCs w:val="24"/>
              </w:rPr>
              <w:fldChar w:fldCharType="begin"/>
            </w:r>
            <w:r w:rsidRPr="00FC6C4D">
              <w:rPr>
                <w:rFonts w:ascii="Times New Roman" w:hAnsi="Times New Roman" w:cs="Times New Roman"/>
                <w:noProof/>
                <w:webHidden/>
                <w:sz w:val="24"/>
                <w:szCs w:val="24"/>
              </w:rPr>
              <w:instrText xml:space="preserve"> PAGEREF _Toc138279541 \h </w:instrText>
            </w:r>
            <w:r w:rsidRPr="00FC6C4D">
              <w:rPr>
                <w:rFonts w:ascii="Times New Roman" w:hAnsi="Times New Roman" w:cs="Times New Roman"/>
                <w:noProof/>
                <w:webHidden/>
                <w:sz w:val="24"/>
                <w:szCs w:val="24"/>
              </w:rPr>
            </w:r>
            <w:r w:rsidRPr="00FC6C4D">
              <w:rPr>
                <w:rFonts w:ascii="Times New Roman" w:hAnsi="Times New Roman" w:cs="Times New Roman"/>
                <w:noProof/>
                <w:webHidden/>
                <w:sz w:val="24"/>
                <w:szCs w:val="24"/>
              </w:rPr>
              <w:fldChar w:fldCharType="separate"/>
            </w:r>
            <w:r w:rsidRPr="00FC6C4D">
              <w:rPr>
                <w:rFonts w:ascii="Times New Roman" w:hAnsi="Times New Roman" w:cs="Times New Roman"/>
                <w:noProof/>
                <w:webHidden/>
                <w:sz w:val="24"/>
                <w:szCs w:val="24"/>
              </w:rPr>
              <w:t>26</w:t>
            </w:r>
            <w:r w:rsidRPr="00FC6C4D">
              <w:rPr>
                <w:rFonts w:ascii="Times New Roman" w:hAnsi="Times New Roman" w:cs="Times New Roman"/>
                <w:noProof/>
                <w:webHidden/>
                <w:sz w:val="24"/>
                <w:szCs w:val="24"/>
              </w:rPr>
              <w:fldChar w:fldCharType="end"/>
            </w:r>
          </w:hyperlink>
        </w:p>
        <w:p w14:paraId="77B5DECA" w14:textId="79E451A8" w:rsidR="00AA6A7F" w:rsidRPr="00FC6C4D" w:rsidRDefault="00AA6A7F" w:rsidP="00AA6A7F">
          <w:pPr>
            <w:spacing w:line="480" w:lineRule="auto"/>
          </w:pPr>
          <w:r w:rsidRPr="00FC6C4D">
            <w:rPr>
              <w:rFonts w:ascii="Times New Roman" w:hAnsi="Times New Roman" w:cs="Times New Roman"/>
              <w:b/>
              <w:bCs/>
              <w:noProof/>
              <w:sz w:val="24"/>
              <w:szCs w:val="24"/>
            </w:rPr>
            <w:fldChar w:fldCharType="end"/>
          </w:r>
        </w:p>
      </w:sdtContent>
    </w:sdt>
    <w:p w14:paraId="3024D337" w14:textId="77777777" w:rsidR="00D213D0" w:rsidRPr="00FC6C4D" w:rsidRDefault="00000000" w:rsidP="00AA6A7F">
      <w:pPr>
        <w:spacing w:line="480" w:lineRule="auto"/>
        <w:rPr>
          <w:rFonts w:ascii="Times New Roman" w:eastAsia="Times New Roman" w:hAnsi="Times New Roman" w:cs="Times New Roman"/>
          <w:b/>
          <w:sz w:val="24"/>
          <w:szCs w:val="24"/>
        </w:rPr>
      </w:pPr>
      <w:r w:rsidRPr="00FC6C4D">
        <w:br w:type="page"/>
      </w:r>
    </w:p>
    <w:p w14:paraId="0FC7B41C" w14:textId="77777777" w:rsidR="00D213D0" w:rsidRPr="00FC6C4D" w:rsidRDefault="00000000" w:rsidP="00AA6A7F">
      <w:pPr>
        <w:pStyle w:val="Heading1"/>
        <w:spacing w:line="480" w:lineRule="auto"/>
      </w:pPr>
      <w:bookmarkStart w:id="1" w:name="_vp7k981any9" w:colFirst="0" w:colLast="0"/>
      <w:bookmarkStart w:id="2" w:name="_Toc138279534"/>
      <w:bookmarkEnd w:id="1"/>
      <w:r w:rsidRPr="00FC6C4D">
        <w:lastRenderedPageBreak/>
        <w:t>(i) Introduction</w:t>
      </w:r>
      <w:bookmarkEnd w:id="2"/>
      <w:r w:rsidRPr="00FC6C4D">
        <w:t xml:space="preserve"> </w:t>
      </w:r>
    </w:p>
    <w:p w14:paraId="7B554274"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Imperial Brands PLC is a multinational UK based organization operating business activity by producing and selling tobacco products. This organization has established itself as an international cigarette company among customers. Organization was founded in 1901 and  generated revenue around 3,256.2 crores GBP (2020) (Finance.yahoo.com, 2023). Using various activity organizational approaches for continuous productivity and cost management has been evaluated by analyzing financial reports of the last 5 years. This organization has been operating business activity in approximately 30 countries which provided excellent opportunities for revenue and maintained excellence in portability development. Organization activity has been performing based on the leadership approach which is presenting information about marketing strategies and decision making ability for growth. Evaluation of financial report going to describe organizational performance in the last 5 years and provide perspective of further business activity. </w:t>
      </w:r>
    </w:p>
    <w:p w14:paraId="10E34365" w14:textId="77777777" w:rsidR="00D213D0" w:rsidRPr="00FC6C4D" w:rsidRDefault="00000000" w:rsidP="00AA6A7F">
      <w:pPr>
        <w:pStyle w:val="Heading1"/>
        <w:spacing w:line="480" w:lineRule="auto"/>
      </w:pPr>
      <w:bookmarkStart w:id="3" w:name="_kmrn8av5ik0z" w:colFirst="0" w:colLast="0"/>
      <w:bookmarkStart w:id="4" w:name="_Toc138279535"/>
      <w:bookmarkEnd w:id="3"/>
      <w:r w:rsidRPr="00FC6C4D">
        <w:t>(ii) Ratio analysis and interpretation of financial information</w:t>
      </w:r>
      <w:bookmarkEnd w:id="4"/>
      <w:r w:rsidRPr="00FC6C4D">
        <w:t xml:space="preserve"> </w:t>
      </w:r>
    </w:p>
    <w:p w14:paraId="799D38DA"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36"/>
        <w:gridCol w:w="3148"/>
        <w:gridCol w:w="3808"/>
        <w:gridCol w:w="1365"/>
        <w:gridCol w:w="603"/>
      </w:tblGrid>
      <w:tr w:rsidR="00D213D0" w:rsidRPr="00FC6C4D" w14:paraId="199349BB" w14:textId="77777777">
        <w:trPr>
          <w:trHeight w:val="575"/>
        </w:trPr>
        <w:tc>
          <w:tcPr>
            <w:tcW w:w="9358" w:type="dxa"/>
            <w:gridSpan w:val="5"/>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1F9B081F"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Profitability ratio</w:t>
            </w:r>
          </w:p>
        </w:tc>
      </w:tr>
      <w:tr w:rsidR="00D213D0" w:rsidRPr="00FC6C4D" w14:paraId="3FB8FD3D"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28054D0" w14:textId="77777777" w:rsidR="00D213D0" w:rsidRPr="00FC6C4D" w:rsidRDefault="00000000" w:rsidP="00AA6A7F">
            <w:pPr>
              <w:spacing w:before="240" w:line="480" w:lineRule="auto"/>
              <w:jc w:val="center"/>
              <w:rPr>
                <w:rFonts w:ascii="Times New Roman" w:eastAsia="Times New Roman" w:hAnsi="Times New Roman" w:cs="Times New Roman"/>
                <w:b/>
                <w:i/>
                <w:sz w:val="24"/>
                <w:szCs w:val="24"/>
              </w:rPr>
            </w:pPr>
            <w:r w:rsidRPr="00FC6C4D">
              <w:rPr>
                <w:rFonts w:ascii="Times New Roman" w:eastAsia="Times New Roman" w:hAnsi="Times New Roman" w:cs="Times New Roman"/>
                <w:b/>
                <w:i/>
                <w:sz w:val="24"/>
                <w:szCs w:val="24"/>
              </w:rPr>
              <w:t xml:space="preserve"> </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0428D26"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Net Profit Ratio</w:t>
            </w:r>
          </w:p>
        </w:tc>
        <w:tc>
          <w:tcPr>
            <w:tcW w:w="38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42DBFA0"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Formula</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A1D2848"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 xml:space="preserve"> Amount </w:t>
            </w:r>
          </w:p>
        </w:tc>
        <w:tc>
          <w:tcPr>
            <w:tcW w:w="60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B9F0CC1"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Ratio</w:t>
            </w:r>
          </w:p>
        </w:tc>
      </w:tr>
      <w:tr w:rsidR="00D213D0" w:rsidRPr="00FC6C4D" w14:paraId="4E89CD64"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6D7DEAF"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Year</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286AB0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Net Profit</w:t>
            </w:r>
          </w:p>
        </w:tc>
        <w:tc>
          <w:tcPr>
            <w:tcW w:w="3807" w:type="dxa"/>
            <w:vMerge w:val="restart"/>
            <w:tcBorders>
              <w:top w:val="nil"/>
              <w:left w:val="nil"/>
              <w:bottom w:val="nil"/>
              <w:right w:val="single" w:sz="5" w:space="0" w:color="000000"/>
            </w:tcBorders>
            <w:shd w:val="clear" w:color="auto" w:fill="auto"/>
            <w:tcMar>
              <w:top w:w="100" w:type="dxa"/>
              <w:left w:w="100" w:type="dxa"/>
              <w:bottom w:w="100" w:type="dxa"/>
              <w:right w:w="100" w:type="dxa"/>
            </w:tcMar>
          </w:tcPr>
          <w:p w14:paraId="535C0202"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(Net Profit/Sales)*100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BC5F81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15,70,000.00</w:t>
            </w:r>
          </w:p>
        </w:tc>
        <w:tc>
          <w:tcPr>
            <w:tcW w:w="603"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4CB83B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4.82%</w:t>
            </w:r>
          </w:p>
        </w:tc>
      </w:tr>
      <w:tr w:rsidR="00D213D0" w:rsidRPr="00FC6C4D" w14:paraId="4E523422"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799461B"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2022</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E2325F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Sales</w:t>
            </w:r>
          </w:p>
        </w:tc>
        <w:tc>
          <w:tcPr>
            <w:tcW w:w="3807" w:type="dxa"/>
            <w:vMerge/>
            <w:tcBorders>
              <w:top w:val="nil"/>
              <w:left w:val="nil"/>
              <w:bottom w:val="nil"/>
              <w:right w:val="single" w:sz="5" w:space="0" w:color="000000"/>
            </w:tcBorders>
            <w:shd w:val="clear" w:color="auto" w:fill="auto"/>
            <w:tcMar>
              <w:top w:w="100" w:type="dxa"/>
              <w:left w:w="100" w:type="dxa"/>
              <w:bottom w:w="100" w:type="dxa"/>
              <w:right w:w="100" w:type="dxa"/>
            </w:tcMar>
          </w:tcPr>
          <w:p w14:paraId="557367DD"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76476E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3,25,51,000.00</w:t>
            </w:r>
          </w:p>
        </w:tc>
        <w:tc>
          <w:tcPr>
            <w:tcW w:w="603"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4327227"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46235915"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2A6E0D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70C151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Net Profit</w:t>
            </w:r>
          </w:p>
        </w:tc>
        <w:tc>
          <w:tcPr>
            <w:tcW w:w="3807" w:type="dxa"/>
            <w:vMerge/>
            <w:tcBorders>
              <w:top w:val="nil"/>
              <w:left w:val="nil"/>
              <w:bottom w:val="nil"/>
              <w:right w:val="single" w:sz="5" w:space="0" w:color="000000"/>
            </w:tcBorders>
            <w:shd w:val="clear" w:color="auto" w:fill="auto"/>
            <w:tcMar>
              <w:top w:w="100" w:type="dxa"/>
              <w:left w:w="100" w:type="dxa"/>
              <w:bottom w:w="100" w:type="dxa"/>
              <w:right w:w="100" w:type="dxa"/>
            </w:tcMar>
          </w:tcPr>
          <w:p w14:paraId="4592A2D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57D2F5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28,34,000.00</w:t>
            </w:r>
          </w:p>
        </w:tc>
        <w:tc>
          <w:tcPr>
            <w:tcW w:w="603"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E8E5A1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8.64%</w:t>
            </w:r>
          </w:p>
        </w:tc>
      </w:tr>
      <w:tr w:rsidR="00D213D0" w:rsidRPr="00FC6C4D" w14:paraId="0D12F690"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51D58F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2021</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1EAC98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Sales</w:t>
            </w:r>
          </w:p>
        </w:tc>
        <w:tc>
          <w:tcPr>
            <w:tcW w:w="3807" w:type="dxa"/>
            <w:vMerge/>
            <w:tcBorders>
              <w:top w:val="nil"/>
              <w:left w:val="nil"/>
              <w:bottom w:val="nil"/>
              <w:right w:val="single" w:sz="5" w:space="0" w:color="000000"/>
            </w:tcBorders>
            <w:shd w:val="clear" w:color="auto" w:fill="auto"/>
            <w:tcMar>
              <w:top w:w="100" w:type="dxa"/>
              <w:left w:w="100" w:type="dxa"/>
              <w:bottom w:w="100" w:type="dxa"/>
              <w:right w:w="100" w:type="dxa"/>
            </w:tcMar>
          </w:tcPr>
          <w:p w14:paraId="07414889"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E886E1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3,27,91,000.00</w:t>
            </w:r>
          </w:p>
        </w:tc>
        <w:tc>
          <w:tcPr>
            <w:tcW w:w="603"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2F506CF"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1A7CC067"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B89B11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C5C2B8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Net Profit</w:t>
            </w:r>
          </w:p>
        </w:tc>
        <w:tc>
          <w:tcPr>
            <w:tcW w:w="3807" w:type="dxa"/>
            <w:vMerge/>
            <w:tcBorders>
              <w:top w:val="nil"/>
              <w:left w:val="nil"/>
              <w:bottom w:val="nil"/>
              <w:right w:val="single" w:sz="5" w:space="0" w:color="000000"/>
            </w:tcBorders>
            <w:shd w:val="clear" w:color="auto" w:fill="auto"/>
            <w:tcMar>
              <w:top w:w="100" w:type="dxa"/>
              <w:left w:w="100" w:type="dxa"/>
              <w:bottom w:w="100" w:type="dxa"/>
              <w:right w:w="100" w:type="dxa"/>
            </w:tcMar>
          </w:tcPr>
          <w:p w14:paraId="56FE6C49"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98D224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14,95,000.00</w:t>
            </w:r>
          </w:p>
        </w:tc>
        <w:tc>
          <w:tcPr>
            <w:tcW w:w="603"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669F8D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4.59%</w:t>
            </w:r>
          </w:p>
        </w:tc>
      </w:tr>
      <w:tr w:rsidR="00D213D0" w:rsidRPr="00FC6C4D" w14:paraId="3184F708"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EEDF6E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2020</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A25BA5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Sales</w:t>
            </w:r>
          </w:p>
        </w:tc>
        <w:tc>
          <w:tcPr>
            <w:tcW w:w="3807" w:type="dxa"/>
            <w:vMerge/>
            <w:tcBorders>
              <w:top w:val="nil"/>
              <w:left w:val="nil"/>
              <w:bottom w:val="nil"/>
              <w:right w:val="single" w:sz="5" w:space="0" w:color="000000"/>
            </w:tcBorders>
            <w:shd w:val="clear" w:color="auto" w:fill="auto"/>
            <w:tcMar>
              <w:top w:w="100" w:type="dxa"/>
              <w:left w:w="100" w:type="dxa"/>
              <w:bottom w:w="100" w:type="dxa"/>
              <w:right w:w="100" w:type="dxa"/>
            </w:tcMar>
          </w:tcPr>
          <w:p w14:paraId="246A347C"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96C383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3,25,62,000.00</w:t>
            </w:r>
          </w:p>
        </w:tc>
        <w:tc>
          <w:tcPr>
            <w:tcW w:w="603"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B54E2D"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3DD5DD29"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505A9D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 xml:space="preserve"> </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551CFA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Net Profit</w:t>
            </w:r>
          </w:p>
        </w:tc>
        <w:tc>
          <w:tcPr>
            <w:tcW w:w="3807" w:type="dxa"/>
            <w:vMerge/>
            <w:tcBorders>
              <w:top w:val="nil"/>
              <w:left w:val="nil"/>
              <w:bottom w:val="nil"/>
              <w:right w:val="single" w:sz="5" w:space="0" w:color="000000"/>
            </w:tcBorders>
            <w:shd w:val="clear" w:color="auto" w:fill="auto"/>
            <w:tcMar>
              <w:top w:w="100" w:type="dxa"/>
              <w:left w:w="100" w:type="dxa"/>
              <w:bottom w:w="100" w:type="dxa"/>
              <w:right w:w="100" w:type="dxa"/>
            </w:tcMar>
          </w:tcPr>
          <w:p w14:paraId="3E985A77"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5D3596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10,10,000.00</w:t>
            </w:r>
          </w:p>
        </w:tc>
        <w:tc>
          <w:tcPr>
            <w:tcW w:w="603"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81A8E6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3.20%</w:t>
            </w:r>
          </w:p>
        </w:tc>
      </w:tr>
      <w:tr w:rsidR="00D213D0" w:rsidRPr="00FC6C4D" w14:paraId="1A20715E"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0923C4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2019</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1EFCC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Sales</w:t>
            </w:r>
          </w:p>
        </w:tc>
        <w:tc>
          <w:tcPr>
            <w:tcW w:w="3807" w:type="dxa"/>
            <w:vMerge/>
            <w:tcBorders>
              <w:top w:val="nil"/>
              <w:left w:val="nil"/>
              <w:bottom w:val="nil"/>
              <w:right w:val="single" w:sz="5" w:space="0" w:color="000000"/>
            </w:tcBorders>
            <w:shd w:val="clear" w:color="auto" w:fill="auto"/>
            <w:tcMar>
              <w:top w:w="100" w:type="dxa"/>
              <w:left w:w="100" w:type="dxa"/>
              <w:bottom w:w="100" w:type="dxa"/>
              <w:right w:w="100" w:type="dxa"/>
            </w:tcMar>
          </w:tcPr>
          <w:p w14:paraId="60D3623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86B934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3,15,94,000.00</w:t>
            </w:r>
          </w:p>
        </w:tc>
        <w:tc>
          <w:tcPr>
            <w:tcW w:w="603"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FCCBBA"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23C28BFC"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9A9F1F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7B4BA9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Net Profit</w:t>
            </w:r>
          </w:p>
        </w:tc>
        <w:tc>
          <w:tcPr>
            <w:tcW w:w="3807" w:type="dxa"/>
            <w:vMerge/>
            <w:tcBorders>
              <w:top w:val="nil"/>
              <w:left w:val="nil"/>
              <w:bottom w:val="nil"/>
              <w:right w:val="single" w:sz="5" w:space="0" w:color="000000"/>
            </w:tcBorders>
            <w:shd w:val="clear" w:color="auto" w:fill="auto"/>
            <w:tcMar>
              <w:top w:w="100" w:type="dxa"/>
              <w:left w:w="100" w:type="dxa"/>
              <w:bottom w:w="100" w:type="dxa"/>
              <w:right w:w="100" w:type="dxa"/>
            </w:tcMar>
          </w:tcPr>
          <w:p w14:paraId="2B672A9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FD9C6B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8,58,500.00</w:t>
            </w:r>
          </w:p>
        </w:tc>
        <w:tc>
          <w:tcPr>
            <w:tcW w:w="603"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0A9F90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2.86%</w:t>
            </w:r>
          </w:p>
        </w:tc>
      </w:tr>
      <w:tr w:rsidR="00D213D0" w:rsidRPr="00FC6C4D" w14:paraId="28FF397C" w14:textId="77777777">
        <w:trPr>
          <w:trHeight w:val="575"/>
        </w:trPr>
        <w:tc>
          <w:tcPr>
            <w:tcW w:w="436" w:type="dxa"/>
            <w:tcBorders>
              <w:top w:val="nil"/>
              <w:left w:val="single" w:sz="5" w:space="0" w:color="000000"/>
              <w:bottom w:val="nil"/>
              <w:right w:val="single" w:sz="5" w:space="0" w:color="000000"/>
            </w:tcBorders>
            <w:shd w:val="clear" w:color="auto" w:fill="auto"/>
            <w:tcMar>
              <w:top w:w="100" w:type="dxa"/>
              <w:left w:w="100" w:type="dxa"/>
              <w:bottom w:w="100" w:type="dxa"/>
              <w:right w:w="100" w:type="dxa"/>
            </w:tcMar>
            <w:vAlign w:val="bottom"/>
          </w:tcPr>
          <w:p w14:paraId="7980F63F"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2018</w:t>
            </w:r>
          </w:p>
        </w:tc>
        <w:tc>
          <w:tcPr>
            <w:tcW w:w="3147"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6373B57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Sales</w:t>
            </w:r>
          </w:p>
        </w:tc>
        <w:tc>
          <w:tcPr>
            <w:tcW w:w="3807" w:type="dxa"/>
            <w:vMerge/>
            <w:tcBorders>
              <w:top w:val="nil"/>
              <w:left w:val="nil"/>
              <w:bottom w:val="nil"/>
              <w:right w:val="single" w:sz="5" w:space="0" w:color="000000"/>
            </w:tcBorders>
            <w:shd w:val="clear" w:color="auto" w:fill="auto"/>
            <w:tcMar>
              <w:top w:w="100" w:type="dxa"/>
              <w:left w:w="100" w:type="dxa"/>
              <w:bottom w:w="100" w:type="dxa"/>
              <w:right w:w="100" w:type="dxa"/>
            </w:tcMar>
          </w:tcPr>
          <w:p w14:paraId="69056354"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nil"/>
              <w:right w:val="single" w:sz="5" w:space="0" w:color="000000"/>
            </w:tcBorders>
            <w:shd w:val="clear" w:color="auto" w:fill="auto"/>
            <w:tcMar>
              <w:top w:w="100" w:type="dxa"/>
              <w:left w:w="100" w:type="dxa"/>
              <w:bottom w:w="100" w:type="dxa"/>
              <w:right w:w="100" w:type="dxa"/>
            </w:tcMar>
            <w:vAlign w:val="bottom"/>
          </w:tcPr>
          <w:p w14:paraId="0EC08A3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3,00,14,300.00</w:t>
            </w:r>
          </w:p>
        </w:tc>
        <w:tc>
          <w:tcPr>
            <w:tcW w:w="603"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B828399"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40057F93" w14:textId="77777777">
        <w:trPr>
          <w:trHeight w:val="575"/>
        </w:trPr>
        <w:tc>
          <w:tcPr>
            <w:tcW w:w="9358" w:type="dxa"/>
            <w:gridSpan w:val="5"/>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24D06A9"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ROCE</w:t>
            </w:r>
          </w:p>
        </w:tc>
      </w:tr>
      <w:tr w:rsidR="00D213D0" w:rsidRPr="00FC6C4D" w14:paraId="2AF5BC05"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DFBFFBF"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Year</w:t>
            </w:r>
          </w:p>
        </w:tc>
        <w:tc>
          <w:tcPr>
            <w:tcW w:w="314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78F17F5"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 xml:space="preserve"> </w:t>
            </w:r>
          </w:p>
        </w:tc>
        <w:tc>
          <w:tcPr>
            <w:tcW w:w="38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796D61E"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Formula</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0A0F4A5"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 xml:space="preserve"> Amount </w:t>
            </w:r>
          </w:p>
        </w:tc>
        <w:tc>
          <w:tcPr>
            <w:tcW w:w="60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9D63D2C"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Ratio</w:t>
            </w:r>
          </w:p>
        </w:tc>
      </w:tr>
      <w:tr w:rsidR="00D213D0" w:rsidRPr="00FC6C4D" w14:paraId="0CEEA118"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03AC92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2022</w:t>
            </w:r>
          </w:p>
        </w:tc>
        <w:tc>
          <w:tcPr>
            <w:tcW w:w="3147" w:type="dxa"/>
            <w:tcBorders>
              <w:top w:val="nil"/>
              <w:left w:val="nil"/>
              <w:bottom w:val="nil"/>
              <w:right w:val="nil"/>
            </w:tcBorders>
            <w:shd w:val="clear" w:color="auto" w:fill="auto"/>
            <w:tcMar>
              <w:top w:w="100" w:type="dxa"/>
              <w:left w:w="100" w:type="dxa"/>
              <w:bottom w:w="100" w:type="dxa"/>
              <w:right w:w="100" w:type="dxa"/>
            </w:tcMar>
            <w:vAlign w:val="bottom"/>
          </w:tcPr>
          <w:p w14:paraId="5A44E0D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EBIT</w:t>
            </w:r>
          </w:p>
        </w:tc>
        <w:tc>
          <w:tcPr>
            <w:tcW w:w="3807"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F72B755"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EBIT / Capital employed = Total asset - Current liabilities</w:t>
            </w:r>
          </w:p>
        </w:tc>
        <w:tc>
          <w:tcPr>
            <w:tcW w:w="1365" w:type="dxa"/>
            <w:tcBorders>
              <w:top w:val="nil"/>
              <w:left w:val="nil"/>
              <w:bottom w:val="nil"/>
              <w:right w:val="nil"/>
            </w:tcBorders>
            <w:shd w:val="clear" w:color="auto" w:fill="auto"/>
            <w:tcMar>
              <w:top w:w="100" w:type="dxa"/>
              <w:left w:w="100" w:type="dxa"/>
              <w:bottom w:w="100" w:type="dxa"/>
              <w:right w:w="100" w:type="dxa"/>
            </w:tcMar>
            <w:vAlign w:val="bottom"/>
          </w:tcPr>
          <w:p w14:paraId="0EEFEAD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60,38,000.00</w:t>
            </w:r>
          </w:p>
        </w:tc>
        <w:tc>
          <w:tcPr>
            <w:tcW w:w="603"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510B4A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30.47%</w:t>
            </w:r>
          </w:p>
        </w:tc>
      </w:tr>
      <w:tr w:rsidR="00D213D0" w:rsidRPr="00FC6C4D" w14:paraId="6EA107E2"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9A6BAF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3147"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C5F2D6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 = Total asset - Current liabilities</w:t>
            </w:r>
          </w:p>
        </w:tc>
        <w:tc>
          <w:tcPr>
            <w:tcW w:w="3807"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A5DD7E7"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D30B30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1,98,19,000.00</w:t>
            </w:r>
          </w:p>
        </w:tc>
        <w:tc>
          <w:tcPr>
            <w:tcW w:w="60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051D68F"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4BB96C09"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2B8646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2021</w:t>
            </w:r>
          </w:p>
        </w:tc>
        <w:tc>
          <w:tcPr>
            <w:tcW w:w="3147" w:type="dxa"/>
            <w:tcBorders>
              <w:top w:val="nil"/>
              <w:left w:val="nil"/>
              <w:bottom w:val="nil"/>
              <w:right w:val="nil"/>
            </w:tcBorders>
            <w:shd w:val="clear" w:color="auto" w:fill="auto"/>
            <w:tcMar>
              <w:top w:w="100" w:type="dxa"/>
              <w:left w:w="100" w:type="dxa"/>
              <w:bottom w:w="100" w:type="dxa"/>
              <w:right w:w="100" w:type="dxa"/>
            </w:tcMar>
            <w:vAlign w:val="bottom"/>
          </w:tcPr>
          <w:p w14:paraId="66F1CF9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EBIT</w:t>
            </w:r>
          </w:p>
        </w:tc>
        <w:tc>
          <w:tcPr>
            <w:tcW w:w="3807"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5B4ADF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nil"/>
              <w:right w:val="nil"/>
            </w:tcBorders>
            <w:shd w:val="clear" w:color="auto" w:fill="auto"/>
            <w:tcMar>
              <w:top w:w="100" w:type="dxa"/>
              <w:left w:w="100" w:type="dxa"/>
              <w:bottom w:w="100" w:type="dxa"/>
              <w:right w:w="100" w:type="dxa"/>
            </w:tcMar>
            <w:vAlign w:val="bottom"/>
          </w:tcPr>
          <w:p w14:paraId="5F82B0B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60,27,000.00</w:t>
            </w:r>
          </w:p>
        </w:tc>
        <w:tc>
          <w:tcPr>
            <w:tcW w:w="603"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3C29AC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32.97%</w:t>
            </w:r>
          </w:p>
        </w:tc>
      </w:tr>
      <w:tr w:rsidR="00D213D0" w:rsidRPr="00FC6C4D" w14:paraId="03BEC205"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3726CA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3147"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7BE7B1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 = Total asset - Current liabilities</w:t>
            </w:r>
          </w:p>
        </w:tc>
        <w:tc>
          <w:tcPr>
            <w:tcW w:w="3807"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185CF77"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574F07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1,82,82,000.00</w:t>
            </w:r>
          </w:p>
        </w:tc>
        <w:tc>
          <w:tcPr>
            <w:tcW w:w="60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239856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43C74EB6"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825DCE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2020</w:t>
            </w:r>
          </w:p>
        </w:tc>
        <w:tc>
          <w:tcPr>
            <w:tcW w:w="3147" w:type="dxa"/>
            <w:tcBorders>
              <w:top w:val="nil"/>
              <w:left w:val="nil"/>
              <w:bottom w:val="nil"/>
              <w:right w:val="nil"/>
            </w:tcBorders>
            <w:shd w:val="clear" w:color="auto" w:fill="auto"/>
            <w:tcMar>
              <w:top w:w="100" w:type="dxa"/>
              <w:left w:w="100" w:type="dxa"/>
              <w:bottom w:w="100" w:type="dxa"/>
              <w:right w:w="100" w:type="dxa"/>
            </w:tcMar>
            <w:vAlign w:val="bottom"/>
          </w:tcPr>
          <w:p w14:paraId="6F97A43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EBIT</w:t>
            </w:r>
          </w:p>
        </w:tc>
        <w:tc>
          <w:tcPr>
            <w:tcW w:w="3807"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84A5B5"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nil"/>
              <w:right w:val="nil"/>
            </w:tcBorders>
            <w:shd w:val="clear" w:color="auto" w:fill="auto"/>
            <w:tcMar>
              <w:top w:w="100" w:type="dxa"/>
              <w:left w:w="100" w:type="dxa"/>
              <w:bottom w:w="100" w:type="dxa"/>
              <w:right w:w="100" w:type="dxa"/>
            </w:tcMar>
            <w:vAlign w:val="bottom"/>
          </w:tcPr>
          <w:p w14:paraId="26D5D9D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61,80,000.00</w:t>
            </w:r>
          </w:p>
        </w:tc>
        <w:tc>
          <w:tcPr>
            <w:tcW w:w="603"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7511B7D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30.92%</w:t>
            </w:r>
          </w:p>
        </w:tc>
      </w:tr>
      <w:tr w:rsidR="00D213D0" w:rsidRPr="00FC6C4D" w14:paraId="34BF281A"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023633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 xml:space="preserve"> </w:t>
            </w:r>
          </w:p>
        </w:tc>
        <w:tc>
          <w:tcPr>
            <w:tcW w:w="3147"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8A26A0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 = Total asset - Current liabilities</w:t>
            </w:r>
          </w:p>
        </w:tc>
        <w:tc>
          <w:tcPr>
            <w:tcW w:w="3807"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9C9A293"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76E9EC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1,99,85,000.00</w:t>
            </w:r>
          </w:p>
        </w:tc>
        <w:tc>
          <w:tcPr>
            <w:tcW w:w="60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9CDBC5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0953BB3F"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47246C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2019</w:t>
            </w:r>
          </w:p>
        </w:tc>
        <w:tc>
          <w:tcPr>
            <w:tcW w:w="3147" w:type="dxa"/>
            <w:tcBorders>
              <w:top w:val="nil"/>
              <w:left w:val="nil"/>
              <w:bottom w:val="nil"/>
              <w:right w:val="nil"/>
            </w:tcBorders>
            <w:shd w:val="clear" w:color="auto" w:fill="auto"/>
            <w:tcMar>
              <w:top w:w="100" w:type="dxa"/>
              <w:left w:w="100" w:type="dxa"/>
              <w:bottom w:w="100" w:type="dxa"/>
              <w:right w:w="100" w:type="dxa"/>
            </w:tcMar>
            <w:vAlign w:val="bottom"/>
          </w:tcPr>
          <w:p w14:paraId="4F116E1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EBIT</w:t>
            </w:r>
          </w:p>
        </w:tc>
        <w:tc>
          <w:tcPr>
            <w:tcW w:w="3807"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AB984F4"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nil"/>
              <w:right w:val="nil"/>
            </w:tcBorders>
            <w:shd w:val="clear" w:color="auto" w:fill="auto"/>
            <w:tcMar>
              <w:top w:w="100" w:type="dxa"/>
              <w:left w:w="100" w:type="dxa"/>
              <w:bottom w:w="100" w:type="dxa"/>
              <w:right w:w="100" w:type="dxa"/>
            </w:tcMar>
            <w:vAlign w:val="bottom"/>
          </w:tcPr>
          <w:p w14:paraId="6A2E769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62,40,000.00</w:t>
            </w:r>
          </w:p>
        </w:tc>
        <w:tc>
          <w:tcPr>
            <w:tcW w:w="603"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388FCB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29.23%</w:t>
            </w:r>
          </w:p>
        </w:tc>
      </w:tr>
      <w:tr w:rsidR="00D213D0" w:rsidRPr="00FC6C4D" w14:paraId="3AD452E2"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C430D4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3147"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361D2E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 = Total asset - Current liabilities</w:t>
            </w:r>
          </w:p>
        </w:tc>
        <w:tc>
          <w:tcPr>
            <w:tcW w:w="3807"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AE5E8D3"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121C3D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2,13,48,000.00</w:t>
            </w:r>
          </w:p>
        </w:tc>
        <w:tc>
          <w:tcPr>
            <w:tcW w:w="60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763CDA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34D18892"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E7C872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2018</w:t>
            </w:r>
          </w:p>
        </w:tc>
        <w:tc>
          <w:tcPr>
            <w:tcW w:w="3147" w:type="dxa"/>
            <w:tcBorders>
              <w:top w:val="nil"/>
              <w:left w:val="nil"/>
              <w:bottom w:val="nil"/>
              <w:right w:val="nil"/>
            </w:tcBorders>
            <w:shd w:val="clear" w:color="auto" w:fill="auto"/>
            <w:tcMar>
              <w:top w:w="100" w:type="dxa"/>
              <w:left w:w="100" w:type="dxa"/>
              <w:bottom w:w="100" w:type="dxa"/>
              <w:right w:w="100" w:type="dxa"/>
            </w:tcMar>
            <w:vAlign w:val="bottom"/>
          </w:tcPr>
          <w:p w14:paraId="0A5B032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EBIT</w:t>
            </w:r>
          </w:p>
        </w:tc>
        <w:tc>
          <w:tcPr>
            <w:tcW w:w="3807"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095747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nil"/>
              <w:right w:val="nil"/>
            </w:tcBorders>
            <w:shd w:val="clear" w:color="auto" w:fill="auto"/>
            <w:tcMar>
              <w:top w:w="100" w:type="dxa"/>
              <w:left w:w="100" w:type="dxa"/>
              <w:bottom w:w="100" w:type="dxa"/>
              <w:right w:w="100" w:type="dxa"/>
            </w:tcMar>
            <w:vAlign w:val="bottom"/>
          </w:tcPr>
          <w:p w14:paraId="60A0FB8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56,78,400.00</w:t>
            </w:r>
          </w:p>
        </w:tc>
        <w:tc>
          <w:tcPr>
            <w:tcW w:w="603"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ADD3F4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30.74%</w:t>
            </w:r>
          </w:p>
        </w:tc>
      </w:tr>
      <w:tr w:rsidR="00D213D0" w:rsidRPr="00FC6C4D" w14:paraId="01272A65" w14:textId="77777777">
        <w:trPr>
          <w:trHeight w:val="575"/>
        </w:trPr>
        <w:tc>
          <w:tcPr>
            <w:tcW w:w="436"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571139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3147"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E097DC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 = Total asset - Current liabilities</w:t>
            </w:r>
          </w:p>
        </w:tc>
        <w:tc>
          <w:tcPr>
            <w:tcW w:w="3807"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D2BAAD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F45C8A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1,84,70,280.00</w:t>
            </w:r>
          </w:p>
        </w:tc>
        <w:tc>
          <w:tcPr>
            <w:tcW w:w="60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32EB01E"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bl>
    <w:p w14:paraId="569220B5" w14:textId="77777777" w:rsidR="00D213D0" w:rsidRPr="00FC6C4D" w:rsidRDefault="00D213D0" w:rsidP="00AA6A7F">
      <w:pPr>
        <w:spacing w:line="480" w:lineRule="auto"/>
        <w:jc w:val="center"/>
        <w:rPr>
          <w:rFonts w:ascii="Times New Roman" w:eastAsia="Times New Roman" w:hAnsi="Times New Roman" w:cs="Times New Roman"/>
          <w:sz w:val="24"/>
          <w:szCs w:val="24"/>
        </w:rPr>
      </w:pPr>
    </w:p>
    <w:p w14:paraId="3EFDAC8D"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 xml:space="preserve">Profitability ratio has describing information regarding Net profit margin and return on capital employed. Evaluation of net profit margin has described continuous growth up to financial year 2021 because of NP margin 8.64%,  whereas it has fallen down to 4.8 to percentage in financial year 2022 (Vogel, 2020). Revenue volume of the organization has fallen down in financial year 2022 that is the reason behind the deficit in net profit margin. </w:t>
      </w:r>
    </w:p>
    <w:p w14:paraId="24D178A3"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Return on capital employed of the organization has been identified as 30.74 percent in the financial year 2018 which has been projected to increase to 32.97% in the financial year 2021. This positive growth has been considered as an organizational success in financial planning and also provides it with sufficient flow of resources for business expansion (Chang </w:t>
      </w:r>
      <w:r w:rsidRPr="00FC6C4D">
        <w:rPr>
          <w:rFonts w:ascii="Times New Roman" w:eastAsia="Times New Roman" w:hAnsi="Times New Roman" w:cs="Times New Roman"/>
          <w:i/>
          <w:sz w:val="24"/>
          <w:szCs w:val="24"/>
        </w:rPr>
        <w:t xml:space="preserve">et al. </w:t>
      </w:r>
      <w:r w:rsidRPr="00FC6C4D">
        <w:rPr>
          <w:rFonts w:ascii="Times New Roman" w:eastAsia="Times New Roman" w:hAnsi="Times New Roman" w:cs="Times New Roman"/>
          <w:sz w:val="24"/>
          <w:szCs w:val="24"/>
        </w:rPr>
        <w:t xml:space="preserve">2019). </w:t>
      </w:r>
    </w:p>
    <w:tbl>
      <w:tblPr>
        <w:tblStyle w:val="a0"/>
        <w:tblW w:w="8865" w:type="dxa"/>
        <w:tblBorders>
          <w:top w:val="nil"/>
          <w:left w:val="nil"/>
          <w:bottom w:val="nil"/>
          <w:right w:val="nil"/>
          <w:insideH w:val="nil"/>
          <w:insideV w:val="nil"/>
        </w:tblBorders>
        <w:tblLayout w:type="fixed"/>
        <w:tblLook w:val="0600" w:firstRow="0" w:lastRow="0" w:firstColumn="0" w:lastColumn="0" w:noHBand="1" w:noVBand="1"/>
      </w:tblPr>
      <w:tblGrid>
        <w:gridCol w:w="705"/>
        <w:gridCol w:w="2535"/>
        <w:gridCol w:w="2535"/>
        <w:gridCol w:w="2295"/>
        <w:gridCol w:w="795"/>
      </w:tblGrid>
      <w:tr w:rsidR="00D213D0" w:rsidRPr="00FC6C4D" w14:paraId="13E88825" w14:textId="77777777">
        <w:trPr>
          <w:trHeight w:val="575"/>
        </w:trPr>
        <w:tc>
          <w:tcPr>
            <w:tcW w:w="8865" w:type="dxa"/>
            <w:gridSpan w:val="5"/>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130DCFC6"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Efficiency ratios</w:t>
            </w:r>
          </w:p>
        </w:tc>
      </w:tr>
      <w:tr w:rsidR="00D213D0" w:rsidRPr="00FC6C4D" w14:paraId="14B16923" w14:textId="77777777">
        <w:trPr>
          <w:trHeight w:val="575"/>
        </w:trPr>
        <w:tc>
          <w:tcPr>
            <w:tcW w:w="705" w:type="dxa"/>
            <w:tcBorders>
              <w:top w:val="nil"/>
              <w:left w:val="single" w:sz="5" w:space="0" w:color="000000"/>
              <w:bottom w:val="nil"/>
              <w:right w:val="nil"/>
            </w:tcBorders>
            <w:shd w:val="clear" w:color="auto" w:fill="auto"/>
            <w:tcMar>
              <w:top w:w="100" w:type="dxa"/>
              <w:left w:w="100" w:type="dxa"/>
              <w:bottom w:w="100" w:type="dxa"/>
              <w:right w:w="100" w:type="dxa"/>
            </w:tcMar>
            <w:vAlign w:val="bottom"/>
          </w:tcPr>
          <w:p w14:paraId="5ABBA32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53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B6F9D82"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Asset Turnover Ratio</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3FA6BDA"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Formula</w:t>
            </w:r>
          </w:p>
        </w:tc>
        <w:tc>
          <w:tcPr>
            <w:tcW w:w="22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9086C21"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 xml:space="preserve"> Amount </w:t>
            </w:r>
          </w:p>
        </w:tc>
        <w:tc>
          <w:tcPr>
            <w:tcW w:w="7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328F0F9"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Ratio</w:t>
            </w:r>
          </w:p>
        </w:tc>
      </w:tr>
      <w:tr w:rsidR="00D213D0" w:rsidRPr="00FC6C4D" w14:paraId="79578873" w14:textId="77777777">
        <w:trPr>
          <w:trHeight w:val="575"/>
        </w:trPr>
        <w:tc>
          <w:tcPr>
            <w:tcW w:w="705" w:type="dxa"/>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751B0DAC"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Year</w:t>
            </w:r>
          </w:p>
        </w:tc>
        <w:tc>
          <w:tcPr>
            <w:tcW w:w="2535" w:type="dxa"/>
            <w:tcBorders>
              <w:top w:val="nil"/>
              <w:left w:val="nil"/>
              <w:bottom w:val="nil"/>
              <w:right w:val="nil"/>
            </w:tcBorders>
            <w:shd w:val="clear" w:color="auto" w:fill="auto"/>
            <w:tcMar>
              <w:top w:w="100" w:type="dxa"/>
              <w:left w:w="100" w:type="dxa"/>
              <w:bottom w:w="100" w:type="dxa"/>
              <w:right w:w="100" w:type="dxa"/>
            </w:tcMar>
            <w:vAlign w:val="bottom"/>
          </w:tcPr>
          <w:p w14:paraId="29E874E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535" w:type="dxa"/>
            <w:vMerge w:val="restart"/>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55D9674E"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(Turnover/Sales)*100</w:t>
            </w: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105D0DA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79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CE286B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r>
      <w:tr w:rsidR="00D213D0" w:rsidRPr="00FC6C4D" w14:paraId="7C4E4CFB"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E1A9FC9"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2022</w:t>
            </w:r>
          </w:p>
        </w:tc>
        <w:tc>
          <w:tcPr>
            <w:tcW w:w="253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E70AD2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Turnover</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53B051F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2E44660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3,25,51,000.00</w:t>
            </w:r>
          </w:p>
        </w:tc>
        <w:tc>
          <w:tcPr>
            <w:tcW w:w="79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10B5F2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1.64</w:t>
            </w:r>
          </w:p>
        </w:tc>
      </w:tr>
      <w:tr w:rsidR="00D213D0" w:rsidRPr="00FC6C4D" w14:paraId="63C3B59A"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2EC360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AE1029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452DD544"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0A5B6D3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1,98,19,000.00</w:t>
            </w:r>
          </w:p>
        </w:tc>
        <w:tc>
          <w:tcPr>
            <w:tcW w:w="7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078C25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2CFBB14D"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61AD1D9"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2021</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DF16A2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Turnover</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2182C28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306D4C6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3,27,91,000.00</w:t>
            </w:r>
          </w:p>
        </w:tc>
        <w:tc>
          <w:tcPr>
            <w:tcW w:w="79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C19987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1.79</w:t>
            </w:r>
          </w:p>
        </w:tc>
      </w:tr>
      <w:tr w:rsidR="00D213D0" w:rsidRPr="00FC6C4D" w14:paraId="04FE9FB3"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ECDB24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43E6AA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298E3600"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4FBA73B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1,82,82,000.00</w:t>
            </w:r>
          </w:p>
        </w:tc>
        <w:tc>
          <w:tcPr>
            <w:tcW w:w="7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3EF62BE4"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5E372BC2"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7414FA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2020</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F9960E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Turnover</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1A286B3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1BA523C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3,25,62,000.00</w:t>
            </w:r>
          </w:p>
        </w:tc>
        <w:tc>
          <w:tcPr>
            <w:tcW w:w="79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959344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1.63</w:t>
            </w:r>
          </w:p>
        </w:tc>
      </w:tr>
      <w:tr w:rsidR="00D213D0" w:rsidRPr="00FC6C4D" w14:paraId="6EB7EBE6"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0596928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C7F67A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3EB971FA"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6B564FB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1,99,85,000.00</w:t>
            </w:r>
          </w:p>
        </w:tc>
        <w:tc>
          <w:tcPr>
            <w:tcW w:w="7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93D461E"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2EE5FC0D"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0E1D230"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2019</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2494A3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Turnover</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20AFE99B"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17A1B4C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3,15,94,000.00</w:t>
            </w:r>
          </w:p>
        </w:tc>
        <w:tc>
          <w:tcPr>
            <w:tcW w:w="79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1A1FFF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1.48</w:t>
            </w:r>
          </w:p>
        </w:tc>
      </w:tr>
      <w:tr w:rsidR="00D213D0" w:rsidRPr="00FC6C4D" w14:paraId="32223533"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8035D9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429F55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18B51C9D"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771773F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2,13,48,000.00</w:t>
            </w:r>
          </w:p>
        </w:tc>
        <w:tc>
          <w:tcPr>
            <w:tcW w:w="7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9C9E9FB"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2A46D8BB"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55FB86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2018</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431F6D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Turnover</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2BD7BBD9"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nil"/>
            </w:tcBorders>
            <w:shd w:val="clear" w:color="auto" w:fill="auto"/>
            <w:tcMar>
              <w:top w:w="100" w:type="dxa"/>
              <w:left w:w="100" w:type="dxa"/>
              <w:bottom w:w="100" w:type="dxa"/>
              <w:right w:w="100" w:type="dxa"/>
            </w:tcMar>
            <w:vAlign w:val="bottom"/>
          </w:tcPr>
          <w:p w14:paraId="0E4E459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3,00,14,300.00</w:t>
            </w:r>
          </w:p>
        </w:tc>
        <w:tc>
          <w:tcPr>
            <w:tcW w:w="795"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BD01F1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1.63</w:t>
            </w:r>
          </w:p>
        </w:tc>
      </w:tr>
      <w:tr w:rsidR="00D213D0" w:rsidRPr="00FC6C4D" w14:paraId="54D9CE14" w14:textId="77777777">
        <w:trPr>
          <w:trHeight w:val="575"/>
        </w:trPr>
        <w:tc>
          <w:tcPr>
            <w:tcW w:w="70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7AF54A2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5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F29F02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Capital employed</w:t>
            </w:r>
          </w:p>
        </w:tc>
        <w:tc>
          <w:tcPr>
            <w:tcW w:w="2535" w:type="dxa"/>
            <w:vMerge/>
            <w:tcBorders>
              <w:top w:val="nil"/>
              <w:left w:val="single" w:sz="5" w:space="0" w:color="000000"/>
              <w:bottom w:val="single" w:sz="5" w:space="0" w:color="000000"/>
              <w:right w:val="nil"/>
            </w:tcBorders>
            <w:shd w:val="clear" w:color="auto" w:fill="auto"/>
            <w:tcMar>
              <w:top w:w="100" w:type="dxa"/>
              <w:left w:w="100" w:type="dxa"/>
              <w:bottom w:w="100" w:type="dxa"/>
              <w:right w:w="100" w:type="dxa"/>
            </w:tcMar>
          </w:tcPr>
          <w:p w14:paraId="76EE5D3B"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295"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17B9D9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1,84,70,280.00</w:t>
            </w:r>
          </w:p>
        </w:tc>
        <w:tc>
          <w:tcPr>
            <w:tcW w:w="795"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E58845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bl>
    <w:p w14:paraId="42C3B267" w14:textId="77777777" w:rsidR="00D213D0" w:rsidRPr="00FC6C4D" w:rsidRDefault="00D213D0" w:rsidP="00AA6A7F">
      <w:pPr>
        <w:spacing w:line="480" w:lineRule="auto"/>
        <w:jc w:val="center"/>
        <w:rPr>
          <w:rFonts w:ascii="Times New Roman" w:eastAsia="Times New Roman" w:hAnsi="Times New Roman" w:cs="Times New Roman"/>
          <w:sz w:val="24"/>
          <w:szCs w:val="24"/>
        </w:rPr>
      </w:pPr>
    </w:p>
    <w:p w14:paraId="689FEACA" w14:textId="6CFBC40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Imperial brand PLC efficiency has been evaluated by identification of assets turnover ratio which is present 1.63 times in financial year 2018. Current performance of the organization presented information regarding 1.64 times assets turnover ratio in financial year 2022 which is producing organizational performance effectively in productivity and profitability the development using assets volume (Fisu </w:t>
      </w:r>
      <w:r w:rsidRPr="00FC6C4D">
        <w:rPr>
          <w:rFonts w:ascii="Times New Roman" w:eastAsia="Times New Roman" w:hAnsi="Times New Roman" w:cs="Times New Roman"/>
          <w:i/>
          <w:sz w:val="24"/>
          <w:szCs w:val="24"/>
        </w:rPr>
        <w:t xml:space="preserve">et al. </w:t>
      </w:r>
      <w:r w:rsidRPr="00FC6C4D">
        <w:rPr>
          <w:rFonts w:ascii="Times New Roman" w:eastAsia="Times New Roman" w:hAnsi="Times New Roman" w:cs="Times New Roman"/>
          <w:sz w:val="24"/>
          <w:szCs w:val="24"/>
        </w:rPr>
        <w:t xml:space="preserve">2020). According to asset turnover, organizational performance evaluates continuous population of business activity with </w:t>
      </w:r>
      <w:r w:rsidR="00F16321" w:rsidRPr="00FC6C4D">
        <w:rPr>
          <w:rFonts w:ascii="Times New Roman" w:eastAsia="Times New Roman" w:hAnsi="Times New Roman" w:cs="Times New Roman"/>
          <w:sz w:val="24"/>
          <w:szCs w:val="24"/>
        </w:rPr>
        <w:t>optimization</w:t>
      </w:r>
      <w:r w:rsidRPr="00FC6C4D">
        <w:rPr>
          <w:rFonts w:ascii="Times New Roman" w:eastAsia="Times New Roman" w:hAnsi="Times New Roman" w:cs="Times New Roman"/>
          <w:sz w:val="24"/>
          <w:szCs w:val="24"/>
        </w:rPr>
        <w:t xml:space="preserve"> of total assets providing excellence in Business expansion whereas assets turnover ratio has not been developed in the last 5 years (Tao </w:t>
      </w:r>
      <w:r w:rsidRPr="00FC6C4D">
        <w:rPr>
          <w:rFonts w:ascii="Times New Roman" w:eastAsia="Times New Roman" w:hAnsi="Times New Roman" w:cs="Times New Roman"/>
          <w:i/>
          <w:sz w:val="24"/>
          <w:szCs w:val="24"/>
        </w:rPr>
        <w:t xml:space="preserve">et al. </w:t>
      </w:r>
      <w:r w:rsidRPr="00FC6C4D">
        <w:rPr>
          <w:rFonts w:ascii="Times New Roman" w:eastAsia="Times New Roman" w:hAnsi="Times New Roman" w:cs="Times New Roman"/>
          <w:sz w:val="24"/>
          <w:szCs w:val="24"/>
        </w:rPr>
        <w:t xml:space="preserve">2022). </w:t>
      </w:r>
    </w:p>
    <w:p w14:paraId="59FF2B43"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684"/>
        <w:gridCol w:w="1933"/>
        <w:gridCol w:w="3837"/>
        <w:gridCol w:w="2136"/>
        <w:gridCol w:w="770"/>
      </w:tblGrid>
      <w:tr w:rsidR="00D213D0" w:rsidRPr="00FC6C4D" w14:paraId="7A0F24F9" w14:textId="77777777">
        <w:trPr>
          <w:trHeight w:val="575"/>
        </w:trPr>
        <w:tc>
          <w:tcPr>
            <w:tcW w:w="9359" w:type="dxa"/>
            <w:gridSpan w:val="5"/>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D2B880D"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Liquidity ratio</w:t>
            </w:r>
          </w:p>
        </w:tc>
      </w:tr>
      <w:tr w:rsidR="00D213D0" w:rsidRPr="00FC6C4D" w14:paraId="0D3C98CB"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20A64E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 xml:space="preserve"> </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3CD18D4"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Current  Ratio</w:t>
            </w:r>
          </w:p>
        </w:tc>
        <w:tc>
          <w:tcPr>
            <w:tcW w:w="38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E3E57FA"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Formula</w:t>
            </w: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8C1FF4B"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Amount</w:t>
            </w:r>
          </w:p>
        </w:tc>
        <w:tc>
          <w:tcPr>
            <w:tcW w:w="77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56BA243"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Ratio</w:t>
            </w:r>
          </w:p>
        </w:tc>
      </w:tr>
      <w:tr w:rsidR="00D213D0" w:rsidRPr="00FC6C4D" w14:paraId="5DBA6DAA"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8BE5CEA"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Year</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9FF6D8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Assets</w:t>
            </w:r>
          </w:p>
        </w:tc>
        <w:tc>
          <w:tcPr>
            <w:tcW w:w="3837"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71A8D52"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(Current Assets /Current Liabilities)</w:t>
            </w: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0AC472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89,21,000.00</w:t>
            </w:r>
          </w:p>
        </w:tc>
        <w:tc>
          <w:tcPr>
            <w:tcW w:w="770"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C31634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0.80</w:t>
            </w:r>
          </w:p>
        </w:tc>
      </w:tr>
      <w:tr w:rsidR="00D213D0" w:rsidRPr="00FC6C4D" w14:paraId="4B6C3DB3"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40DE88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2022</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49F423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Liabilities</w:t>
            </w:r>
          </w:p>
        </w:tc>
        <w:tc>
          <w:tcPr>
            <w:tcW w:w="383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BCEFE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74C77A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1,11,39,000.00</w:t>
            </w:r>
          </w:p>
        </w:tc>
        <w:tc>
          <w:tcPr>
            <w:tcW w:w="770"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9698AF"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345BA1A1"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287EAD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349531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Assets</w:t>
            </w:r>
          </w:p>
        </w:tc>
        <w:tc>
          <w:tcPr>
            <w:tcW w:w="383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F062F9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B5B91B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82,07,000.00</w:t>
            </w:r>
          </w:p>
        </w:tc>
        <w:tc>
          <w:tcPr>
            <w:tcW w:w="770"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2F1E14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0.76</w:t>
            </w:r>
          </w:p>
        </w:tc>
      </w:tr>
      <w:tr w:rsidR="00D213D0" w:rsidRPr="00FC6C4D" w14:paraId="031DA6AB"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A54729C"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2021</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4BD8B5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Liabilities</w:t>
            </w:r>
          </w:p>
        </w:tc>
        <w:tc>
          <w:tcPr>
            <w:tcW w:w="383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9732B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181737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1,08,08,000.00</w:t>
            </w:r>
          </w:p>
        </w:tc>
        <w:tc>
          <w:tcPr>
            <w:tcW w:w="770"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E37860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757B79C0"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38FA5B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8D5552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Assets</w:t>
            </w:r>
          </w:p>
        </w:tc>
        <w:tc>
          <w:tcPr>
            <w:tcW w:w="383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B3039FF"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42D9F0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96,50,000.00</w:t>
            </w:r>
          </w:p>
        </w:tc>
        <w:tc>
          <w:tcPr>
            <w:tcW w:w="770"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53B0D5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0.78</w:t>
            </w:r>
          </w:p>
        </w:tc>
      </w:tr>
      <w:tr w:rsidR="00D213D0" w:rsidRPr="00FC6C4D" w14:paraId="1F553F3C"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CFAAEF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2020</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817091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Liabilities</w:t>
            </w:r>
          </w:p>
        </w:tc>
        <w:tc>
          <w:tcPr>
            <w:tcW w:w="383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C42BD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ED1CBD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1,23,25,000.00</w:t>
            </w:r>
          </w:p>
        </w:tc>
        <w:tc>
          <w:tcPr>
            <w:tcW w:w="770"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84D11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72493B02"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467B44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97B7BE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Assets</w:t>
            </w:r>
          </w:p>
        </w:tc>
        <w:tc>
          <w:tcPr>
            <w:tcW w:w="383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4C452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605978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1,10,88,000.00</w:t>
            </w:r>
          </w:p>
        </w:tc>
        <w:tc>
          <w:tcPr>
            <w:tcW w:w="770"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F93C06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0.90</w:t>
            </w:r>
          </w:p>
        </w:tc>
      </w:tr>
      <w:tr w:rsidR="00D213D0" w:rsidRPr="00FC6C4D" w14:paraId="6224F530"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7E69A4C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2019</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5E3333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Liabilities</w:t>
            </w:r>
          </w:p>
        </w:tc>
        <w:tc>
          <w:tcPr>
            <w:tcW w:w="383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831C057"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7ACBC3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1,23,82,000.00</w:t>
            </w:r>
          </w:p>
        </w:tc>
        <w:tc>
          <w:tcPr>
            <w:tcW w:w="770"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8BE934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5C44DE33"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EDF2FF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33F13E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Assets</w:t>
            </w:r>
          </w:p>
        </w:tc>
        <w:tc>
          <w:tcPr>
            <w:tcW w:w="383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5EB7F93"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68A118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1,02,00,960.00</w:t>
            </w:r>
          </w:p>
        </w:tc>
        <w:tc>
          <w:tcPr>
            <w:tcW w:w="770"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9CE594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0.86</w:t>
            </w:r>
          </w:p>
        </w:tc>
      </w:tr>
      <w:tr w:rsidR="00D213D0" w:rsidRPr="00FC6C4D" w14:paraId="3234A1A2" w14:textId="77777777">
        <w:trPr>
          <w:trHeight w:val="575"/>
        </w:trPr>
        <w:tc>
          <w:tcPr>
            <w:tcW w:w="683"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90D34B3"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2018</w:t>
            </w:r>
          </w:p>
        </w:tc>
        <w:tc>
          <w:tcPr>
            <w:tcW w:w="193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AAB9FA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Current Liabilities</w:t>
            </w:r>
          </w:p>
        </w:tc>
        <w:tc>
          <w:tcPr>
            <w:tcW w:w="383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517ACD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13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84EADA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1,18,86,720.00</w:t>
            </w:r>
          </w:p>
        </w:tc>
        <w:tc>
          <w:tcPr>
            <w:tcW w:w="770"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6837E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bl>
    <w:p w14:paraId="28299719" w14:textId="77777777" w:rsidR="00D213D0" w:rsidRPr="00FC6C4D" w:rsidRDefault="00D213D0" w:rsidP="00AA6A7F">
      <w:pPr>
        <w:spacing w:line="480" w:lineRule="auto"/>
        <w:jc w:val="center"/>
        <w:rPr>
          <w:rFonts w:ascii="Times New Roman" w:eastAsia="Times New Roman" w:hAnsi="Times New Roman" w:cs="Times New Roman"/>
          <w:sz w:val="24"/>
          <w:szCs w:val="24"/>
        </w:rPr>
      </w:pPr>
    </w:p>
    <w:p w14:paraId="5E966C5A"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Financial liquidity of Imperial brand has been evaluated by current ratio analysis that presented 0.80 times in financial year 2022 where it was 0.86 times in financial year 2018. According to the prosperity of liquidity present organizational financial operational activity has been struggling due to lack of sufficient financial resources. </w:t>
      </w:r>
    </w:p>
    <w:p w14:paraId="4BC7A37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bl>
      <w:tblPr>
        <w:tblStyle w:val="a2"/>
        <w:tblW w:w="8865" w:type="dxa"/>
        <w:tblBorders>
          <w:top w:val="nil"/>
          <w:left w:val="nil"/>
          <w:bottom w:val="nil"/>
          <w:right w:val="nil"/>
          <w:insideH w:val="nil"/>
          <w:insideV w:val="nil"/>
        </w:tblBorders>
        <w:tblLayout w:type="fixed"/>
        <w:tblLook w:val="0600" w:firstRow="0" w:lastRow="0" w:firstColumn="0" w:lastColumn="0" w:noHBand="1" w:noVBand="1"/>
      </w:tblPr>
      <w:tblGrid>
        <w:gridCol w:w="720"/>
        <w:gridCol w:w="2730"/>
        <w:gridCol w:w="1935"/>
        <w:gridCol w:w="2685"/>
        <w:gridCol w:w="795"/>
      </w:tblGrid>
      <w:tr w:rsidR="00D213D0" w:rsidRPr="00FC6C4D" w14:paraId="08163ABC" w14:textId="77777777">
        <w:trPr>
          <w:trHeight w:val="575"/>
        </w:trPr>
        <w:tc>
          <w:tcPr>
            <w:tcW w:w="8865" w:type="dxa"/>
            <w:gridSpan w:val="5"/>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4D70637"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Capital gearing ratio</w:t>
            </w:r>
          </w:p>
        </w:tc>
      </w:tr>
      <w:tr w:rsidR="00D213D0" w:rsidRPr="00FC6C4D" w14:paraId="04D562E6"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7D7EE1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1D630F1"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Debt to equity ratio</w:t>
            </w:r>
          </w:p>
        </w:tc>
        <w:tc>
          <w:tcPr>
            <w:tcW w:w="193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1204AB1"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Formula</w:t>
            </w: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EDE4A88"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 xml:space="preserve"> Amount </w:t>
            </w:r>
          </w:p>
        </w:tc>
        <w:tc>
          <w:tcPr>
            <w:tcW w:w="79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0DE2245"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Ratio</w:t>
            </w:r>
          </w:p>
        </w:tc>
      </w:tr>
      <w:tr w:rsidR="00D213D0" w:rsidRPr="00FC6C4D" w14:paraId="4F561A34"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093FBD04"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Year</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D43036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debt</w:t>
            </w:r>
          </w:p>
        </w:tc>
        <w:tc>
          <w:tcPr>
            <w:tcW w:w="193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EE6E5DB"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(Debt/Equity)</w:t>
            </w: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B0CCF3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1,02,55,000.00</w:t>
            </w:r>
          </w:p>
        </w:tc>
        <w:tc>
          <w:tcPr>
            <w:tcW w:w="79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5761D7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1.37</w:t>
            </w:r>
          </w:p>
        </w:tc>
      </w:tr>
      <w:tr w:rsidR="00D213D0" w:rsidRPr="00FC6C4D" w14:paraId="6D15B70F"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53815FB"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2022</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3B016E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Equity</w:t>
            </w:r>
          </w:p>
        </w:tc>
        <w:tc>
          <w:tcPr>
            <w:tcW w:w="193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56B51CA"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12DA33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74,73,000.00</w:t>
            </w:r>
          </w:p>
        </w:tc>
        <w:tc>
          <w:tcPr>
            <w:tcW w:w="79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EDBB0AE"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1225C7C8"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751CAEF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870FE9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debt</w:t>
            </w:r>
          </w:p>
        </w:tc>
        <w:tc>
          <w:tcPr>
            <w:tcW w:w="193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1E3BDFF"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8FCC2F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1,00,73,000.00</w:t>
            </w:r>
          </w:p>
        </w:tc>
        <w:tc>
          <w:tcPr>
            <w:tcW w:w="79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3D15E9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1.70</w:t>
            </w:r>
          </w:p>
        </w:tc>
      </w:tr>
      <w:tr w:rsidR="00D213D0" w:rsidRPr="00FC6C4D" w14:paraId="3740C45E"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E6DF4BC"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2021</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B52A92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Equity</w:t>
            </w:r>
          </w:p>
        </w:tc>
        <w:tc>
          <w:tcPr>
            <w:tcW w:w="193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30741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6E198D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59,40,000.00</w:t>
            </w:r>
          </w:p>
        </w:tc>
        <w:tc>
          <w:tcPr>
            <w:tcW w:w="79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7B1B385"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7D93ACE8"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ABA15D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FE42B0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debt</w:t>
            </w:r>
          </w:p>
        </w:tc>
        <w:tc>
          <w:tcPr>
            <w:tcW w:w="193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F536A2F"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E1D613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1,19,51,000.00</w:t>
            </w:r>
          </w:p>
        </w:tc>
        <w:tc>
          <w:tcPr>
            <w:tcW w:w="79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8277A8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2.17</w:t>
            </w:r>
          </w:p>
        </w:tc>
      </w:tr>
      <w:tr w:rsidR="00D213D0" w:rsidRPr="00FC6C4D" w14:paraId="3F23B4F4"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55D3EC3"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2020</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53D89B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Equity</w:t>
            </w:r>
          </w:p>
        </w:tc>
        <w:tc>
          <w:tcPr>
            <w:tcW w:w="193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4D836C0"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B9295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55,18,000.00</w:t>
            </w:r>
          </w:p>
        </w:tc>
        <w:tc>
          <w:tcPr>
            <w:tcW w:w="79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747E7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2C6CCDE2"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7E1D0E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D17123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debt</w:t>
            </w:r>
          </w:p>
        </w:tc>
        <w:tc>
          <w:tcPr>
            <w:tcW w:w="193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922B6F3"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3D1627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1,36,34,000.00</w:t>
            </w:r>
          </w:p>
        </w:tc>
        <w:tc>
          <w:tcPr>
            <w:tcW w:w="79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2BC49E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2.44</w:t>
            </w:r>
          </w:p>
        </w:tc>
      </w:tr>
      <w:tr w:rsidR="00D213D0" w:rsidRPr="00FC6C4D" w14:paraId="07C70607"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5232733"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2019</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0A3B00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Equity</w:t>
            </w:r>
          </w:p>
        </w:tc>
        <w:tc>
          <w:tcPr>
            <w:tcW w:w="193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A5214F"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3FBBDF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55,84,000.00</w:t>
            </w:r>
          </w:p>
        </w:tc>
        <w:tc>
          <w:tcPr>
            <w:tcW w:w="79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BB2DCA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7097B1AC"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793EDF7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C10609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debt</w:t>
            </w:r>
          </w:p>
        </w:tc>
        <w:tc>
          <w:tcPr>
            <w:tcW w:w="193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55E103"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8A6027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1,21,34,260.00</w:t>
            </w:r>
          </w:p>
        </w:tc>
        <w:tc>
          <w:tcPr>
            <w:tcW w:w="795"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3B84E1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2.53</w:t>
            </w:r>
          </w:p>
        </w:tc>
      </w:tr>
      <w:tr w:rsidR="00D213D0" w:rsidRPr="00FC6C4D" w14:paraId="784EEF30" w14:textId="77777777">
        <w:trPr>
          <w:trHeight w:val="575"/>
        </w:trPr>
        <w:tc>
          <w:tcPr>
            <w:tcW w:w="72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068808FA"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2018</w:t>
            </w:r>
          </w:p>
        </w:tc>
        <w:tc>
          <w:tcPr>
            <w:tcW w:w="273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BCD0B1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Equity</w:t>
            </w:r>
          </w:p>
        </w:tc>
        <w:tc>
          <w:tcPr>
            <w:tcW w:w="193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42FCBB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68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8A6510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48,02,240.00</w:t>
            </w:r>
          </w:p>
        </w:tc>
        <w:tc>
          <w:tcPr>
            <w:tcW w:w="795"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F7FE3B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bl>
    <w:p w14:paraId="073B083D" w14:textId="77777777" w:rsidR="00D213D0" w:rsidRPr="00FC6C4D" w:rsidRDefault="00D213D0" w:rsidP="00AA6A7F">
      <w:pPr>
        <w:spacing w:line="480" w:lineRule="auto"/>
        <w:jc w:val="center"/>
        <w:rPr>
          <w:rFonts w:ascii="Times New Roman" w:eastAsia="Times New Roman" w:hAnsi="Times New Roman" w:cs="Times New Roman"/>
          <w:sz w:val="24"/>
          <w:szCs w:val="24"/>
        </w:rPr>
      </w:pPr>
    </w:p>
    <w:p w14:paraId="7EB7D31D"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Capital gain ratio evaluation has been calculated by debt to equity ratio which is present 2.53 times in the 2018 financial year and 1.37 times in FY 2022. Debt to equity ratio evaluates Imperial brand operated business activity dependent on debt financing that consumes interest expenses. Utilization of equity is less than debt financing that creates financial burden on net profit volume. </w:t>
      </w:r>
    </w:p>
    <w:p w14:paraId="6D2B004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453"/>
        <w:gridCol w:w="2087"/>
        <w:gridCol w:w="4889"/>
        <w:gridCol w:w="1420"/>
        <w:gridCol w:w="511"/>
      </w:tblGrid>
      <w:tr w:rsidR="00D213D0" w:rsidRPr="00FC6C4D" w14:paraId="4E5B8652" w14:textId="77777777">
        <w:trPr>
          <w:trHeight w:val="575"/>
        </w:trPr>
        <w:tc>
          <w:tcPr>
            <w:tcW w:w="9356" w:type="dxa"/>
            <w:gridSpan w:val="5"/>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25B5E694"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Investors’ ratio</w:t>
            </w:r>
          </w:p>
        </w:tc>
      </w:tr>
      <w:tr w:rsidR="00D213D0" w:rsidRPr="00FC6C4D" w14:paraId="655074DF" w14:textId="77777777">
        <w:trPr>
          <w:trHeight w:val="575"/>
        </w:trPr>
        <w:tc>
          <w:tcPr>
            <w:tcW w:w="453" w:type="dxa"/>
            <w:tcBorders>
              <w:top w:val="nil"/>
              <w:left w:val="single" w:sz="5" w:space="0" w:color="000000"/>
              <w:bottom w:val="nil"/>
              <w:right w:val="nil"/>
            </w:tcBorders>
            <w:shd w:val="clear" w:color="auto" w:fill="auto"/>
            <w:tcMar>
              <w:top w:w="100" w:type="dxa"/>
              <w:left w:w="100" w:type="dxa"/>
              <w:bottom w:w="100" w:type="dxa"/>
              <w:right w:w="100" w:type="dxa"/>
            </w:tcMar>
            <w:vAlign w:val="bottom"/>
          </w:tcPr>
          <w:p w14:paraId="283CC75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Year</w:t>
            </w:r>
          </w:p>
        </w:tc>
        <w:tc>
          <w:tcPr>
            <w:tcW w:w="2086" w:type="dxa"/>
            <w:tcBorders>
              <w:top w:val="nil"/>
              <w:left w:val="nil"/>
              <w:bottom w:val="nil"/>
              <w:right w:val="nil"/>
            </w:tcBorders>
            <w:shd w:val="clear" w:color="auto" w:fill="auto"/>
            <w:tcMar>
              <w:top w:w="100" w:type="dxa"/>
              <w:left w:w="100" w:type="dxa"/>
              <w:bottom w:w="100" w:type="dxa"/>
              <w:right w:w="100" w:type="dxa"/>
            </w:tcMar>
            <w:vAlign w:val="bottom"/>
          </w:tcPr>
          <w:p w14:paraId="3EB910E1"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 xml:space="preserve">Earnings per Share        </w:t>
            </w:r>
            <w:r w:rsidRPr="00FC6C4D">
              <w:rPr>
                <w:rFonts w:ascii="Times New Roman" w:eastAsia="Times New Roman" w:hAnsi="Times New Roman" w:cs="Times New Roman"/>
                <w:b/>
                <w:sz w:val="24"/>
                <w:szCs w:val="24"/>
              </w:rPr>
              <w:tab/>
            </w:r>
          </w:p>
        </w:tc>
        <w:tc>
          <w:tcPr>
            <w:tcW w:w="4887"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CC95643"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Formula</w:t>
            </w: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FF2FF7"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 xml:space="preserve"> Amount </w:t>
            </w:r>
          </w:p>
        </w:tc>
        <w:tc>
          <w:tcPr>
            <w:tcW w:w="51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2DFF897"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Ratio</w:t>
            </w:r>
          </w:p>
        </w:tc>
      </w:tr>
      <w:tr w:rsidR="00D213D0" w:rsidRPr="00FC6C4D" w14:paraId="2EFB8470" w14:textId="77777777">
        <w:trPr>
          <w:trHeight w:val="575"/>
        </w:trPr>
        <w:tc>
          <w:tcPr>
            <w:tcW w:w="453" w:type="dxa"/>
            <w:vMerge w:val="restart"/>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AA07BCF"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2022</w:t>
            </w:r>
          </w:p>
        </w:tc>
        <w:tc>
          <w:tcPr>
            <w:tcW w:w="2086"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9BA9B2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profit after tax</w:t>
            </w:r>
          </w:p>
        </w:tc>
        <w:tc>
          <w:tcPr>
            <w:tcW w:w="4887"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DEF0AC"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(profit after tax - preference dividend )/ total number of ordinary shares</w:t>
            </w: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1C3D79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10,99,000.00</w:t>
            </w:r>
          </w:p>
        </w:tc>
        <w:tc>
          <w:tcPr>
            <w:tcW w:w="51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132A54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1.14</w:t>
            </w:r>
          </w:p>
        </w:tc>
      </w:tr>
      <w:tr w:rsidR="00D213D0" w:rsidRPr="00FC6C4D" w14:paraId="4575DF73" w14:textId="77777777">
        <w:trPr>
          <w:trHeight w:val="575"/>
        </w:trPr>
        <w:tc>
          <w:tcPr>
            <w:tcW w:w="453"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21488E5"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8D4624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preference dividend</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6CA1FC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331B65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w:t>
            </w:r>
            <w:r w:rsidRPr="00FC6C4D">
              <w:rPr>
                <w:rFonts w:ascii="Times New Roman" w:eastAsia="Times New Roman" w:hAnsi="Times New Roman" w:cs="Times New Roman"/>
                <w:sz w:val="24"/>
                <w:szCs w:val="24"/>
              </w:rPr>
              <w:tab/>
              <w:t>17,500.00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52CDF0E"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029AAA56" w14:textId="77777777">
        <w:trPr>
          <w:trHeight w:val="575"/>
        </w:trPr>
        <w:tc>
          <w:tcPr>
            <w:tcW w:w="453" w:type="dxa"/>
            <w:vMerge/>
            <w:tcBorders>
              <w:top w:val="single" w:sz="5" w:space="0" w:color="000000"/>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60A1492"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BC3FE0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total number of ordinary shares</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8F630D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7BC3BB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9,50,408.00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4C8BC4"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7FFBCA6F" w14:textId="77777777">
        <w:trPr>
          <w:trHeight w:val="575"/>
        </w:trPr>
        <w:tc>
          <w:tcPr>
            <w:tcW w:w="453"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0285475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2021</w:t>
            </w: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E0E7A8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profit after tax</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C7F2DB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609527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19,83,800.00</w:t>
            </w:r>
          </w:p>
        </w:tc>
        <w:tc>
          <w:tcPr>
            <w:tcW w:w="51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EACA32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2.08</w:t>
            </w:r>
          </w:p>
        </w:tc>
      </w:tr>
      <w:tr w:rsidR="00D213D0" w:rsidRPr="00FC6C4D" w14:paraId="548A9341" w14:textId="77777777">
        <w:trPr>
          <w:trHeight w:val="575"/>
        </w:trPr>
        <w:tc>
          <w:tcPr>
            <w:tcW w:w="45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991F829"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FEA363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preference dividend</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72E45BB"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35CC8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w:t>
            </w:r>
            <w:r w:rsidRPr="00FC6C4D">
              <w:rPr>
                <w:rFonts w:ascii="Times New Roman" w:eastAsia="Times New Roman" w:hAnsi="Times New Roman" w:cs="Times New Roman"/>
                <w:sz w:val="24"/>
                <w:szCs w:val="24"/>
              </w:rPr>
              <w:tab/>
              <w:t>17,500.00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BF36C3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6751CACC" w14:textId="77777777">
        <w:trPr>
          <w:trHeight w:val="575"/>
        </w:trPr>
        <w:tc>
          <w:tcPr>
            <w:tcW w:w="45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33FFD54"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8E65BC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total number of ordinary shares</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85AC59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D5B20D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9,46,408.00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0718DD"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13C8B544" w14:textId="77777777">
        <w:trPr>
          <w:trHeight w:val="575"/>
        </w:trPr>
        <w:tc>
          <w:tcPr>
            <w:tcW w:w="453"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7DDDF5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2020</w:t>
            </w: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5CD96F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profit after tax</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B249E4D"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6D9C86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10,46,500.00</w:t>
            </w:r>
          </w:p>
        </w:tc>
        <w:tc>
          <w:tcPr>
            <w:tcW w:w="51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BE964B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1.09</w:t>
            </w:r>
          </w:p>
        </w:tc>
      </w:tr>
      <w:tr w:rsidR="00D213D0" w:rsidRPr="00FC6C4D" w14:paraId="29B52214" w14:textId="77777777">
        <w:trPr>
          <w:trHeight w:val="575"/>
        </w:trPr>
        <w:tc>
          <w:tcPr>
            <w:tcW w:w="45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5DEB8D0"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C64C58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preference dividend</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0F9935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1967A9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w:t>
            </w:r>
            <w:r w:rsidRPr="00FC6C4D">
              <w:rPr>
                <w:rFonts w:ascii="Times New Roman" w:eastAsia="Times New Roman" w:hAnsi="Times New Roman" w:cs="Times New Roman"/>
                <w:sz w:val="24"/>
                <w:szCs w:val="24"/>
              </w:rPr>
              <w:tab/>
              <w:t>17,500.00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4EB15ED"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7D56F632" w14:textId="77777777">
        <w:trPr>
          <w:trHeight w:val="575"/>
        </w:trPr>
        <w:tc>
          <w:tcPr>
            <w:tcW w:w="45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4E93235"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137E60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total number of ordinary shares</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880A56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A5590B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9,46,408.00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F9CCC50"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09822658" w14:textId="77777777">
        <w:trPr>
          <w:trHeight w:val="575"/>
        </w:trPr>
        <w:tc>
          <w:tcPr>
            <w:tcW w:w="453"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0C2FD3E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2019</w:t>
            </w: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1E1029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profit after tax</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02CFAC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89D664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7,07,000.00</w:t>
            </w:r>
          </w:p>
        </w:tc>
        <w:tc>
          <w:tcPr>
            <w:tcW w:w="51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96A992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0.72</w:t>
            </w:r>
          </w:p>
        </w:tc>
      </w:tr>
      <w:tr w:rsidR="00D213D0" w:rsidRPr="00FC6C4D" w14:paraId="18569702" w14:textId="77777777">
        <w:trPr>
          <w:trHeight w:val="575"/>
        </w:trPr>
        <w:tc>
          <w:tcPr>
            <w:tcW w:w="45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105A1DC"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01F4EF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preference dividend</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C260020"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8DF98A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w:t>
            </w:r>
            <w:r w:rsidRPr="00FC6C4D">
              <w:rPr>
                <w:rFonts w:ascii="Times New Roman" w:eastAsia="Times New Roman" w:hAnsi="Times New Roman" w:cs="Times New Roman"/>
                <w:sz w:val="24"/>
                <w:szCs w:val="24"/>
              </w:rPr>
              <w:tab/>
              <w:t>17,500.00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F00E04"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6FA57C93" w14:textId="77777777">
        <w:trPr>
          <w:trHeight w:val="575"/>
        </w:trPr>
        <w:tc>
          <w:tcPr>
            <w:tcW w:w="45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CEBDC40"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F6D69C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total number of ordinary shares</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37ED72B"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411867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9,51,507.00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5FF77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35E27DAC" w14:textId="77777777">
        <w:trPr>
          <w:trHeight w:val="575"/>
        </w:trPr>
        <w:tc>
          <w:tcPr>
            <w:tcW w:w="453"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AA9064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2018</w:t>
            </w: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1624A1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profit after tax</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2C09FE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2C35B6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6,00,950.00</w:t>
            </w:r>
          </w:p>
        </w:tc>
        <w:tc>
          <w:tcPr>
            <w:tcW w:w="511"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B97494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0.68</w:t>
            </w:r>
          </w:p>
        </w:tc>
      </w:tr>
      <w:tr w:rsidR="00D213D0" w:rsidRPr="00FC6C4D" w14:paraId="5429196F" w14:textId="77777777">
        <w:trPr>
          <w:trHeight w:val="575"/>
        </w:trPr>
        <w:tc>
          <w:tcPr>
            <w:tcW w:w="45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CFC080D"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BCDA90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preference dividend</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BDA1DE7"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9B9EEC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w:t>
            </w:r>
            <w:r w:rsidRPr="00FC6C4D">
              <w:rPr>
                <w:rFonts w:ascii="Times New Roman" w:eastAsia="Times New Roman" w:hAnsi="Times New Roman" w:cs="Times New Roman"/>
                <w:sz w:val="24"/>
                <w:szCs w:val="24"/>
              </w:rPr>
              <w:tab/>
              <w:t>16,900.00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D0A033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r w:rsidR="00D213D0" w:rsidRPr="00FC6C4D" w14:paraId="77037EF3" w14:textId="77777777">
        <w:trPr>
          <w:trHeight w:val="575"/>
        </w:trPr>
        <w:tc>
          <w:tcPr>
            <w:tcW w:w="453"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7C19EBA"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208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9F3128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total number of ordinary shares</w:t>
            </w:r>
          </w:p>
        </w:tc>
        <w:tc>
          <w:tcPr>
            <w:tcW w:w="4887"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D1A6710"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41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8F0961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           8,56,356.30</w:t>
            </w:r>
          </w:p>
        </w:tc>
        <w:tc>
          <w:tcPr>
            <w:tcW w:w="511"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0BBFDC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r>
    </w:tbl>
    <w:p w14:paraId="5C2A3161" w14:textId="77777777" w:rsidR="00D213D0" w:rsidRPr="00FC6C4D" w:rsidRDefault="00D213D0" w:rsidP="00AA6A7F">
      <w:pPr>
        <w:spacing w:line="480" w:lineRule="auto"/>
        <w:jc w:val="center"/>
        <w:rPr>
          <w:rFonts w:ascii="Times New Roman" w:eastAsia="Times New Roman" w:hAnsi="Times New Roman" w:cs="Times New Roman"/>
          <w:sz w:val="24"/>
          <w:szCs w:val="24"/>
        </w:rPr>
      </w:pPr>
    </w:p>
    <w:p w14:paraId="59B52EE1"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Investors ratio has been calculated using Earning per share that presented investors' aspects in the last 5 years. This ratio has presented 0.68 in financial year 2018 which has been changed positively to 1.14 in financial year 2022 it evaluates investors could remain invested in this organization for  positive results of the last 5 years (Fridson &amp; Alvarez, 2022). Growth of Earning per share indicates organization equity price has been increased in the last 5 years that creates wealth for investors. </w:t>
      </w:r>
    </w:p>
    <w:p w14:paraId="16D44302" w14:textId="77777777" w:rsidR="00D213D0" w:rsidRPr="00FC6C4D" w:rsidRDefault="00000000" w:rsidP="00AA6A7F">
      <w:pPr>
        <w:pStyle w:val="Heading1"/>
        <w:spacing w:line="480" w:lineRule="auto"/>
      </w:pPr>
      <w:bookmarkStart w:id="5" w:name="_cdu6efl1ymy0" w:colFirst="0" w:colLast="0"/>
      <w:bookmarkStart w:id="6" w:name="_Toc138279536"/>
      <w:bookmarkEnd w:id="5"/>
      <w:r w:rsidRPr="00FC6C4D">
        <w:t>(iii) Vertical and horizontal analysis</w:t>
      </w:r>
      <w:bookmarkEnd w:id="6"/>
      <w:r w:rsidRPr="00FC6C4D">
        <w:t xml:space="preserve"> </w:t>
      </w:r>
    </w:p>
    <w:p w14:paraId="681B7253"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043"/>
        <w:gridCol w:w="866"/>
        <w:gridCol w:w="866"/>
        <w:gridCol w:w="866"/>
        <w:gridCol w:w="866"/>
        <w:gridCol w:w="1163"/>
        <w:gridCol w:w="1262"/>
        <w:gridCol w:w="1208"/>
        <w:gridCol w:w="1219"/>
      </w:tblGrid>
      <w:tr w:rsidR="00D213D0" w:rsidRPr="00FC6C4D" w14:paraId="460B251F" w14:textId="77777777">
        <w:trPr>
          <w:trHeight w:val="575"/>
        </w:trPr>
        <w:tc>
          <w:tcPr>
            <w:tcW w:w="9355" w:type="dxa"/>
            <w:gridSpan w:val="9"/>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7FFDC8BE"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Imperial Brands PLC</w:t>
            </w:r>
          </w:p>
        </w:tc>
      </w:tr>
      <w:tr w:rsidR="00D213D0" w:rsidRPr="00FC6C4D" w14:paraId="5EAFD799" w14:textId="77777777">
        <w:trPr>
          <w:trHeight w:val="575"/>
        </w:trPr>
        <w:tc>
          <w:tcPr>
            <w:tcW w:w="9355" w:type="dxa"/>
            <w:gridSpan w:val="9"/>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49BF91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Consolidated statement of Income (Horizontal analysis)</w:t>
            </w:r>
          </w:p>
        </w:tc>
      </w:tr>
      <w:tr w:rsidR="00D213D0" w:rsidRPr="00FC6C4D" w14:paraId="79107AD3" w14:textId="77777777">
        <w:trPr>
          <w:trHeight w:val="575"/>
        </w:trPr>
        <w:tc>
          <w:tcPr>
            <w:tcW w:w="1042"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AEEE62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Particulars</w:t>
            </w:r>
          </w:p>
        </w:tc>
        <w:tc>
          <w:tcPr>
            <w:tcW w:w="866"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A00D47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2022</w:t>
            </w:r>
          </w:p>
        </w:tc>
        <w:tc>
          <w:tcPr>
            <w:tcW w:w="866"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CE2BE3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2021</w:t>
            </w:r>
          </w:p>
        </w:tc>
        <w:tc>
          <w:tcPr>
            <w:tcW w:w="866"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1A7B1D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2020</w:t>
            </w:r>
          </w:p>
        </w:tc>
        <w:tc>
          <w:tcPr>
            <w:tcW w:w="866"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95EAD79"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2019</w:t>
            </w:r>
          </w:p>
        </w:tc>
        <w:tc>
          <w:tcPr>
            <w:tcW w:w="2424"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031B40E"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Increase or decrease in FY 2021</w:t>
            </w:r>
          </w:p>
        </w:tc>
        <w:tc>
          <w:tcPr>
            <w:tcW w:w="2425" w:type="dxa"/>
            <w:gridSpan w:val="2"/>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DD5404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Increase or decrease in FY 2022</w:t>
            </w:r>
          </w:p>
        </w:tc>
      </w:tr>
      <w:tr w:rsidR="00D213D0" w:rsidRPr="00FC6C4D" w14:paraId="6186A53C" w14:textId="77777777">
        <w:trPr>
          <w:trHeight w:val="575"/>
        </w:trPr>
        <w:tc>
          <w:tcPr>
            <w:tcW w:w="10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844DAFB"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866"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917911"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866"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BDE6F9E"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866"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F6CF68F"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866"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23BB706"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7E92A4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Amount</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708FD5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Percentage</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EEB572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Amount</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7C6DA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Percentage</w:t>
            </w:r>
          </w:p>
        </w:tc>
      </w:tr>
      <w:tr w:rsidR="00D213D0" w:rsidRPr="00FC6C4D" w14:paraId="27C4F6CD" w14:textId="77777777">
        <w:trPr>
          <w:trHeight w:val="575"/>
        </w:trPr>
        <w:tc>
          <w:tcPr>
            <w:tcW w:w="1042"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7DD048"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6AC19B2"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3629CB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922737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9B4806A"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CAF105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3139FE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2EAD60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 </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620EA3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w:t>
            </w:r>
          </w:p>
        </w:tc>
      </w:tr>
      <w:tr w:rsidR="00D213D0" w:rsidRPr="00FC6C4D" w14:paraId="33721706" w14:textId="77777777">
        <w:trPr>
          <w:trHeight w:val="740"/>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A3CD54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Total Revenue</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ACE4D6C"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3,25,51,000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77CF92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3,27,91,000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06F53F8"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3,25,62,000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9F4FBE1"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3,15,94,000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66FB5B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2,29,000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69AF230"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14A0AEE"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-2,40,000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092311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w:t>
            </w:r>
          </w:p>
        </w:tc>
      </w:tr>
      <w:tr w:rsidR="00D213D0" w:rsidRPr="00FC6C4D" w14:paraId="43CFA46A" w14:textId="77777777">
        <w:trPr>
          <w:trHeight w:val="815"/>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AEA08BD"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Cost of Revenue</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F5E000B"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2,65,13,000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434877B"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2,67,64,000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E3E3939"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2,63,82,000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4261ABE"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2,53,54,000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4DCDF7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3,82,000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8759632"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0FDE6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-2,51,000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5D3A78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w:t>
            </w:r>
          </w:p>
        </w:tc>
      </w:tr>
      <w:tr w:rsidR="00D213D0" w:rsidRPr="00FC6C4D" w14:paraId="4F12C50B" w14:textId="77777777">
        <w:trPr>
          <w:trHeight w:val="740"/>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0FE34855"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Gross Profit</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D5AA5D8"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60,38,000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9991574"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60,27,000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0D8CFA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61,80,000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8A2B1E0"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62,40,000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48EBC68"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-1,53,000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2DEE06A"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B53F51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11,000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EEE17C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w:t>
            </w:r>
          </w:p>
        </w:tc>
      </w:tr>
      <w:tr w:rsidR="00D213D0" w:rsidRPr="00FC6C4D" w14:paraId="567DD65D" w14:textId="77777777">
        <w:trPr>
          <w:trHeight w:val="815"/>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E1E2717"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Operating Expense</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5CE6D02"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26,84,000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B389C6C"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29,03,000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5D5CC01"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31,56,000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6000401"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37,48,000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9A6525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-2,53,000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CB17B0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FC9371F"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-2,19,000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55484F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w:t>
            </w:r>
          </w:p>
        </w:tc>
      </w:tr>
      <w:tr w:rsidR="00D213D0" w:rsidRPr="00FC6C4D" w14:paraId="60FE6650" w14:textId="77777777">
        <w:trPr>
          <w:trHeight w:val="1115"/>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495976F"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Selling General and </w:t>
            </w:r>
            <w:r w:rsidRPr="00FC6C4D">
              <w:rPr>
                <w:rFonts w:ascii="Times New Roman" w:eastAsia="Times New Roman" w:hAnsi="Times New Roman" w:cs="Times New Roman"/>
                <w:sz w:val="24"/>
                <w:szCs w:val="24"/>
              </w:rPr>
              <w:lastRenderedPageBreak/>
              <w:t>Administrative</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9DF5B82"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23,44,000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8C6706E"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24,54,000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FD3FC83"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26,53,000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28AEB2E"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24,91,000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66D2963"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-1,99,000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4D9A789"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CFD142E"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-1,10,000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3FBE148"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w:t>
            </w:r>
          </w:p>
        </w:tc>
      </w:tr>
      <w:tr w:rsidR="00D213D0" w:rsidRPr="00FC6C4D" w14:paraId="5AB68FAD" w14:textId="77777777">
        <w:trPr>
          <w:trHeight w:val="1115"/>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AA7FF2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Other Operating Expenses</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9F35654"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-9,000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74396FA"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703D31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8C59370"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1,39,000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EB5FC1E"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19,000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695C8DC"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-95%</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B47A870"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715CF18"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800%</w:t>
            </w:r>
          </w:p>
        </w:tc>
      </w:tr>
      <w:tr w:rsidR="00D213D0" w:rsidRPr="00FC6C4D" w14:paraId="50BE90BB" w14:textId="77777777">
        <w:trPr>
          <w:trHeight w:val="815"/>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8B2D663"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Operating Income</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FD75513"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33,54,000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E7B430"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31,24,000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DF859B2"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30,24,000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B95EDB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24,92,000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1CD3643"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1,00,000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8A7655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8E7422E"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2,30,000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AE2901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7%</w:t>
            </w:r>
          </w:p>
        </w:tc>
      </w:tr>
      <w:tr w:rsidR="00D213D0" w:rsidRPr="00FC6C4D" w14:paraId="07E12539" w14:textId="77777777">
        <w:trPr>
          <w:trHeight w:val="1715"/>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9C32FA0"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Net Non Operating Interest Income Expense</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006D0D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-3,18,000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087698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-4,15,000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E93A11"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-4,34,000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F654AC2"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-4,55,000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BF1D13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19,000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6F4E60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C2A793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97,000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478C31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-23%</w:t>
            </w:r>
          </w:p>
        </w:tc>
      </w:tr>
      <w:tr w:rsidR="00D213D0" w:rsidRPr="00FC6C4D" w14:paraId="00C6DD47" w14:textId="77777777">
        <w:trPr>
          <w:trHeight w:val="740"/>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35DA358"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Pretax Income</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A50442F"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25,51,000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454710E"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32,38,000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681DF7C"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21,66,000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F6750C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16,90,000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9925C4C"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10,72,000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EEBBB6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49%</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482537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-6,87,000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6C9A4E0"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-21%</w:t>
            </w:r>
          </w:p>
        </w:tc>
      </w:tr>
      <w:tr w:rsidR="00D213D0" w:rsidRPr="00FC6C4D" w14:paraId="6DF9570C" w14:textId="77777777">
        <w:trPr>
          <w:trHeight w:val="740"/>
        </w:trPr>
        <w:tc>
          <w:tcPr>
            <w:tcW w:w="1042"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8238D3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Tax Provision</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6EE299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8,86,000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9BE4F48"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3,31,000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4F47DA9"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6,08,000</w:t>
            </w:r>
          </w:p>
        </w:tc>
        <w:tc>
          <w:tcPr>
            <w:tcW w:w="866"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2858393"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6,09,000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7158DA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-2,77,000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0E8CF48"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-46%</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E64E82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5,55,000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02B08B1"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168%</w:t>
            </w:r>
          </w:p>
        </w:tc>
      </w:tr>
      <w:tr w:rsidR="00D213D0" w:rsidRPr="00FC6C4D" w14:paraId="02696688" w14:textId="77777777">
        <w:trPr>
          <w:trHeight w:val="1115"/>
        </w:trPr>
        <w:tc>
          <w:tcPr>
            <w:tcW w:w="1042" w:type="dxa"/>
            <w:tcBorders>
              <w:top w:val="nil"/>
              <w:left w:val="single" w:sz="5" w:space="0" w:color="000000"/>
              <w:bottom w:val="single" w:sz="5" w:space="0" w:color="000000"/>
              <w:right w:val="single" w:sz="5" w:space="0" w:color="CCCCCC"/>
            </w:tcBorders>
            <w:shd w:val="clear" w:color="auto" w:fill="auto"/>
            <w:tcMar>
              <w:top w:w="100" w:type="dxa"/>
              <w:left w:w="100" w:type="dxa"/>
              <w:bottom w:w="100" w:type="dxa"/>
              <w:right w:w="100" w:type="dxa"/>
            </w:tcMar>
            <w:vAlign w:val="bottom"/>
          </w:tcPr>
          <w:p w14:paraId="118D6504"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Net Income Common Stockholders</w:t>
            </w:r>
          </w:p>
        </w:tc>
        <w:tc>
          <w:tcPr>
            <w:tcW w:w="866" w:type="dxa"/>
            <w:tcBorders>
              <w:top w:val="nil"/>
              <w:left w:val="nil"/>
              <w:bottom w:val="single" w:sz="5" w:space="0" w:color="000000"/>
              <w:right w:val="single" w:sz="5" w:space="0" w:color="CCCCCC"/>
            </w:tcBorders>
            <w:shd w:val="clear" w:color="auto" w:fill="auto"/>
            <w:tcMar>
              <w:top w:w="100" w:type="dxa"/>
              <w:left w:w="100" w:type="dxa"/>
              <w:bottom w:w="100" w:type="dxa"/>
              <w:right w:w="100" w:type="dxa"/>
            </w:tcMar>
            <w:vAlign w:val="bottom"/>
          </w:tcPr>
          <w:p w14:paraId="78691574"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15,70,000</w:t>
            </w:r>
          </w:p>
        </w:tc>
        <w:tc>
          <w:tcPr>
            <w:tcW w:w="866" w:type="dxa"/>
            <w:tcBorders>
              <w:top w:val="nil"/>
              <w:left w:val="nil"/>
              <w:bottom w:val="single" w:sz="5" w:space="0" w:color="000000"/>
              <w:right w:val="single" w:sz="5" w:space="0" w:color="CCCCCC"/>
            </w:tcBorders>
            <w:shd w:val="clear" w:color="auto" w:fill="auto"/>
            <w:tcMar>
              <w:top w:w="100" w:type="dxa"/>
              <w:left w:w="100" w:type="dxa"/>
              <w:bottom w:w="100" w:type="dxa"/>
              <w:right w:w="100" w:type="dxa"/>
            </w:tcMar>
            <w:vAlign w:val="bottom"/>
          </w:tcPr>
          <w:p w14:paraId="7268FC86"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28,34,000</w:t>
            </w:r>
          </w:p>
        </w:tc>
        <w:tc>
          <w:tcPr>
            <w:tcW w:w="866" w:type="dxa"/>
            <w:tcBorders>
              <w:top w:val="nil"/>
              <w:left w:val="nil"/>
              <w:bottom w:val="single" w:sz="5" w:space="0" w:color="000000"/>
              <w:right w:val="single" w:sz="5" w:space="0" w:color="CCCCCC"/>
            </w:tcBorders>
            <w:shd w:val="clear" w:color="auto" w:fill="auto"/>
            <w:tcMar>
              <w:top w:w="100" w:type="dxa"/>
              <w:left w:w="100" w:type="dxa"/>
              <w:bottom w:w="100" w:type="dxa"/>
              <w:right w:w="100" w:type="dxa"/>
            </w:tcMar>
            <w:vAlign w:val="bottom"/>
          </w:tcPr>
          <w:p w14:paraId="40AC8469"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14,95,000</w:t>
            </w:r>
          </w:p>
        </w:tc>
        <w:tc>
          <w:tcPr>
            <w:tcW w:w="866" w:type="dxa"/>
            <w:tcBorders>
              <w:top w:val="nil"/>
              <w:left w:val="nil"/>
              <w:bottom w:val="single" w:sz="5" w:space="0" w:color="000000"/>
              <w:right w:val="single" w:sz="5" w:space="0" w:color="CCCCCC"/>
            </w:tcBorders>
            <w:shd w:val="clear" w:color="auto" w:fill="auto"/>
            <w:tcMar>
              <w:top w:w="100" w:type="dxa"/>
              <w:left w:w="100" w:type="dxa"/>
              <w:bottom w:w="100" w:type="dxa"/>
              <w:right w:w="100" w:type="dxa"/>
            </w:tcMar>
            <w:vAlign w:val="bottom"/>
          </w:tcPr>
          <w:p w14:paraId="356080FE"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10,10,000</w:t>
            </w:r>
          </w:p>
        </w:tc>
        <w:tc>
          <w:tcPr>
            <w:tcW w:w="1163"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24169B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13,39,000</w:t>
            </w:r>
          </w:p>
        </w:tc>
        <w:tc>
          <w:tcPr>
            <w:tcW w:w="126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2824CDB"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90%</w:t>
            </w:r>
          </w:p>
        </w:tc>
        <w:tc>
          <w:tcPr>
            <w:tcW w:w="120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BCB3531"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-12,64,000</w:t>
            </w:r>
          </w:p>
        </w:tc>
        <w:tc>
          <w:tcPr>
            <w:tcW w:w="1218"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DC4652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-45%</w:t>
            </w:r>
          </w:p>
        </w:tc>
      </w:tr>
    </w:tbl>
    <w:p w14:paraId="208F2F53" w14:textId="77777777" w:rsidR="00D213D0" w:rsidRPr="00FC6C4D" w:rsidRDefault="00000000" w:rsidP="00AA6A7F">
      <w:pPr>
        <w:spacing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w:t>
      </w:r>
    </w:p>
    <w:p w14:paraId="3017344F"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Horizontal analysis has presented information regarding positive change in revenue and cost of revenue in financial year 2022 around 1%. Additional information has been derived about gross profit margin deficit -2% in financial year 2022 and pretax Income has been increased around 49%. Valuation of comparative analysis between growth and deficit between 2022 and 2021, revenue volume increased positively whereas gross and net profit fell down around -4%. According to statistics from a horizontal analysis, revenue and cost of revenue will increase by about 1% in fiscal year 2022 (Ginting, 2021). Pretax Income has climbed by around 49%, and the gross profit margin deficit is expected to be -2% in the 2022 fiscal year. Revenue volume increased positively while gross and net profit declined by almost 4% between 2022 and 2021, according to a comparative examination of growth and deficit. </w:t>
      </w:r>
    </w:p>
    <w:p w14:paraId="053E8B2D"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bl>
      <w:tblPr>
        <w:tblStyle w:val="a5"/>
        <w:tblW w:w="8880" w:type="dxa"/>
        <w:tblBorders>
          <w:top w:val="nil"/>
          <w:left w:val="nil"/>
          <w:bottom w:val="nil"/>
          <w:right w:val="nil"/>
          <w:insideH w:val="nil"/>
          <w:insideV w:val="nil"/>
        </w:tblBorders>
        <w:tblLayout w:type="fixed"/>
        <w:tblLook w:val="0600" w:firstRow="0" w:lastRow="0" w:firstColumn="0" w:lastColumn="0" w:noHBand="1" w:noVBand="1"/>
      </w:tblPr>
      <w:tblGrid>
        <w:gridCol w:w="2730"/>
        <w:gridCol w:w="1710"/>
        <w:gridCol w:w="1365"/>
        <w:gridCol w:w="1710"/>
        <w:gridCol w:w="1365"/>
      </w:tblGrid>
      <w:tr w:rsidR="00D213D0" w:rsidRPr="00FC6C4D" w14:paraId="54355AE4" w14:textId="77777777">
        <w:trPr>
          <w:trHeight w:val="575"/>
        </w:trPr>
        <w:tc>
          <w:tcPr>
            <w:tcW w:w="8880" w:type="dxa"/>
            <w:gridSpan w:val="5"/>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vAlign w:val="bottom"/>
          </w:tcPr>
          <w:p w14:paraId="4B6DF3F8"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lastRenderedPageBreak/>
              <w:t>Imperial Brands PLC</w:t>
            </w:r>
          </w:p>
        </w:tc>
      </w:tr>
      <w:tr w:rsidR="00D213D0" w:rsidRPr="00FC6C4D" w14:paraId="1FE5F03D" w14:textId="77777777">
        <w:trPr>
          <w:trHeight w:val="575"/>
        </w:trPr>
        <w:tc>
          <w:tcPr>
            <w:tcW w:w="8880" w:type="dxa"/>
            <w:gridSpan w:val="5"/>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DECC8F4"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Consolidated statement of Income (Vertical analysis)</w:t>
            </w:r>
          </w:p>
        </w:tc>
      </w:tr>
      <w:tr w:rsidR="00D213D0" w:rsidRPr="00FC6C4D" w14:paraId="1E2ABFBF" w14:textId="77777777">
        <w:trPr>
          <w:trHeight w:val="575"/>
        </w:trPr>
        <w:tc>
          <w:tcPr>
            <w:tcW w:w="2730" w:type="dxa"/>
            <w:vMerge w:val="restart"/>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33E2575"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Particulars</w:t>
            </w:r>
          </w:p>
        </w:tc>
        <w:tc>
          <w:tcPr>
            <w:tcW w:w="1710"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22FD66B"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2022</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0418356"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Percentage</w:t>
            </w:r>
          </w:p>
        </w:tc>
        <w:tc>
          <w:tcPr>
            <w:tcW w:w="1710" w:type="dxa"/>
            <w:vMerge w:val="restart"/>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C586A7B" w14:textId="77777777" w:rsidR="00D213D0" w:rsidRPr="00FC6C4D" w:rsidRDefault="00000000" w:rsidP="00AA6A7F">
            <w:pPr>
              <w:spacing w:before="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2021</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6F9F4A1"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Percentage</w:t>
            </w:r>
          </w:p>
        </w:tc>
      </w:tr>
      <w:tr w:rsidR="00D213D0" w:rsidRPr="00FC6C4D" w14:paraId="5E6B8356" w14:textId="77777777">
        <w:trPr>
          <w:trHeight w:val="575"/>
        </w:trPr>
        <w:tc>
          <w:tcPr>
            <w:tcW w:w="2730" w:type="dxa"/>
            <w:vMerge/>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90AD482"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710"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875C10" w14:textId="77777777" w:rsidR="00D213D0" w:rsidRPr="00FC6C4D" w:rsidRDefault="00D213D0" w:rsidP="00AA6A7F">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6E3ADAC"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w:t>
            </w:r>
          </w:p>
        </w:tc>
        <w:tc>
          <w:tcPr>
            <w:tcW w:w="1710" w:type="dxa"/>
            <w:vMerge/>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8A93D9"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A56C90B" w14:textId="77777777" w:rsidR="00D213D0" w:rsidRPr="00FC6C4D" w:rsidRDefault="00000000" w:rsidP="00AA6A7F">
            <w:pPr>
              <w:spacing w:before="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w:t>
            </w:r>
          </w:p>
        </w:tc>
      </w:tr>
      <w:tr w:rsidR="00D213D0" w:rsidRPr="00FC6C4D" w14:paraId="2DD2BDED" w14:textId="77777777">
        <w:trPr>
          <w:trHeight w:val="740"/>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5D9A5A00"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Total Revenue</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57B9117"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3,25,51,000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079BFB9"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100.00%</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9BD0808"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3,27,91,000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3E9DD12"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100.00%</w:t>
            </w:r>
          </w:p>
        </w:tc>
      </w:tr>
      <w:tr w:rsidR="00D213D0" w:rsidRPr="00FC6C4D" w14:paraId="1DCEBE60" w14:textId="77777777">
        <w:trPr>
          <w:trHeight w:val="740"/>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08CD0465"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Cost of Revenue</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C2E3B42"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2,65,13,000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4A41F0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81.45%</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7473765"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2,67,64,000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224EE1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81.62%</w:t>
            </w:r>
          </w:p>
        </w:tc>
      </w:tr>
      <w:tr w:rsidR="00D213D0" w:rsidRPr="00FC6C4D" w14:paraId="49A45740" w14:textId="77777777">
        <w:trPr>
          <w:trHeight w:val="740"/>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F6A306F"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Gross Profit</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7D0D7B5"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60,38,000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1F01C3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22.77%</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3780FB3"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60,27,000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FFF2112"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22.52%</w:t>
            </w:r>
          </w:p>
        </w:tc>
      </w:tr>
      <w:tr w:rsidR="00D213D0" w:rsidRPr="00FC6C4D" w14:paraId="12B3DB22" w14:textId="77777777">
        <w:trPr>
          <w:trHeight w:val="740"/>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40B4166E"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Operating Expense</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7CD4E2E"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26,84,000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A3D1AD7"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44.45%</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53BAC09"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29,03,000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D43878C"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48.17%</w:t>
            </w:r>
          </w:p>
        </w:tc>
      </w:tr>
      <w:tr w:rsidR="00D213D0" w:rsidRPr="00FC6C4D" w14:paraId="1B78F133" w14:textId="77777777">
        <w:trPr>
          <w:trHeight w:val="815"/>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18EA4F97"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Selling General and Administrative</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FFC1C15"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23,44,000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5CE55BA"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87.33%</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7BBA367"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24,54,000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478704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84.53%</w:t>
            </w:r>
          </w:p>
        </w:tc>
      </w:tr>
      <w:tr w:rsidR="00D213D0" w:rsidRPr="00FC6C4D" w14:paraId="265C3033" w14:textId="77777777">
        <w:trPr>
          <w:trHeight w:val="650"/>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09C9DFFD"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Other Operating Expenses</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0A291B4"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-9,000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7BC60F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-0.38%</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0E17F09"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-1,000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5D34DCA"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-0.04%</w:t>
            </w:r>
          </w:p>
        </w:tc>
      </w:tr>
      <w:tr w:rsidR="00D213D0" w:rsidRPr="00FC6C4D" w14:paraId="1A0CE73E" w14:textId="77777777">
        <w:trPr>
          <w:trHeight w:val="740"/>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39B1EAFF"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Operating Income</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99103A3"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33,54,000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B457D99"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10.30%</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3F03A50"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31,24,000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1F9DFD5"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9.53%</w:t>
            </w:r>
          </w:p>
        </w:tc>
      </w:tr>
      <w:tr w:rsidR="00D213D0" w:rsidRPr="00FC6C4D" w14:paraId="12CD1892" w14:textId="77777777">
        <w:trPr>
          <w:trHeight w:val="815"/>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7C0FE88C" w14:textId="31951AC2"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 xml:space="preserve">Net </w:t>
            </w:r>
            <w:r w:rsidR="00F16321" w:rsidRPr="00FC6C4D">
              <w:rPr>
                <w:rFonts w:ascii="Times New Roman" w:eastAsia="Times New Roman" w:hAnsi="Times New Roman" w:cs="Times New Roman"/>
                <w:sz w:val="20"/>
                <w:szCs w:val="20"/>
              </w:rPr>
              <w:t>Non-Operating</w:t>
            </w:r>
            <w:r w:rsidRPr="00FC6C4D">
              <w:rPr>
                <w:rFonts w:ascii="Times New Roman" w:eastAsia="Times New Roman" w:hAnsi="Times New Roman" w:cs="Times New Roman"/>
                <w:sz w:val="20"/>
                <w:szCs w:val="20"/>
              </w:rPr>
              <w:t xml:space="preserve"> Interest Income Expense</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09593774"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-3,18,000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3EB10288"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-1.20%</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7BAE763"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-4,15,000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84B7B7C"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-1.55%</w:t>
            </w:r>
          </w:p>
        </w:tc>
      </w:tr>
      <w:tr w:rsidR="00D213D0" w:rsidRPr="00FC6C4D" w14:paraId="72511872" w14:textId="77777777">
        <w:trPr>
          <w:trHeight w:val="740"/>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1344851"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lastRenderedPageBreak/>
              <w:t>Pretax Income</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DC73CDE"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25,51,000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F76EAA3"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42.25%</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20144ED3"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32,38,000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4620C5CD"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53.72%</w:t>
            </w:r>
          </w:p>
        </w:tc>
      </w:tr>
      <w:tr w:rsidR="00D213D0" w:rsidRPr="00FC6C4D" w14:paraId="2AE35BE7" w14:textId="77777777">
        <w:trPr>
          <w:trHeight w:val="740"/>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2C23B87D"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Tax Provision</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1695C9D"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8,86,000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212DEA1"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33.01%</w:t>
            </w:r>
          </w:p>
        </w:tc>
        <w:tc>
          <w:tcPr>
            <w:tcW w:w="17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58F3C065"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3,31,000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1A28D0EA"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11.40%</w:t>
            </w:r>
          </w:p>
        </w:tc>
      </w:tr>
      <w:tr w:rsidR="00D213D0" w:rsidRPr="00FC6C4D" w14:paraId="4C66A168" w14:textId="77777777">
        <w:trPr>
          <w:trHeight w:val="815"/>
        </w:trPr>
        <w:tc>
          <w:tcPr>
            <w:tcW w:w="2730"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vAlign w:val="bottom"/>
          </w:tcPr>
          <w:p w14:paraId="6F497DEA" w14:textId="77777777" w:rsidR="00D213D0" w:rsidRPr="00FC6C4D" w:rsidRDefault="00000000" w:rsidP="00AA6A7F">
            <w:pPr>
              <w:spacing w:before="240" w:line="480" w:lineRule="auto"/>
              <w:jc w:val="center"/>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Net Income Common Stockholders</w:t>
            </w:r>
          </w:p>
        </w:tc>
        <w:tc>
          <w:tcPr>
            <w:tcW w:w="1710" w:type="dxa"/>
            <w:tcBorders>
              <w:top w:val="nil"/>
              <w:left w:val="nil"/>
              <w:bottom w:val="single" w:sz="5" w:space="0" w:color="000000"/>
              <w:right w:val="single" w:sz="5" w:space="0" w:color="CCCCCC"/>
            </w:tcBorders>
            <w:shd w:val="clear" w:color="auto" w:fill="auto"/>
            <w:tcMar>
              <w:top w:w="100" w:type="dxa"/>
              <w:left w:w="100" w:type="dxa"/>
              <w:bottom w:w="100" w:type="dxa"/>
              <w:right w:w="100" w:type="dxa"/>
            </w:tcMar>
            <w:vAlign w:val="bottom"/>
          </w:tcPr>
          <w:p w14:paraId="71706168"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15,70,000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7F55C618"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66.98%</w:t>
            </w:r>
          </w:p>
        </w:tc>
        <w:tc>
          <w:tcPr>
            <w:tcW w:w="1710" w:type="dxa"/>
            <w:tcBorders>
              <w:top w:val="nil"/>
              <w:left w:val="nil"/>
              <w:bottom w:val="single" w:sz="5" w:space="0" w:color="000000"/>
              <w:right w:val="single" w:sz="5" w:space="0" w:color="CCCCCC"/>
            </w:tcBorders>
            <w:shd w:val="clear" w:color="auto" w:fill="auto"/>
            <w:tcMar>
              <w:top w:w="100" w:type="dxa"/>
              <w:left w:w="100" w:type="dxa"/>
              <w:bottom w:w="100" w:type="dxa"/>
              <w:right w:w="100" w:type="dxa"/>
            </w:tcMar>
            <w:vAlign w:val="bottom"/>
          </w:tcPr>
          <w:p w14:paraId="189D758A" w14:textId="77777777" w:rsidR="00D213D0" w:rsidRPr="00FC6C4D" w:rsidRDefault="00000000" w:rsidP="00AA6A7F">
            <w:pPr>
              <w:spacing w:before="240" w:line="480" w:lineRule="auto"/>
              <w:jc w:val="right"/>
              <w:rPr>
                <w:rFonts w:ascii="Times New Roman" w:eastAsia="Times New Roman" w:hAnsi="Times New Roman" w:cs="Times New Roman"/>
                <w:sz w:val="20"/>
                <w:szCs w:val="20"/>
              </w:rPr>
            </w:pPr>
            <w:r w:rsidRPr="00FC6C4D">
              <w:rPr>
                <w:rFonts w:ascii="Times New Roman" w:eastAsia="Times New Roman" w:hAnsi="Times New Roman" w:cs="Times New Roman"/>
                <w:sz w:val="20"/>
                <w:szCs w:val="20"/>
              </w:rPr>
              <w:t>28,34,000</w:t>
            </w:r>
          </w:p>
        </w:tc>
        <w:tc>
          <w:tcPr>
            <w:tcW w:w="136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vAlign w:val="bottom"/>
          </w:tcPr>
          <w:p w14:paraId="6BB2FB7B" w14:textId="77777777" w:rsidR="00D213D0" w:rsidRPr="00FC6C4D" w:rsidRDefault="00000000" w:rsidP="00AA6A7F">
            <w:pPr>
              <w:spacing w:before="240" w:line="480" w:lineRule="auto"/>
              <w:jc w:val="right"/>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115.48%</w:t>
            </w:r>
          </w:p>
        </w:tc>
      </w:tr>
    </w:tbl>
    <w:p w14:paraId="184AF936" w14:textId="77777777" w:rsidR="00D213D0" w:rsidRPr="00FC6C4D" w:rsidRDefault="00D213D0" w:rsidP="00AA6A7F">
      <w:pPr>
        <w:spacing w:line="480" w:lineRule="auto"/>
        <w:jc w:val="center"/>
        <w:rPr>
          <w:rFonts w:ascii="Times New Roman" w:eastAsia="Times New Roman" w:hAnsi="Times New Roman" w:cs="Times New Roman"/>
          <w:sz w:val="24"/>
          <w:szCs w:val="24"/>
        </w:rPr>
      </w:pPr>
    </w:p>
    <w:p w14:paraId="0F474BB6"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Vertical analysis presented 81.45% cost of revenue of financial year 2022 that was 81.62% in financial year 2021. According to the comparative information, the gross profit margin has been increased based on revenue is 22.77% in the financial year 2021. Vertical research showed that the cost of revenue for the fiscal year 2022 was 81.45% lower than it was for the fiscal year 2021 (81.62%). According to comparison data, the gross-profit margin has improved and will be 22.77% based on revenue in fiscal year 2021 (Jahangir </w:t>
      </w:r>
      <w:r w:rsidRPr="00FC6C4D">
        <w:rPr>
          <w:rFonts w:ascii="Times New Roman" w:eastAsia="Times New Roman" w:hAnsi="Times New Roman" w:cs="Times New Roman"/>
          <w:i/>
          <w:sz w:val="24"/>
          <w:szCs w:val="24"/>
        </w:rPr>
        <w:t xml:space="preserve">et al. </w:t>
      </w:r>
      <w:r w:rsidRPr="00FC6C4D">
        <w:rPr>
          <w:rFonts w:ascii="Times New Roman" w:eastAsia="Times New Roman" w:hAnsi="Times New Roman" w:cs="Times New Roman"/>
          <w:sz w:val="24"/>
          <w:szCs w:val="24"/>
        </w:rPr>
        <w:t xml:space="preserve">2021). Vertical analysis also offered data on pretax income for the fiscal years 2022 and 2021, which are 42.25% and 53.72%, respectively. It also supplied data on the increase of gross profit, which declined in the fiscal year 2022 (Pinha &amp; Sagawa, (2020). Vertical analysis also provided information regarding pretax income of financial year 2022 and 2021 are 42.25% and 53.72% it presented information regarding growth of gross profit has fallen down in FY 2022. </w:t>
      </w:r>
    </w:p>
    <w:p w14:paraId="3D303658" w14:textId="77777777" w:rsidR="00D213D0" w:rsidRPr="00FC6C4D" w:rsidRDefault="00000000" w:rsidP="00AA6A7F">
      <w:pPr>
        <w:pStyle w:val="Heading1"/>
        <w:spacing w:line="480" w:lineRule="auto"/>
      </w:pPr>
      <w:bookmarkStart w:id="7" w:name="_c77qfoqxxitv" w:colFirst="0" w:colLast="0"/>
      <w:bookmarkStart w:id="8" w:name="_Toc138279537"/>
      <w:bookmarkEnd w:id="7"/>
      <w:r w:rsidRPr="00FC6C4D">
        <w:t>(iv) Balanced scorecard covering FOUR perspectives</w:t>
      </w:r>
      <w:bookmarkEnd w:id="8"/>
      <w:r w:rsidRPr="00FC6C4D">
        <w:t xml:space="preserve"> </w:t>
      </w:r>
    </w:p>
    <w:p w14:paraId="7DA1B4C4" w14:textId="77777777" w:rsidR="00D213D0" w:rsidRPr="00FC6C4D" w:rsidRDefault="00D213D0" w:rsidP="00AA6A7F">
      <w:pPr>
        <w:spacing w:line="480" w:lineRule="auto"/>
        <w:jc w:val="center"/>
        <w:rPr>
          <w:rFonts w:ascii="Times New Roman" w:eastAsia="Times New Roman" w:hAnsi="Times New Roman" w:cs="Times New Roman"/>
          <w:sz w:val="24"/>
          <w:szCs w:val="24"/>
        </w:rPr>
      </w:pPr>
    </w:p>
    <w:tbl>
      <w:tblPr>
        <w:tblStyle w:val="a6"/>
        <w:tblW w:w="9360" w:type="dxa"/>
        <w:tblBorders>
          <w:top w:val="nil"/>
          <w:left w:val="nil"/>
          <w:bottom w:val="nil"/>
          <w:right w:val="nil"/>
          <w:insideH w:val="nil"/>
          <w:insideV w:val="nil"/>
        </w:tblBorders>
        <w:tblLayout w:type="fixed"/>
        <w:tblLook w:val="0600" w:firstRow="0" w:lastRow="0" w:firstColumn="0" w:lastColumn="0" w:noHBand="1" w:noVBand="1"/>
      </w:tblPr>
      <w:tblGrid>
        <w:gridCol w:w="430"/>
        <w:gridCol w:w="1137"/>
        <w:gridCol w:w="831"/>
        <w:gridCol w:w="610"/>
        <w:gridCol w:w="590"/>
        <w:gridCol w:w="611"/>
        <w:gridCol w:w="590"/>
        <w:gridCol w:w="611"/>
        <w:gridCol w:w="590"/>
        <w:gridCol w:w="611"/>
        <w:gridCol w:w="590"/>
        <w:gridCol w:w="1106"/>
        <w:gridCol w:w="1053"/>
      </w:tblGrid>
      <w:tr w:rsidR="00D213D0" w:rsidRPr="00FC6C4D" w14:paraId="0B7EF7CE" w14:textId="77777777">
        <w:trPr>
          <w:trHeight w:val="1650"/>
        </w:trPr>
        <w:tc>
          <w:tcPr>
            <w:tcW w:w="431" w:type="dxa"/>
            <w:tcBorders>
              <w:top w:val="single" w:sz="5" w:space="0" w:color="000000"/>
              <w:left w:val="single" w:sz="5" w:space="0" w:color="000000"/>
              <w:bottom w:val="single" w:sz="5" w:space="0" w:color="000000"/>
              <w:right w:val="single" w:sz="5" w:space="0" w:color="000000"/>
            </w:tcBorders>
            <w:tcMar>
              <w:top w:w="100" w:type="dxa"/>
              <w:left w:w="100" w:type="dxa"/>
              <w:bottom w:w="100" w:type="dxa"/>
              <w:right w:w="100" w:type="dxa"/>
            </w:tcMar>
          </w:tcPr>
          <w:p w14:paraId="3FA0CB7F"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lastRenderedPageBreak/>
              <w:t>S.L. NO</w:t>
            </w:r>
          </w:p>
        </w:tc>
        <w:tc>
          <w:tcPr>
            <w:tcW w:w="1137"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16ABB090"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Measure</w:t>
            </w:r>
          </w:p>
        </w:tc>
        <w:tc>
          <w:tcPr>
            <w:tcW w:w="831" w:type="dxa"/>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53A14D97"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Financial Year Target (Score)</w:t>
            </w:r>
          </w:p>
        </w:tc>
        <w:tc>
          <w:tcPr>
            <w:tcW w:w="1199" w:type="dxa"/>
            <w:gridSpan w:val="2"/>
            <w:tcBorders>
              <w:top w:val="single" w:sz="5" w:space="0" w:color="000000"/>
              <w:left w:val="nil"/>
              <w:bottom w:val="single" w:sz="5" w:space="0" w:color="000000"/>
              <w:right w:val="single" w:sz="5" w:space="0" w:color="000000"/>
            </w:tcBorders>
            <w:tcMar>
              <w:top w:w="100" w:type="dxa"/>
              <w:left w:w="100" w:type="dxa"/>
              <w:bottom w:w="100" w:type="dxa"/>
              <w:right w:w="100" w:type="dxa"/>
            </w:tcMar>
          </w:tcPr>
          <w:p w14:paraId="6E2A8C6B"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Quarter 1(Score)</w:t>
            </w:r>
          </w:p>
        </w:tc>
        <w:tc>
          <w:tcPr>
            <w:tcW w:w="1199" w:type="dxa"/>
            <w:gridSpan w:val="2"/>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7159DAA8"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Quarter 2 (Score)</w:t>
            </w:r>
          </w:p>
        </w:tc>
        <w:tc>
          <w:tcPr>
            <w:tcW w:w="1199" w:type="dxa"/>
            <w:gridSpan w:val="2"/>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F264D8E"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Quarter 3 (Score)</w:t>
            </w:r>
          </w:p>
        </w:tc>
        <w:tc>
          <w:tcPr>
            <w:tcW w:w="1199" w:type="dxa"/>
            <w:gridSpan w:val="2"/>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B79F111"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Quarter 4 (Score)</w:t>
            </w:r>
          </w:p>
        </w:tc>
        <w:tc>
          <w:tcPr>
            <w:tcW w:w="1105"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3021E0A9"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Responsible Person</w:t>
            </w:r>
          </w:p>
        </w:tc>
        <w:tc>
          <w:tcPr>
            <w:tcW w:w="1052" w:type="dxa"/>
            <w:tcBorders>
              <w:top w:val="single" w:sz="5" w:space="0" w:color="000000"/>
              <w:left w:val="nil"/>
              <w:bottom w:val="single" w:sz="5" w:space="0" w:color="000000"/>
              <w:right w:val="single" w:sz="5" w:space="0" w:color="000000"/>
            </w:tcBorders>
            <w:shd w:val="clear" w:color="auto" w:fill="auto"/>
            <w:tcMar>
              <w:top w:w="100" w:type="dxa"/>
              <w:left w:w="100" w:type="dxa"/>
              <w:bottom w:w="100" w:type="dxa"/>
              <w:right w:w="100" w:type="dxa"/>
            </w:tcMar>
          </w:tcPr>
          <w:p w14:paraId="1EB471D0"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Year to Day Performance</w:t>
            </w:r>
          </w:p>
        </w:tc>
      </w:tr>
      <w:tr w:rsidR="00D213D0" w:rsidRPr="00FC6C4D" w14:paraId="1AFA980A" w14:textId="77777777">
        <w:trPr>
          <w:trHeight w:val="57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F55901"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F64338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21AD7A1"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ACF1DDF"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Actual</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6B9BA72"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Target</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E32775C"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Actual</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19FD5C"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Target</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D196C7D"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Actual</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363EED8"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Target</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CEC2FD"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Actual</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1B3AAE" w14:textId="77777777" w:rsidR="00D213D0" w:rsidRPr="00FC6C4D" w:rsidRDefault="00000000" w:rsidP="00AA6A7F">
            <w:pPr>
              <w:spacing w:before="240" w:after="240" w:line="480" w:lineRule="auto"/>
              <w:jc w:val="center"/>
              <w:rPr>
                <w:rFonts w:ascii="Times New Roman" w:eastAsia="Times New Roman" w:hAnsi="Times New Roman" w:cs="Times New Roman"/>
                <w:b/>
                <w:i/>
                <w:sz w:val="24"/>
                <w:szCs w:val="24"/>
                <w:highlight w:val="white"/>
              </w:rPr>
            </w:pPr>
            <w:r w:rsidRPr="00FC6C4D">
              <w:rPr>
                <w:rFonts w:ascii="Times New Roman" w:eastAsia="Times New Roman" w:hAnsi="Times New Roman" w:cs="Times New Roman"/>
                <w:b/>
                <w:i/>
                <w:sz w:val="24"/>
                <w:szCs w:val="24"/>
                <w:highlight w:val="white"/>
              </w:rPr>
              <w:t>Target</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DA6E5B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C7D31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r>
      <w:tr w:rsidR="00D213D0" w:rsidRPr="00FC6C4D" w14:paraId="43975795" w14:textId="77777777">
        <w:trPr>
          <w:trHeight w:val="525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AA77A5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60C6898"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Customer Satisfaction</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1549AA"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100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5CB7CC4F"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18</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225CC77"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25</w:t>
            </w:r>
          </w:p>
        </w:tc>
        <w:tc>
          <w:tcPr>
            <w:tcW w:w="610"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14:paraId="4F21BBEF"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11</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339D55"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25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4327BA18"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22</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1AF9FE"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25</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33F565DB"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17</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8516191"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25</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518DDC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The marketing team is exclusively responsible for making sure that customer satisfacti</w:t>
            </w:r>
            <w:r w:rsidRPr="00FC6C4D">
              <w:rPr>
                <w:rFonts w:ascii="Times New Roman" w:eastAsia="Times New Roman" w:hAnsi="Times New Roman" w:cs="Times New Roman"/>
                <w:sz w:val="24"/>
                <w:szCs w:val="24"/>
              </w:rPr>
              <w:lastRenderedPageBreak/>
              <w:t>on levels rise in order to gauge success and customer happiness.</w:t>
            </w:r>
          </w:p>
        </w:tc>
        <w:tc>
          <w:tcPr>
            <w:tcW w:w="1052"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7601F16A"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lastRenderedPageBreak/>
              <w:t>68</w:t>
            </w:r>
          </w:p>
        </w:tc>
      </w:tr>
      <w:tr w:rsidR="00D213D0" w:rsidRPr="00FC6C4D" w14:paraId="3EA3D18C" w14:textId="77777777">
        <w:trPr>
          <w:trHeight w:val="129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007D48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7704FD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Empowerment of Customer Engagement</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AB422C1"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35</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4BA627A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7</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04CB7F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14:paraId="5A3B623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332C04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0637E8"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0</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29BA543"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181FB6F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3BBAB81"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15</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AF320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592013C8"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18</w:t>
            </w:r>
          </w:p>
        </w:tc>
      </w:tr>
      <w:tr w:rsidR="00D213D0" w:rsidRPr="00FC6C4D" w14:paraId="089681C3" w14:textId="77777777">
        <w:trPr>
          <w:trHeight w:val="165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DAAC54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B5FBB7F"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Increase in Level of Customer Satisfaction</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2A8A42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30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4AAEE5D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2B3D88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5</w:t>
            </w:r>
          </w:p>
        </w:tc>
        <w:tc>
          <w:tcPr>
            <w:tcW w:w="610"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14:paraId="3887473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C46A2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6228BA66"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13</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F83B44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15</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A887E7"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0</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72568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0</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36F2A7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5ABC65B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21</w:t>
            </w:r>
          </w:p>
        </w:tc>
      </w:tr>
      <w:tr w:rsidR="00D213D0" w:rsidRPr="00FC6C4D" w14:paraId="1F5EC1FC" w14:textId="77777777">
        <w:trPr>
          <w:trHeight w:val="129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0FCC16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lastRenderedPageBreak/>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B9347C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Response to complaints and feedbacks</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36920F"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35</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048E3CB1"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7</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FBB13DD"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26F5DCA7"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1EC491"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5467B69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9</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9D5408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751994A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9</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16865B7"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130D5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6EF3F083"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28</w:t>
            </w:r>
          </w:p>
        </w:tc>
      </w:tr>
      <w:tr w:rsidR="00D213D0" w:rsidRPr="00FC6C4D" w14:paraId="75A4D256" w14:textId="77777777">
        <w:trPr>
          <w:trHeight w:val="561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1144A5B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2</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195DD55"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Operational Performance Boost</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D58D1C8"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100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1374BF93"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15</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E61CAF"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25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16E7147B"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21</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A098149"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25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19B1A141"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22</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E840099"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25</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3917BA16"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14</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E4AA2ED"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25</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0593C21"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rPr>
              <w:t>The operation manager and team are the most important and crucial individuals responsible for guarante</w:t>
            </w:r>
            <w:r w:rsidRPr="00FC6C4D">
              <w:rPr>
                <w:rFonts w:ascii="Times New Roman" w:eastAsia="Times New Roman" w:hAnsi="Times New Roman" w:cs="Times New Roman"/>
                <w:sz w:val="24"/>
                <w:szCs w:val="24"/>
              </w:rPr>
              <w:lastRenderedPageBreak/>
              <w:t xml:space="preserve">eing an improvement in operational performances. </w:t>
            </w: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2A64BC9E"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lastRenderedPageBreak/>
              <w:t>72</w:t>
            </w:r>
          </w:p>
        </w:tc>
      </w:tr>
      <w:tr w:rsidR="00D213D0" w:rsidRPr="00FC6C4D" w14:paraId="0128625D" w14:textId="77777777">
        <w:trPr>
          <w:trHeight w:val="129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4F261E6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4687A3C" w14:textId="1AE13820" w:rsidR="00D213D0" w:rsidRPr="00FC6C4D" w:rsidRDefault="00F16321"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Minimization</w:t>
            </w:r>
            <w:r w:rsidR="00000000" w:rsidRPr="00FC6C4D">
              <w:rPr>
                <w:rFonts w:ascii="Times New Roman" w:eastAsia="Times New Roman" w:hAnsi="Times New Roman" w:cs="Times New Roman"/>
                <w:sz w:val="24"/>
                <w:szCs w:val="24"/>
                <w:highlight w:val="white"/>
              </w:rPr>
              <w:t xml:space="preserve"> in reduction of Resources</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726011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40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480509D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5</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457CE0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3786E617"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D35BF2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21F2D086"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12</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B36759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15</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734A756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A85DB6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5</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C3E340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095E492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26</w:t>
            </w:r>
          </w:p>
        </w:tc>
      </w:tr>
      <w:tr w:rsidR="00D213D0" w:rsidRPr="00FC6C4D" w14:paraId="4E9D3EC8" w14:textId="77777777">
        <w:trPr>
          <w:trHeight w:val="294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552486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0B151B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Optimization in daily productio</w:t>
            </w:r>
            <w:r w:rsidRPr="00FC6C4D">
              <w:rPr>
                <w:rFonts w:ascii="Times New Roman" w:eastAsia="Times New Roman" w:hAnsi="Times New Roman" w:cs="Times New Roman"/>
                <w:sz w:val="24"/>
                <w:szCs w:val="24"/>
                <w:highlight w:val="white"/>
              </w:rPr>
              <w:lastRenderedPageBreak/>
              <w:t>n capacity</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D99CAAF"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lastRenderedPageBreak/>
              <w:t>20</w:t>
            </w:r>
          </w:p>
        </w:tc>
        <w:tc>
          <w:tcPr>
            <w:tcW w:w="610"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14:paraId="4001824D"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4F09F03"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6E11042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5</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DD9A37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5</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5FD3F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0</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4542B4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7C0D66F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933C43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1FBF5C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7A0FE3A6"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15</w:t>
            </w:r>
          </w:p>
        </w:tc>
      </w:tr>
      <w:tr w:rsidR="00D213D0" w:rsidRPr="00FC6C4D" w14:paraId="0671D31F" w14:textId="77777777">
        <w:trPr>
          <w:trHeight w:val="129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017E52A8"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359BE5" w14:textId="356C8FD9" w:rsidR="00D213D0" w:rsidRPr="00FC6C4D" w:rsidRDefault="00F16321"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Minimization</w:t>
            </w:r>
            <w:r w:rsidR="00000000" w:rsidRPr="00FC6C4D">
              <w:rPr>
                <w:rFonts w:ascii="Times New Roman" w:eastAsia="Times New Roman" w:hAnsi="Times New Roman" w:cs="Times New Roman"/>
                <w:sz w:val="24"/>
                <w:szCs w:val="24"/>
                <w:highlight w:val="white"/>
              </w:rPr>
              <w:t xml:space="preserve"> of cost and Expenses</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AA881F"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40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7634C9B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22BD4D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46900D4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F5AFF5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01037C1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DBB2D27"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14:paraId="10C02BF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763F01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FFF374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4CF8F8E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31</w:t>
            </w:r>
          </w:p>
        </w:tc>
      </w:tr>
      <w:tr w:rsidR="00D213D0" w:rsidRPr="00FC6C4D" w14:paraId="188307F0" w14:textId="77777777">
        <w:trPr>
          <w:trHeight w:val="309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7BD02E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3</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92481E7" w14:textId="77777777" w:rsidR="00D213D0" w:rsidRPr="00FC6C4D" w:rsidRDefault="00000000" w:rsidP="00AA6A7F">
            <w:pPr>
              <w:spacing w:before="240" w:after="240" w:line="480" w:lineRule="auto"/>
              <w:jc w:val="center"/>
              <w:rPr>
                <w:rFonts w:ascii="Times New Roman" w:eastAsia="Times New Roman" w:hAnsi="Times New Roman" w:cs="Times New Roman"/>
                <w:b/>
                <w:sz w:val="24"/>
                <w:szCs w:val="24"/>
                <w:highlight w:val="white"/>
              </w:rPr>
            </w:pPr>
            <w:r w:rsidRPr="00FC6C4D">
              <w:rPr>
                <w:rFonts w:ascii="Times New Roman" w:eastAsia="Times New Roman" w:hAnsi="Times New Roman" w:cs="Times New Roman"/>
                <w:b/>
                <w:sz w:val="24"/>
                <w:szCs w:val="24"/>
                <w:highlight w:val="white"/>
              </w:rPr>
              <w:t>Evaluation and increment in Financial Performance</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89840AD"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63F60AC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20</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109787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25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13607D0D"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22</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7AA183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25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536ED9A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19</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EA1C5F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25</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7F33B7A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13</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1A046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25</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727787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The Imperial Brands PLC finance management is in charge of doing the financial </w:t>
            </w:r>
            <w:r w:rsidRPr="00FC6C4D">
              <w:rPr>
                <w:rFonts w:ascii="Times New Roman" w:eastAsia="Times New Roman" w:hAnsi="Times New Roman" w:cs="Times New Roman"/>
                <w:sz w:val="24"/>
                <w:szCs w:val="24"/>
              </w:rPr>
              <w:lastRenderedPageBreak/>
              <w:t>parameter review.</w:t>
            </w:r>
          </w:p>
        </w:tc>
        <w:tc>
          <w:tcPr>
            <w:tcW w:w="1052"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5045957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lastRenderedPageBreak/>
              <w:t>78</w:t>
            </w:r>
          </w:p>
        </w:tc>
      </w:tr>
      <w:tr w:rsidR="00D213D0" w:rsidRPr="00FC6C4D" w14:paraId="3A1A6294" w14:textId="77777777">
        <w:trPr>
          <w:trHeight w:val="129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75D44DA3"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CB3630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Generating more revenue streams</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EB8E83"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35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3FC7189F"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8</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4086E37"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627927B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9</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CF69636"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7AED8EE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690F6DD"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5</w:t>
            </w:r>
          </w:p>
        </w:tc>
        <w:tc>
          <w:tcPr>
            <w:tcW w:w="610" w:type="dxa"/>
            <w:tcBorders>
              <w:top w:val="nil"/>
              <w:left w:val="nil"/>
              <w:bottom w:val="single" w:sz="5" w:space="0" w:color="000000"/>
              <w:right w:val="single" w:sz="5" w:space="0" w:color="000000"/>
            </w:tcBorders>
            <w:shd w:val="clear" w:color="auto" w:fill="FF0000"/>
            <w:tcMar>
              <w:top w:w="100" w:type="dxa"/>
              <w:left w:w="100" w:type="dxa"/>
              <w:bottom w:w="100" w:type="dxa"/>
              <w:right w:w="100" w:type="dxa"/>
            </w:tcMar>
          </w:tcPr>
          <w:p w14:paraId="025B2AF8"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E8C25C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1928AF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4DEA8C6F"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24</w:t>
            </w:r>
          </w:p>
        </w:tc>
      </w:tr>
      <w:tr w:rsidR="00D213D0" w:rsidRPr="00FC6C4D" w14:paraId="5DA33A45" w14:textId="77777777">
        <w:trPr>
          <w:trHeight w:val="93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2144A2F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12C46A7"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Increasing Sales figures</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A9F509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25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4CE41F47"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5</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690C008"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5A23D98F"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4</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C5E16F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5</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30A30D2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10</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A3C060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6BBF2BB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3</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FFD76F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5</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59CA512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41971F9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22</w:t>
            </w:r>
          </w:p>
        </w:tc>
      </w:tr>
      <w:tr w:rsidR="00D213D0" w:rsidRPr="00FC6C4D" w14:paraId="5A14852B" w14:textId="77777777">
        <w:trPr>
          <w:trHeight w:val="201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59FF4A2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CD636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Ensuring Timely delivery of finished products</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F6B7C6D"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40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49912DCD"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7</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196E0E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00FF00"/>
            <w:tcMar>
              <w:top w:w="100" w:type="dxa"/>
              <w:left w:w="100" w:type="dxa"/>
              <w:bottom w:w="100" w:type="dxa"/>
              <w:right w:w="100" w:type="dxa"/>
            </w:tcMar>
          </w:tcPr>
          <w:p w14:paraId="743E9FB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9</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2181DFE3"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0E76C82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DE86A7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610"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58490DD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6</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5A54E13"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10</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1B0D54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FFFF00"/>
            <w:tcMar>
              <w:top w:w="100" w:type="dxa"/>
              <w:left w:w="100" w:type="dxa"/>
              <w:bottom w:w="100" w:type="dxa"/>
              <w:right w:w="100" w:type="dxa"/>
            </w:tcMar>
          </w:tcPr>
          <w:p w14:paraId="67F26B8A"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28</w:t>
            </w:r>
          </w:p>
        </w:tc>
      </w:tr>
      <w:tr w:rsidR="00D213D0" w:rsidRPr="00FC6C4D" w14:paraId="4DC395E3" w14:textId="77777777">
        <w:trPr>
          <w:trHeight w:val="570"/>
        </w:trPr>
        <w:tc>
          <w:tcPr>
            <w:tcW w:w="431" w:type="dxa"/>
            <w:tcBorders>
              <w:top w:val="nil"/>
              <w:left w:val="single" w:sz="5" w:space="0" w:color="000000"/>
              <w:bottom w:val="single" w:sz="5" w:space="0" w:color="000000"/>
              <w:right w:val="single" w:sz="5" w:space="0" w:color="000000"/>
            </w:tcBorders>
            <w:shd w:val="clear" w:color="auto" w:fill="auto"/>
            <w:tcMar>
              <w:top w:w="100" w:type="dxa"/>
              <w:left w:w="100" w:type="dxa"/>
              <w:bottom w:w="100" w:type="dxa"/>
              <w:right w:w="100" w:type="dxa"/>
            </w:tcMar>
          </w:tcPr>
          <w:p w14:paraId="60459C0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lastRenderedPageBreak/>
              <w:t xml:space="preserve"> </w:t>
            </w:r>
          </w:p>
        </w:tc>
        <w:tc>
          <w:tcPr>
            <w:tcW w:w="1137"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97EED5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831"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4563082E"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33D98B1"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6D1778D1"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882E4D0"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090C5EC"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1D05B7B8"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F65BE2B"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610"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D3D7DE4"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589"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3B1380D9"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105"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7642E9C2"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c>
          <w:tcPr>
            <w:tcW w:w="1052" w:type="dxa"/>
            <w:tcBorders>
              <w:top w:val="nil"/>
              <w:left w:val="nil"/>
              <w:bottom w:val="single" w:sz="5" w:space="0" w:color="000000"/>
              <w:right w:val="single" w:sz="5" w:space="0" w:color="000000"/>
            </w:tcBorders>
            <w:shd w:val="clear" w:color="auto" w:fill="auto"/>
            <w:tcMar>
              <w:top w:w="100" w:type="dxa"/>
              <w:left w:w="100" w:type="dxa"/>
              <w:bottom w:w="100" w:type="dxa"/>
              <w:right w:w="100" w:type="dxa"/>
            </w:tcMar>
          </w:tcPr>
          <w:p w14:paraId="000EAB05" w14:textId="77777777" w:rsidR="00D213D0" w:rsidRPr="00FC6C4D" w:rsidRDefault="00000000" w:rsidP="00AA6A7F">
            <w:pPr>
              <w:spacing w:before="240" w:after="240" w:line="480" w:lineRule="auto"/>
              <w:jc w:val="center"/>
              <w:rPr>
                <w:rFonts w:ascii="Times New Roman" w:eastAsia="Times New Roman" w:hAnsi="Times New Roman" w:cs="Times New Roman"/>
                <w:sz w:val="24"/>
                <w:szCs w:val="24"/>
                <w:highlight w:val="white"/>
              </w:rPr>
            </w:pPr>
            <w:r w:rsidRPr="00FC6C4D">
              <w:rPr>
                <w:rFonts w:ascii="Times New Roman" w:eastAsia="Times New Roman" w:hAnsi="Times New Roman" w:cs="Times New Roman"/>
                <w:sz w:val="24"/>
                <w:szCs w:val="24"/>
                <w:highlight w:val="white"/>
              </w:rPr>
              <w:t xml:space="preserve"> </w:t>
            </w:r>
          </w:p>
        </w:tc>
      </w:tr>
    </w:tbl>
    <w:p w14:paraId="635A12B6" w14:textId="77777777" w:rsidR="00D213D0" w:rsidRPr="00FC6C4D" w:rsidRDefault="00000000" w:rsidP="00AA6A7F">
      <w:pPr>
        <w:spacing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t>Table 1: Balance score card</w:t>
      </w:r>
    </w:p>
    <w:p w14:paraId="118CB127" w14:textId="77777777" w:rsidR="00D213D0" w:rsidRPr="00FC6C4D" w:rsidRDefault="00000000" w:rsidP="00AA6A7F">
      <w:pPr>
        <w:spacing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(Source: Created by the learner)</w:t>
      </w:r>
    </w:p>
    <w:p w14:paraId="5D74E142"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This rise has been hailed as a success for the organization's financial strategy and also gives it access to enough resources to support business expansion. Positive ROCE growth has been interpreted as an investor engagement that presents a possibility to gather capital for long-term business operation expansion (Janssens </w:t>
      </w:r>
      <w:r w:rsidRPr="00FC6C4D">
        <w:rPr>
          <w:rFonts w:ascii="Times New Roman" w:eastAsia="Times New Roman" w:hAnsi="Times New Roman" w:cs="Times New Roman"/>
          <w:i/>
          <w:sz w:val="24"/>
          <w:szCs w:val="24"/>
        </w:rPr>
        <w:t xml:space="preserve">et al. </w:t>
      </w:r>
      <w:r w:rsidRPr="00FC6C4D">
        <w:rPr>
          <w:rFonts w:ascii="Times New Roman" w:eastAsia="Times New Roman" w:hAnsi="Times New Roman" w:cs="Times New Roman"/>
          <w:sz w:val="24"/>
          <w:szCs w:val="24"/>
        </w:rPr>
        <w:t xml:space="preserve">2021). Imperial brand struggled to maintain enough growth in revenue volume to expand business operations continuously, which required a sufficient cash input. The organizational cost management strategies' ineffectiveness in managing operational activity is also shown by the net profit margin, which affects net profit volume (Palepu </w:t>
      </w:r>
      <w:r w:rsidRPr="00FC6C4D">
        <w:rPr>
          <w:rFonts w:ascii="Times New Roman" w:eastAsia="Times New Roman" w:hAnsi="Times New Roman" w:cs="Times New Roman"/>
          <w:i/>
          <w:sz w:val="24"/>
          <w:szCs w:val="24"/>
        </w:rPr>
        <w:t xml:space="preserve">et al. </w:t>
      </w:r>
      <w:r w:rsidRPr="00FC6C4D">
        <w:rPr>
          <w:rFonts w:ascii="Times New Roman" w:eastAsia="Times New Roman" w:hAnsi="Times New Roman" w:cs="Times New Roman"/>
          <w:sz w:val="24"/>
          <w:szCs w:val="24"/>
        </w:rPr>
        <w:t xml:space="preserve">2020). Positive ROCE growth has been interpreted as an investor engagement that presents a possibility to gather capital for long-term business operation expansion. </w:t>
      </w:r>
    </w:p>
    <w:p w14:paraId="67F294BD" w14:textId="77777777" w:rsidR="00D213D0" w:rsidRPr="00FC6C4D" w:rsidRDefault="00000000" w:rsidP="00AA6A7F">
      <w:pPr>
        <w:pStyle w:val="Heading1"/>
        <w:spacing w:line="480" w:lineRule="auto"/>
      </w:pPr>
      <w:bookmarkStart w:id="9" w:name="_gjc564a0w2i1" w:colFirst="0" w:colLast="0"/>
      <w:bookmarkStart w:id="10" w:name="_Toc138279538"/>
      <w:bookmarkEnd w:id="9"/>
      <w:r w:rsidRPr="00FC6C4D">
        <w:t>(v) Strategy map that links with the balanced scorecard</w:t>
      </w:r>
      <w:bookmarkEnd w:id="10"/>
    </w:p>
    <w:p w14:paraId="604108D9" w14:textId="77777777" w:rsidR="00D213D0" w:rsidRPr="00FC6C4D" w:rsidRDefault="00000000" w:rsidP="00AA6A7F">
      <w:pPr>
        <w:spacing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noProof/>
          <w:sz w:val="24"/>
          <w:szCs w:val="24"/>
        </w:rPr>
        <w:drawing>
          <wp:inline distT="114300" distB="114300" distL="114300" distR="114300" wp14:anchorId="3CA679B5" wp14:editId="5997E620">
            <wp:extent cx="4819650" cy="2645159"/>
            <wp:effectExtent l="12700" t="12700" r="12700" b="127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819650" cy="2645159"/>
                    </a:xfrm>
                    <a:prstGeom prst="rect">
                      <a:avLst/>
                    </a:prstGeom>
                    <a:ln w="12700">
                      <a:solidFill>
                        <a:srgbClr val="000000"/>
                      </a:solidFill>
                      <a:prstDash val="solid"/>
                    </a:ln>
                  </pic:spPr>
                </pic:pic>
              </a:graphicData>
            </a:graphic>
          </wp:inline>
        </w:drawing>
      </w:r>
    </w:p>
    <w:p w14:paraId="39FD6624" w14:textId="77777777" w:rsidR="00D213D0" w:rsidRPr="00FC6C4D" w:rsidRDefault="00000000" w:rsidP="00AA6A7F">
      <w:pPr>
        <w:spacing w:line="480" w:lineRule="auto"/>
        <w:jc w:val="center"/>
        <w:rPr>
          <w:rFonts w:ascii="Times New Roman" w:eastAsia="Times New Roman" w:hAnsi="Times New Roman" w:cs="Times New Roman"/>
          <w:b/>
          <w:sz w:val="24"/>
          <w:szCs w:val="24"/>
        </w:rPr>
      </w:pPr>
      <w:r w:rsidRPr="00FC6C4D">
        <w:rPr>
          <w:rFonts w:ascii="Times New Roman" w:eastAsia="Times New Roman" w:hAnsi="Times New Roman" w:cs="Times New Roman"/>
          <w:b/>
          <w:sz w:val="24"/>
          <w:szCs w:val="24"/>
        </w:rPr>
        <w:lastRenderedPageBreak/>
        <w:t xml:space="preserve">Figure 1: Strategic plan </w:t>
      </w:r>
    </w:p>
    <w:p w14:paraId="49444FD7" w14:textId="77777777" w:rsidR="00D213D0" w:rsidRPr="00FC6C4D" w:rsidRDefault="00000000" w:rsidP="00AA6A7F">
      <w:pPr>
        <w:spacing w:line="480" w:lineRule="auto"/>
        <w:jc w:val="center"/>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(Source: Created by the learner)</w:t>
      </w:r>
    </w:p>
    <w:p w14:paraId="5CB7BFFF" w14:textId="77777777" w:rsidR="00D213D0" w:rsidRPr="00FC6C4D" w:rsidRDefault="00000000" w:rsidP="00AA6A7F">
      <w:pPr>
        <w:spacing w:line="480" w:lineRule="auto"/>
        <w:ind w:firstLine="720"/>
        <w:rPr>
          <w:rFonts w:ascii="Times New Roman" w:eastAsia="Times New Roman" w:hAnsi="Times New Roman" w:cs="Times New Roman"/>
          <w:b/>
          <w:i/>
          <w:sz w:val="24"/>
          <w:szCs w:val="24"/>
        </w:rPr>
      </w:pPr>
      <w:r w:rsidRPr="00FC6C4D">
        <w:rPr>
          <w:rFonts w:ascii="Times New Roman" w:eastAsia="Times New Roman" w:hAnsi="Times New Roman" w:cs="Times New Roman"/>
          <w:sz w:val="24"/>
          <w:szCs w:val="24"/>
        </w:rPr>
        <w:t>Using Cost</w:t>
      </w:r>
      <w:r w:rsidRPr="00FC6C4D">
        <w:rPr>
          <w:rFonts w:ascii="Times New Roman" w:eastAsia="Times New Roman" w:hAnsi="Times New Roman" w:cs="Times New Roman"/>
          <w:b/>
          <w:i/>
          <w:sz w:val="24"/>
          <w:szCs w:val="24"/>
        </w:rPr>
        <w:t xml:space="preserve"> reduction </w:t>
      </w:r>
      <w:r w:rsidRPr="00FC6C4D">
        <w:rPr>
          <w:rFonts w:ascii="Times New Roman" w:eastAsia="Times New Roman" w:hAnsi="Times New Roman" w:cs="Times New Roman"/>
          <w:sz w:val="24"/>
          <w:szCs w:val="24"/>
        </w:rPr>
        <w:t xml:space="preserve">policies, financial resources optimization needs to be a prime objective in business planning. The debt to equity ratio assesses the debt-financed business activity under the Imperial brand that incurs interest costs. Equity is used less frequently than debt financing (Jin </w:t>
      </w:r>
      <w:r w:rsidRPr="00FC6C4D">
        <w:rPr>
          <w:rFonts w:ascii="Times New Roman" w:eastAsia="Times New Roman" w:hAnsi="Times New Roman" w:cs="Times New Roman"/>
          <w:i/>
          <w:sz w:val="24"/>
          <w:szCs w:val="24"/>
        </w:rPr>
        <w:t xml:space="preserve">et al. </w:t>
      </w:r>
      <w:r w:rsidRPr="00FC6C4D">
        <w:rPr>
          <w:rFonts w:ascii="Times New Roman" w:eastAsia="Times New Roman" w:hAnsi="Times New Roman" w:cs="Times New Roman"/>
          <w:sz w:val="24"/>
          <w:szCs w:val="24"/>
        </w:rPr>
        <w:t xml:space="preserve">2021), </w:t>
      </w:r>
      <w:r w:rsidRPr="00FC6C4D">
        <w:rPr>
          <w:rFonts w:ascii="Times New Roman" w:eastAsia="Times New Roman" w:hAnsi="Times New Roman" w:cs="Times New Roman"/>
          <w:b/>
          <w:i/>
          <w:sz w:val="24"/>
          <w:szCs w:val="24"/>
        </w:rPr>
        <w:t xml:space="preserve">Productivity development </w:t>
      </w:r>
      <w:r w:rsidRPr="00FC6C4D">
        <w:rPr>
          <w:rFonts w:ascii="Times New Roman" w:eastAsia="Times New Roman" w:hAnsi="Times New Roman" w:cs="Times New Roman"/>
          <w:sz w:val="24"/>
          <w:szCs w:val="24"/>
        </w:rPr>
        <w:t xml:space="preserve">puts less of a financial strain on net profit volume. </w:t>
      </w:r>
      <w:r w:rsidRPr="00FC6C4D">
        <w:rPr>
          <w:rFonts w:ascii="Times New Roman" w:eastAsia="Times New Roman" w:hAnsi="Times New Roman" w:cs="Times New Roman"/>
          <w:b/>
          <w:i/>
          <w:sz w:val="24"/>
          <w:szCs w:val="24"/>
        </w:rPr>
        <w:t xml:space="preserve">Customer engagement development </w:t>
      </w:r>
      <w:r w:rsidRPr="00FC6C4D">
        <w:rPr>
          <w:rFonts w:ascii="Times New Roman" w:eastAsia="Times New Roman" w:hAnsi="Times New Roman" w:cs="Times New Roman"/>
          <w:sz w:val="24"/>
          <w:szCs w:val="24"/>
        </w:rPr>
        <w:t xml:space="preserve">by utilizing capital gains would be ineffective for operations and activity because debt financing makes customer engagement development difficult for operations and electrical activities to grow to their full potential because a significant amount of overall revenue has been used for interest expenditures rather than marketing expenses. </w:t>
      </w:r>
    </w:p>
    <w:p w14:paraId="104D9220" w14:textId="77777777" w:rsidR="00D213D0" w:rsidRPr="00FC6C4D" w:rsidRDefault="00000000" w:rsidP="00AA6A7F">
      <w:pPr>
        <w:pStyle w:val="Heading1"/>
        <w:spacing w:line="480" w:lineRule="auto"/>
      </w:pPr>
      <w:bookmarkStart w:id="11" w:name="_q59s3uqu4toj" w:colFirst="0" w:colLast="0"/>
      <w:bookmarkStart w:id="12" w:name="_Toc138279539"/>
      <w:bookmarkEnd w:id="11"/>
      <w:r w:rsidRPr="00FC6C4D">
        <w:t>(vi) Engagement and reflection of group work</w:t>
      </w:r>
      <w:bookmarkEnd w:id="12"/>
      <w:r w:rsidRPr="00FC6C4D">
        <w:t xml:space="preserve"> </w:t>
      </w:r>
    </w:p>
    <w:p w14:paraId="0AEB8C1A"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Capital gain regarding information has been reflected about financial resources importance in business operations which needs to be balanced for long term sustainability of business operation. Utilization of capital gain would not work effectively for operation and activity because debt Financing creates issues for sufficient growth in operation electrical activities because a major portion of total revenue has been utilized for interest expenses. </w:t>
      </w:r>
    </w:p>
    <w:p w14:paraId="096A76F3" w14:textId="77777777" w:rsidR="00D213D0" w:rsidRPr="00FC6C4D" w:rsidRDefault="00000000" w:rsidP="00AA6A7F">
      <w:pPr>
        <w:spacing w:line="480" w:lineRule="auto"/>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Return on capital employed evaluating optimization of total assets that could be provided information regarding the organizational aspect has the ability to grow business operations with sustainable cost management. Positive growth in ROCE has been considered as an engagement of investors that could be evaluated as an opportunity to collect financial resources for long term expansion of business operation. Last financial year 2022 return on capital employed has been </w:t>
      </w:r>
      <w:r w:rsidRPr="00FC6C4D">
        <w:rPr>
          <w:rFonts w:ascii="Times New Roman" w:eastAsia="Times New Roman" w:hAnsi="Times New Roman" w:cs="Times New Roman"/>
          <w:sz w:val="24"/>
          <w:szCs w:val="24"/>
        </w:rPr>
        <w:lastRenderedPageBreak/>
        <w:t xml:space="preserve">identified as 30.47% it could be considered as deficit where management needs to focus on cash inflow for better return on capital employed establishment. </w:t>
      </w:r>
    </w:p>
    <w:p w14:paraId="5461EFEA"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Excessive consumption of debt impacts negatively on profitability  that have been evaluated by analysis because excessive interest expenses reduce ultimate profitability of Imperial brand. Continuous progression of business activity required sufficient cash inflow for growth of business operations where Imperial brand struggled to maintain sufficient growth in revenue volume. </w:t>
      </w:r>
    </w:p>
    <w:p w14:paraId="4C3DC138"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Net profit margin also indicates organizational Cost Management policies not work effectively in operational activity management that disturb net profit volume. </w:t>
      </w:r>
    </w:p>
    <w:p w14:paraId="782A59AE" w14:textId="582051B5" w:rsidR="00D213D0" w:rsidRPr="00FC6C4D" w:rsidRDefault="00000000" w:rsidP="00AA6A7F">
      <w:pPr>
        <w:spacing w:line="480" w:lineRule="auto"/>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Business operation activity depends on current assets that help to continue business operations with sufficient financial </w:t>
      </w:r>
      <w:r w:rsidR="00F16321" w:rsidRPr="00FC6C4D">
        <w:rPr>
          <w:rFonts w:ascii="Times New Roman" w:eastAsia="Times New Roman" w:hAnsi="Times New Roman" w:cs="Times New Roman"/>
          <w:sz w:val="24"/>
          <w:szCs w:val="24"/>
        </w:rPr>
        <w:t>resources. Current</w:t>
      </w:r>
      <w:r w:rsidRPr="00FC6C4D">
        <w:rPr>
          <w:rFonts w:ascii="Times New Roman" w:eastAsia="Times New Roman" w:hAnsi="Times New Roman" w:cs="Times New Roman"/>
          <w:sz w:val="24"/>
          <w:szCs w:val="24"/>
        </w:rPr>
        <w:t xml:space="preserve"> assets presented information regarding availability of cash balance is higher than current liabilities that could be considered as a positive financial situation for Imperial brand to continue business operations. </w:t>
      </w:r>
    </w:p>
    <w:p w14:paraId="0BBF6E56" w14:textId="77777777" w:rsidR="00D213D0" w:rsidRPr="00FC6C4D" w:rsidRDefault="00000000" w:rsidP="00AA6A7F">
      <w:pPr>
        <w:pStyle w:val="Heading1"/>
        <w:spacing w:line="480" w:lineRule="auto"/>
      </w:pPr>
      <w:bookmarkStart w:id="13" w:name="_jr1j1l5oxrej" w:colFirst="0" w:colLast="0"/>
      <w:bookmarkStart w:id="14" w:name="_Toc138279540"/>
      <w:bookmarkEnd w:id="13"/>
      <w:r w:rsidRPr="00FC6C4D">
        <w:t>(vii) Conclusion and recommendation</w:t>
      </w:r>
      <w:bookmarkEnd w:id="14"/>
      <w:r w:rsidRPr="00FC6C4D">
        <w:t xml:space="preserve"> </w:t>
      </w:r>
    </w:p>
    <w:p w14:paraId="49F8921D" w14:textId="77777777" w:rsidR="00D213D0" w:rsidRPr="00FC6C4D" w:rsidRDefault="00000000" w:rsidP="00AA6A7F">
      <w:pPr>
        <w:spacing w:line="480" w:lineRule="auto"/>
        <w:rPr>
          <w:rFonts w:ascii="Times New Roman" w:eastAsia="Times New Roman" w:hAnsi="Times New Roman" w:cs="Times New Roman"/>
          <w:b/>
          <w:i/>
          <w:sz w:val="24"/>
          <w:szCs w:val="24"/>
        </w:rPr>
      </w:pPr>
      <w:r w:rsidRPr="00FC6C4D">
        <w:rPr>
          <w:rFonts w:ascii="Times New Roman" w:eastAsia="Times New Roman" w:hAnsi="Times New Roman" w:cs="Times New Roman"/>
          <w:b/>
          <w:i/>
          <w:sz w:val="24"/>
          <w:szCs w:val="24"/>
        </w:rPr>
        <w:t>Conclusion</w:t>
      </w:r>
    </w:p>
    <w:p w14:paraId="600A3734" w14:textId="77777777"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It has been concluded based on ratio of current assets and liabilities present  lack of growth in the financial aspect where current asset volume growth is required for long term sustainability. The fact that current assets have more information about the cash balance available than current liabilities could be viewed as a good financial development for the Imperial brand's capacity to carry on with operations. Current asset volume growth is necessary for long-term sustainability, however the ratio of current assets to liabilities shows lack of growth in the financial area. The debt to equity ratio assesses the debt-financed business activity </w:t>
      </w:r>
      <w:r w:rsidRPr="00FC6C4D">
        <w:rPr>
          <w:rFonts w:ascii="Times New Roman" w:eastAsia="Times New Roman" w:hAnsi="Times New Roman" w:cs="Times New Roman"/>
          <w:sz w:val="24"/>
          <w:szCs w:val="24"/>
        </w:rPr>
        <w:lastRenderedPageBreak/>
        <w:t xml:space="preserve">under the Imperial brand that incurs interest costs. Equity is used less frequently than debt financing, which puts less of a financial strain on net profit volume. </w:t>
      </w:r>
    </w:p>
    <w:p w14:paraId="02F4A979" w14:textId="77777777" w:rsidR="00D213D0" w:rsidRPr="00FC6C4D" w:rsidRDefault="00000000" w:rsidP="00AA6A7F">
      <w:pPr>
        <w:spacing w:line="480" w:lineRule="auto"/>
        <w:rPr>
          <w:rFonts w:ascii="Times New Roman" w:eastAsia="Times New Roman" w:hAnsi="Times New Roman" w:cs="Times New Roman"/>
          <w:b/>
          <w:i/>
          <w:sz w:val="24"/>
          <w:szCs w:val="24"/>
        </w:rPr>
      </w:pPr>
      <w:r w:rsidRPr="00FC6C4D">
        <w:rPr>
          <w:rFonts w:ascii="Times New Roman" w:eastAsia="Times New Roman" w:hAnsi="Times New Roman" w:cs="Times New Roman"/>
          <w:b/>
          <w:i/>
          <w:sz w:val="24"/>
          <w:szCs w:val="24"/>
        </w:rPr>
        <w:t xml:space="preserve">Recommendation </w:t>
      </w:r>
    </w:p>
    <w:p w14:paraId="7F1649CA" w14:textId="665A4A22" w:rsidR="00D213D0" w:rsidRPr="00FC6C4D" w:rsidRDefault="00000000" w:rsidP="00AA6A7F">
      <w:pPr>
        <w:spacing w:line="480" w:lineRule="auto"/>
        <w:ind w:firstLine="720"/>
        <w:rPr>
          <w:rFonts w:ascii="Times New Roman" w:eastAsia="Times New Roman" w:hAnsi="Times New Roman" w:cs="Times New Roman"/>
          <w:sz w:val="24"/>
          <w:szCs w:val="24"/>
        </w:rPr>
      </w:pPr>
      <w:r w:rsidRPr="00FC6C4D">
        <w:rPr>
          <w:rFonts w:ascii="Times New Roman" w:eastAsia="Times New Roman" w:hAnsi="Times New Roman" w:cs="Times New Roman"/>
          <w:sz w:val="24"/>
          <w:szCs w:val="24"/>
        </w:rPr>
        <w:t xml:space="preserve">Excess debt financing hinders operations and activity from expanding to their full potential by diverting a sizable portion of total revenue to interest payments rather than marketing expenses, sufficient customer engagement development through the use of capital gains might be ineffective for operations and </w:t>
      </w:r>
      <w:r w:rsidR="00F16321" w:rsidRPr="00FC6C4D">
        <w:rPr>
          <w:rFonts w:ascii="Times New Roman" w:eastAsia="Times New Roman" w:hAnsi="Times New Roman" w:cs="Times New Roman"/>
          <w:sz w:val="24"/>
          <w:szCs w:val="24"/>
        </w:rPr>
        <w:t>activity. The</w:t>
      </w:r>
      <w:r w:rsidRPr="00FC6C4D">
        <w:rPr>
          <w:rFonts w:ascii="Times New Roman" w:eastAsia="Times New Roman" w:hAnsi="Times New Roman" w:cs="Times New Roman"/>
          <w:sz w:val="24"/>
          <w:szCs w:val="24"/>
        </w:rPr>
        <w:t xml:space="preserve"> use of cost-cutting initiatives and the </w:t>
      </w:r>
      <w:r w:rsidR="00F16321" w:rsidRPr="00FC6C4D">
        <w:rPr>
          <w:rFonts w:ascii="Times New Roman" w:eastAsia="Times New Roman" w:hAnsi="Times New Roman" w:cs="Times New Roman"/>
          <w:sz w:val="24"/>
          <w:szCs w:val="24"/>
        </w:rPr>
        <w:t>optimization</w:t>
      </w:r>
      <w:r w:rsidRPr="00FC6C4D">
        <w:rPr>
          <w:rFonts w:ascii="Times New Roman" w:eastAsia="Times New Roman" w:hAnsi="Times New Roman" w:cs="Times New Roman"/>
          <w:sz w:val="24"/>
          <w:szCs w:val="24"/>
        </w:rPr>
        <w:t xml:space="preserve"> of financial resources must be the main goals of corporate planning. The debt to equity ratio evaluates the Imperial brand's debt-financed business activity that incurs interest charges. Productivity growth places less of a financial impact on net profit volume since equity is employed less frequently than debt financing. </w:t>
      </w:r>
    </w:p>
    <w:p w14:paraId="1519CB7D" w14:textId="77777777" w:rsidR="00D213D0" w:rsidRPr="00FC6C4D" w:rsidRDefault="00000000" w:rsidP="00AA6A7F">
      <w:pPr>
        <w:spacing w:line="480" w:lineRule="auto"/>
        <w:rPr>
          <w:rFonts w:ascii="Times New Roman" w:eastAsia="Times New Roman" w:hAnsi="Times New Roman" w:cs="Times New Roman"/>
          <w:sz w:val="24"/>
          <w:szCs w:val="24"/>
        </w:rPr>
      </w:pPr>
      <w:r w:rsidRPr="00FC6C4D">
        <w:br w:type="page"/>
      </w:r>
    </w:p>
    <w:p w14:paraId="19A0439E" w14:textId="77777777" w:rsidR="00D213D0" w:rsidRPr="00FC6C4D" w:rsidRDefault="00000000" w:rsidP="00AA6A7F">
      <w:pPr>
        <w:pStyle w:val="Heading1"/>
        <w:spacing w:line="480" w:lineRule="auto"/>
      </w:pPr>
      <w:bookmarkStart w:id="15" w:name="_z49oi3sg4u4b" w:colFirst="0" w:colLast="0"/>
      <w:bookmarkStart w:id="16" w:name="_Toc138279541"/>
      <w:bookmarkEnd w:id="15"/>
      <w:r w:rsidRPr="00FC6C4D">
        <w:lastRenderedPageBreak/>
        <w:t>Reference list</w:t>
      </w:r>
      <w:bookmarkEnd w:id="16"/>
      <w:r w:rsidRPr="00FC6C4D">
        <w:t xml:space="preserve"> </w:t>
      </w:r>
    </w:p>
    <w:p w14:paraId="15484251"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r w:rsidRPr="00FC6C4D">
        <w:rPr>
          <w:rFonts w:ascii="Times New Roman" w:hAnsi="Times New Roman" w:cs="Times New Roman"/>
          <w:color w:val="000000" w:themeColor="text1"/>
          <w:sz w:val="24"/>
          <w:szCs w:val="24"/>
          <w:shd w:val="clear" w:color="auto" w:fill="FFFFFF"/>
        </w:rPr>
        <w:t xml:space="preserve">Chang, V., Li, T., &amp; Zeng, Z. (2019). Towards an improved </w:t>
      </w:r>
      <w:proofErr w:type="spellStart"/>
      <w:r w:rsidRPr="00FC6C4D">
        <w:rPr>
          <w:rFonts w:ascii="Times New Roman" w:hAnsi="Times New Roman" w:cs="Times New Roman"/>
          <w:color w:val="000000" w:themeColor="text1"/>
          <w:sz w:val="24"/>
          <w:szCs w:val="24"/>
          <w:shd w:val="clear" w:color="auto" w:fill="FFFFFF"/>
        </w:rPr>
        <w:t>Adaboost</w:t>
      </w:r>
      <w:proofErr w:type="spellEnd"/>
      <w:r w:rsidRPr="00FC6C4D">
        <w:rPr>
          <w:rFonts w:ascii="Times New Roman" w:hAnsi="Times New Roman" w:cs="Times New Roman"/>
          <w:color w:val="000000" w:themeColor="text1"/>
          <w:sz w:val="24"/>
          <w:szCs w:val="24"/>
          <w:shd w:val="clear" w:color="auto" w:fill="FFFFFF"/>
        </w:rPr>
        <w:t xml:space="preserve"> algorithmic method for computational financial analysis. </w:t>
      </w:r>
      <w:r w:rsidRPr="00FC6C4D">
        <w:rPr>
          <w:rFonts w:ascii="Times New Roman" w:hAnsi="Times New Roman" w:cs="Times New Roman"/>
          <w:i/>
          <w:iCs/>
          <w:color w:val="000000" w:themeColor="text1"/>
          <w:sz w:val="24"/>
          <w:szCs w:val="24"/>
          <w:shd w:val="clear" w:color="auto" w:fill="FFFFFF"/>
        </w:rPr>
        <w:t>Journal of Parallel and Distributed Computing</w:t>
      </w:r>
      <w:r w:rsidRPr="00FC6C4D">
        <w:rPr>
          <w:rFonts w:ascii="Times New Roman" w:hAnsi="Times New Roman" w:cs="Times New Roman"/>
          <w:color w:val="000000" w:themeColor="text1"/>
          <w:sz w:val="24"/>
          <w:szCs w:val="24"/>
          <w:shd w:val="clear" w:color="auto" w:fill="FFFFFF"/>
        </w:rPr>
        <w:t>, </w:t>
      </w:r>
      <w:r w:rsidRPr="00FC6C4D">
        <w:rPr>
          <w:rFonts w:ascii="Times New Roman" w:hAnsi="Times New Roman" w:cs="Times New Roman"/>
          <w:i/>
          <w:iCs/>
          <w:color w:val="000000" w:themeColor="text1"/>
          <w:sz w:val="24"/>
          <w:szCs w:val="24"/>
          <w:shd w:val="clear" w:color="auto" w:fill="FFFFFF"/>
        </w:rPr>
        <w:t>134</w:t>
      </w:r>
      <w:r w:rsidRPr="00FC6C4D">
        <w:rPr>
          <w:rFonts w:ascii="Times New Roman" w:hAnsi="Times New Roman" w:cs="Times New Roman"/>
          <w:color w:val="000000" w:themeColor="text1"/>
          <w:sz w:val="24"/>
          <w:szCs w:val="24"/>
          <w:shd w:val="clear" w:color="auto" w:fill="FFFFFF"/>
        </w:rPr>
        <w:t>, 219-232.</w:t>
      </w:r>
      <w:r w:rsidRPr="00FC6C4D">
        <w:rPr>
          <w:rFonts w:ascii="Times New Roman" w:hAnsi="Times New Roman" w:cs="Times New Roman"/>
          <w:color w:val="000000" w:themeColor="text1"/>
          <w:sz w:val="24"/>
          <w:szCs w:val="24"/>
        </w:rPr>
        <w:t xml:space="preserve"> </w:t>
      </w:r>
      <w:hyperlink r:id="rId8" w:history="1">
        <w:r w:rsidRPr="00FC6C4D">
          <w:rPr>
            <w:rStyle w:val="Hyperlink"/>
            <w:rFonts w:ascii="Times New Roman" w:hAnsi="Times New Roman" w:cs="Times New Roman"/>
            <w:color w:val="000000" w:themeColor="text1"/>
            <w:sz w:val="24"/>
            <w:szCs w:val="24"/>
            <w:u w:val="none"/>
            <w:shd w:val="clear" w:color="auto" w:fill="FFFFFF"/>
          </w:rPr>
          <w:t>https://www.sciencedirect.com/science/article/pii/S0743731518307068</w:t>
        </w:r>
      </w:hyperlink>
    </w:p>
    <w:p w14:paraId="1024EA75"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r w:rsidRPr="00FC6C4D">
        <w:rPr>
          <w:rFonts w:ascii="Times New Roman" w:hAnsi="Times New Roman" w:cs="Times New Roman"/>
          <w:color w:val="000000" w:themeColor="text1"/>
          <w:sz w:val="24"/>
          <w:szCs w:val="24"/>
          <w:shd w:val="clear" w:color="auto" w:fill="FFFFFF"/>
        </w:rPr>
        <w:t>Finance.yahoo.com, 2023, Annual report of Imperial brand, https://finance.yahoo.com/quote/IMB.L/financials?p=IMB.L</w:t>
      </w:r>
    </w:p>
    <w:p w14:paraId="7343337D"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r w:rsidRPr="00FC6C4D">
        <w:rPr>
          <w:rFonts w:ascii="Times New Roman" w:hAnsi="Times New Roman" w:cs="Times New Roman"/>
          <w:color w:val="000000" w:themeColor="text1"/>
          <w:sz w:val="24"/>
          <w:szCs w:val="24"/>
          <w:shd w:val="clear" w:color="auto" w:fill="FFFFFF"/>
        </w:rPr>
        <w:t xml:space="preserve">Fisu, A. A., &amp; </w:t>
      </w:r>
      <w:proofErr w:type="spellStart"/>
      <w:r w:rsidRPr="00FC6C4D">
        <w:rPr>
          <w:rFonts w:ascii="Times New Roman" w:hAnsi="Times New Roman" w:cs="Times New Roman"/>
          <w:color w:val="000000" w:themeColor="text1"/>
          <w:sz w:val="24"/>
          <w:szCs w:val="24"/>
          <w:shd w:val="clear" w:color="auto" w:fill="FFFFFF"/>
        </w:rPr>
        <w:t>Didiharyono</w:t>
      </w:r>
      <w:proofErr w:type="spellEnd"/>
      <w:r w:rsidRPr="00FC6C4D">
        <w:rPr>
          <w:rFonts w:ascii="Times New Roman" w:hAnsi="Times New Roman" w:cs="Times New Roman"/>
          <w:color w:val="000000" w:themeColor="text1"/>
          <w:sz w:val="24"/>
          <w:szCs w:val="24"/>
          <w:shd w:val="clear" w:color="auto" w:fill="FFFFFF"/>
        </w:rPr>
        <w:t>, D. (2020, April). Economic &amp; Financial Feasibility Analysis of Tarakan Fishery Industrial Estate Masterplan. In </w:t>
      </w:r>
      <w:r w:rsidRPr="00FC6C4D">
        <w:rPr>
          <w:rFonts w:ascii="Times New Roman" w:hAnsi="Times New Roman" w:cs="Times New Roman"/>
          <w:i/>
          <w:iCs/>
          <w:color w:val="000000" w:themeColor="text1"/>
          <w:sz w:val="24"/>
          <w:szCs w:val="24"/>
          <w:shd w:val="clear" w:color="auto" w:fill="FFFFFF"/>
        </w:rPr>
        <w:t>IOP Conference Series: Earth and Environmental Science</w:t>
      </w:r>
      <w:r w:rsidRPr="00FC6C4D">
        <w:rPr>
          <w:rFonts w:ascii="Times New Roman" w:hAnsi="Times New Roman" w:cs="Times New Roman"/>
          <w:color w:val="000000" w:themeColor="text1"/>
          <w:sz w:val="24"/>
          <w:szCs w:val="24"/>
          <w:shd w:val="clear" w:color="auto" w:fill="FFFFFF"/>
        </w:rPr>
        <w:t> (Vol. 469, No. 1, p. 012002). IOP Publishing.</w:t>
      </w:r>
      <w:r w:rsidRPr="00FC6C4D">
        <w:rPr>
          <w:rFonts w:ascii="Times New Roman" w:hAnsi="Times New Roman" w:cs="Times New Roman"/>
          <w:color w:val="000000" w:themeColor="text1"/>
          <w:sz w:val="24"/>
          <w:szCs w:val="24"/>
        </w:rPr>
        <w:t xml:space="preserve"> </w:t>
      </w:r>
      <w:hyperlink r:id="rId9" w:history="1">
        <w:r w:rsidRPr="00FC6C4D">
          <w:rPr>
            <w:rStyle w:val="Hyperlink"/>
            <w:rFonts w:ascii="Times New Roman" w:hAnsi="Times New Roman" w:cs="Times New Roman"/>
            <w:color w:val="000000" w:themeColor="text1"/>
            <w:sz w:val="24"/>
            <w:szCs w:val="24"/>
            <w:u w:val="none"/>
            <w:shd w:val="clear" w:color="auto" w:fill="FFFFFF"/>
          </w:rPr>
          <w:t>https://iopscience.iop.org/article/10.1088/1755-1315/469/1/012002/meta</w:t>
        </w:r>
      </w:hyperlink>
    </w:p>
    <w:p w14:paraId="741B29F5"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proofErr w:type="spellStart"/>
      <w:r w:rsidRPr="00FC6C4D">
        <w:rPr>
          <w:rFonts w:ascii="Times New Roman" w:hAnsi="Times New Roman" w:cs="Times New Roman"/>
          <w:color w:val="000000" w:themeColor="text1"/>
          <w:sz w:val="24"/>
          <w:szCs w:val="24"/>
          <w:shd w:val="clear" w:color="auto" w:fill="FFFFFF"/>
        </w:rPr>
        <w:t>Fridson</w:t>
      </w:r>
      <w:proofErr w:type="spellEnd"/>
      <w:r w:rsidRPr="00FC6C4D">
        <w:rPr>
          <w:rFonts w:ascii="Times New Roman" w:hAnsi="Times New Roman" w:cs="Times New Roman"/>
          <w:color w:val="000000" w:themeColor="text1"/>
          <w:sz w:val="24"/>
          <w:szCs w:val="24"/>
          <w:shd w:val="clear" w:color="auto" w:fill="FFFFFF"/>
        </w:rPr>
        <w:t>, M. S., &amp; Alvarez, F. (2022). </w:t>
      </w:r>
      <w:r w:rsidRPr="00FC6C4D">
        <w:rPr>
          <w:rFonts w:ascii="Times New Roman" w:hAnsi="Times New Roman" w:cs="Times New Roman"/>
          <w:i/>
          <w:iCs/>
          <w:color w:val="000000" w:themeColor="text1"/>
          <w:sz w:val="24"/>
          <w:szCs w:val="24"/>
          <w:shd w:val="clear" w:color="auto" w:fill="FFFFFF"/>
        </w:rPr>
        <w:t>Financial statement analysis: a practitioner's guide</w:t>
      </w:r>
      <w:r w:rsidRPr="00FC6C4D">
        <w:rPr>
          <w:rFonts w:ascii="Times New Roman" w:hAnsi="Times New Roman" w:cs="Times New Roman"/>
          <w:color w:val="000000" w:themeColor="text1"/>
          <w:sz w:val="24"/>
          <w:szCs w:val="24"/>
          <w:shd w:val="clear" w:color="auto" w:fill="FFFFFF"/>
        </w:rPr>
        <w:t>. John Wiley &amp; Sons.</w:t>
      </w:r>
      <w:r w:rsidRPr="00FC6C4D">
        <w:rPr>
          <w:rFonts w:ascii="Times New Roman" w:hAnsi="Times New Roman" w:cs="Times New Roman"/>
          <w:color w:val="000000" w:themeColor="text1"/>
          <w:sz w:val="24"/>
          <w:szCs w:val="24"/>
        </w:rPr>
        <w:t xml:space="preserve"> </w:t>
      </w:r>
      <w:r w:rsidRPr="00FC6C4D">
        <w:rPr>
          <w:rFonts w:ascii="Times New Roman" w:hAnsi="Times New Roman" w:cs="Times New Roman"/>
          <w:color w:val="000000" w:themeColor="text1"/>
          <w:sz w:val="24"/>
          <w:szCs w:val="24"/>
          <w:shd w:val="clear" w:color="auto" w:fill="FFFFFF"/>
        </w:rPr>
        <w:t>https://www.tandfonline.com/doi/abs/10.1080/17538963.2021.1882064</w:t>
      </w:r>
    </w:p>
    <w:p w14:paraId="51259D68"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proofErr w:type="spellStart"/>
      <w:r w:rsidRPr="00FC6C4D">
        <w:rPr>
          <w:rFonts w:ascii="Times New Roman" w:hAnsi="Times New Roman" w:cs="Times New Roman"/>
          <w:color w:val="000000" w:themeColor="text1"/>
          <w:sz w:val="24"/>
          <w:szCs w:val="24"/>
          <w:shd w:val="clear" w:color="auto" w:fill="FFFFFF"/>
        </w:rPr>
        <w:t>Ginting</w:t>
      </w:r>
      <w:proofErr w:type="spellEnd"/>
      <w:r w:rsidRPr="00FC6C4D">
        <w:rPr>
          <w:rFonts w:ascii="Times New Roman" w:hAnsi="Times New Roman" w:cs="Times New Roman"/>
          <w:color w:val="000000" w:themeColor="text1"/>
          <w:sz w:val="24"/>
          <w:szCs w:val="24"/>
          <w:shd w:val="clear" w:color="auto" w:fill="FFFFFF"/>
        </w:rPr>
        <w:t xml:space="preserve">, E. S. (2021). Ratio-Based Financial Performance Analysis of PT. Mustika Ratu, </w:t>
      </w:r>
      <w:proofErr w:type="spellStart"/>
      <w:r w:rsidRPr="00FC6C4D">
        <w:rPr>
          <w:rFonts w:ascii="Times New Roman" w:hAnsi="Times New Roman" w:cs="Times New Roman"/>
          <w:color w:val="000000" w:themeColor="text1"/>
          <w:sz w:val="24"/>
          <w:szCs w:val="24"/>
          <w:shd w:val="clear" w:color="auto" w:fill="FFFFFF"/>
        </w:rPr>
        <w:t>Tbk</w:t>
      </w:r>
      <w:proofErr w:type="spellEnd"/>
      <w:r w:rsidRPr="00FC6C4D">
        <w:rPr>
          <w:rFonts w:ascii="Times New Roman" w:hAnsi="Times New Roman" w:cs="Times New Roman"/>
          <w:color w:val="000000" w:themeColor="text1"/>
          <w:sz w:val="24"/>
          <w:szCs w:val="24"/>
          <w:shd w:val="clear" w:color="auto" w:fill="FFFFFF"/>
        </w:rPr>
        <w:t>. </w:t>
      </w:r>
      <w:r w:rsidRPr="00FC6C4D">
        <w:rPr>
          <w:rFonts w:ascii="Times New Roman" w:hAnsi="Times New Roman" w:cs="Times New Roman"/>
          <w:i/>
          <w:iCs/>
          <w:color w:val="000000" w:themeColor="text1"/>
          <w:sz w:val="24"/>
          <w:szCs w:val="24"/>
          <w:shd w:val="clear" w:color="auto" w:fill="FFFFFF"/>
        </w:rPr>
        <w:t>Enrichment: Journal of Management</w:t>
      </w:r>
      <w:r w:rsidRPr="00FC6C4D">
        <w:rPr>
          <w:rFonts w:ascii="Times New Roman" w:hAnsi="Times New Roman" w:cs="Times New Roman"/>
          <w:color w:val="000000" w:themeColor="text1"/>
          <w:sz w:val="24"/>
          <w:szCs w:val="24"/>
          <w:shd w:val="clear" w:color="auto" w:fill="FFFFFF"/>
        </w:rPr>
        <w:t>, </w:t>
      </w:r>
      <w:r w:rsidRPr="00FC6C4D">
        <w:rPr>
          <w:rFonts w:ascii="Times New Roman" w:hAnsi="Times New Roman" w:cs="Times New Roman"/>
          <w:i/>
          <w:iCs/>
          <w:color w:val="000000" w:themeColor="text1"/>
          <w:sz w:val="24"/>
          <w:szCs w:val="24"/>
          <w:shd w:val="clear" w:color="auto" w:fill="FFFFFF"/>
        </w:rPr>
        <w:t>11</w:t>
      </w:r>
      <w:r w:rsidRPr="00FC6C4D">
        <w:rPr>
          <w:rFonts w:ascii="Times New Roman" w:hAnsi="Times New Roman" w:cs="Times New Roman"/>
          <w:color w:val="000000" w:themeColor="text1"/>
          <w:sz w:val="24"/>
          <w:szCs w:val="24"/>
          <w:shd w:val="clear" w:color="auto" w:fill="FFFFFF"/>
        </w:rPr>
        <w:t>(2), 456-462.</w:t>
      </w:r>
      <w:r w:rsidRPr="00FC6C4D">
        <w:rPr>
          <w:rFonts w:ascii="Times New Roman" w:hAnsi="Times New Roman" w:cs="Times New Roman"/>
          <w:color w:val="000000" w:themeColor="text1"/>
          <w:sz w:val="24"/>
          <w:szCs w:val="24"/>
        </w:rPr>
        <w:t xml:space="preserve"> </w:t>
      </w:r>
      <w:hyperlink r:id="rId10" w:history="1">
        <w:r w:rsidRPr="00FC6C4D">
          <w:rPr>
            <w:rStyle w:val="Hyperlink"/>
            <w:rFonts w:ascii="Times New Roman" w:hAnsi="Times New Roman" w:cs="Times New Roman"/>
            <w:color w:val="000000" w:themeColor="text1"/>
            <w:sz w:val="24"/>
            <w:szCs w:val="24"/>
            <w:u w:val="none"/>
            <w:shd w:val="clear" w:color="auto" w:fill="FFFFFF"/>
          </w:rPr>
          <w:t>https://www.enrichment.iocspublisher.org/index.php/enrichment/article/view/124</w:t>
        </w:r>
      </w:hyperlink>
    </w:p>
    <w:p w14:paraId="2B146CEF"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r w:rsidRPr="00FC6C4D">
        <w:rPr>
          <w:rFonts w:ascii="Times New Roman" w:hAnsi="Times New Roman" w:cs="Times New Roman"/>
          <w:color w:val="000000" w:themeColor="text1"/>
          <w:sz w:val="24"/>
          <w:szCs w:val="24"/>
          <w:shd w:val="clear" w:color="auto" w:fill="FFFFFF"/>
        </w:rPr>
        <w:t>Jahangir, M. H., Mokhtari, R., &amp; Mousavi, S. A. (2021). Performance evaluation and financial analysis of applying hybrid renewable systems in cooling unit of data centers–A case study. </w:t>
      </w:r>
      <w:r w:rsidRPr="00FC6C4D">
        <w:rPr>
          <w:rFonts w:ascii="Times New Roman" w:hAnsi="Times New Roman" w:cs="Times New Roman"/>
          <w:i/>
          <w:iCs/>
          <w:color w:val="000000" w:themeColor="text1"/>
          <w:sz w:val="24"/>
          <w:szCs w:val="24"/>
          <w:shd w:val="clear" w:color="auto" w:fill="FFFFFF"/>
        </w:rPr>
        <w:t>Sustainable Energy Technologies and Assessments</w:t>
      </w:r>
      <w:r w:rsidRPr="00FC6C4D">
        <w:rPr>
          <w:rFonts w:ascii="Times New Roman" w:hAnsi="Times New Roman" w:cs="Times New Roman"/>
          <w:color w:val="000000" w:themeColor="text1"/>
          <w:sz w:val="24"/>
          <w:szCs w:val="24"/>
          <w:shd w:val="clear" w:color="auto" w:fill="FFFFFF"/>
        </w:rPr>
        <w:t>, </w:t>
      </w:r>
      <w:r w:rsidRPr="00FC6C4D">
        <w:rPr>
          <w:rFonts w:ascii="Times New Roman" w:hAnsi="Times New Roman" w:cs="Times New Roman"/>
          <w:i/>
          <w:iCs/>
          <w:color w:val="000000" w:themeColor="text1"/>
          <w:sz w:val="24"/>
          <w:szCs w:val="24"/>
          <w:shd w:val="clear" w:color="auto" w:fill="FFFFFF"/>
        </w:rPr>
        <w:t>46</w:t>
      </w:r>
      <w:r w:rsidRPr="00FC6C4D">
        <w:rPr>
          <w:rFonts w:ascii="Times New Roman" w:hAnsi="Times New Roman" w:cs="Times New Roman"/>
          <w:color w:val="000000" w:themeColor="text1"/>
          <w:sz w:val="24"/>
          <w:szCs w:val="24"/>
          <w:shd w:val="clear" w:color="auto" w:fill="FFFFFF"/>
        </w:rPr>
        <w:t>, 101220.</w:t>
      </w:r>
      <w:r w:rsidRPr="00FC6C4D">
        <w:rPr>
          <w:rFonts w:ascii="Times New Roman" w:hAnsi="Times New Roman" w:cs="Times New Roman"/>
          <w:color w:val="000000" w:themeColor="text1"/>
          <w:sz w:val="24"/>
          <w:szCs w:val="24"/>
        </w:rPr>
        <w:t xml:space="preserve"> </w:t>
      </w:r>
      <w:hyperlink r:id="rId11" w:history="1">
        <w:r w:rsidRPr="00FC6C4D">
          <w:rPr>
            <w:rStyle w:val="Hyperlink"/>
            <w:rFonts w:ascii="Times New Roman" w:hAnsi="Times New Roman" w:cs="Times New Roman"/>
            <w:color w:val="000000" w:themeColor="text1"/>
            <w:sz w:val="24"/>
            <w:szCs w:val="24"/>
            <w:u w:val="none"/>
            <w:shd w:val="clear" w:color="auto" w:fill="FFFFFF"/>
          </w:rPr>
          <w:t>https://www.sciencedirect.com/science/article/pii/S2213138821002307</w:t>
        </w:r>
      </w:hyperlink>
    </w:p>
    <w:p w14:paraId="49A3D19C"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r w:rsidRPr="00FC6C4D">
        <w:rPr>
          <w:rFonts w:ascii="Times New Roman" w:hAnsi="Times New Roman" w:cs="Times New Roman"/>
          <w:color w:val="000000" w:themeColor="text1"/>
          <w:sz w:val="24"/>
          <w:szCs w:val="24"/>
          <w:shd w:val="clear" w:color="auto" w:fill="FFFFFF"/>
        </w:rPr>
        <w:t xml:space="preserve">Janssens, W., Pradhan, M., de Groot, R., </w:t>
      </w:r>
      <w:proofErr w:type="spellStart"/>
      <w:r w:rsidRPr="00FC6C4D">
        <w:rPr>
          <w:rFonts w:ascii="Times New Roman" w:hAnsi="Times New Roman" w:cs="Times New Roman"/>
          <w:color w:val="000000" w:themeColor="text1"/>
          <w:sz w:val="24"/>
          <w:szCs w:val="24"/>
          <w:shd w:val="clear" w:color="auto" w:fill="FFFFFF"/>
        </w:rPr>
        <w:t>Sidze</w:t>
      </w:r>
      <w:proofErr w:type="spellEnd"/>
      <w:r w:rsidRPr="00FC6C4D">
        <w:rPr>
          <w:rFonts w:ascii="Times New Roman" w:hAnsi="Times New Roman" w:cs="Times New Roman"/>
          <w:color w:val="000000" w:themeColor="text1"/>
          <w:sz w:val="24"/>
          <w:szCs w:val="24"/>
          <w:shd w:val="clear" w:color="auto" w:fill="FFFFFF"/>
        </w:rPr>
        <w:t xml:space="preserve">, E., </w:t>
      </w:r>
      <w:proofErr w:type="spellStart"/>
      <w:r w:rsidRPr="00FC6C4D">
        <w:rPr>
          <w:rFonts w:ascii="Times New Roman" w:hAnsi="Times New Roman" w:cs="Times New Roman"/>
          <w:color w:val="000000" w:themeColor="text1"/>
          <w:sz w:val="24"/>
          <w:szCs w:val="24"/>
          <w:shd w:val="clear" w:color="auto" w:fill="FFFFFF"/>
        </w:rPr>
        <w:t>Donfouet</w:t>
      </w:r>
      <w:proofErr w:type="spellEnd"/>
      <w:r w:rsidRPr="00FC6C4D">
        <w:rPr>
          <w:rFonts w:ascii="Times New Roman" w:hAnsi="Times New Roman" w:cs="Times New Roman"/>
          <w:color w:val="000000" w:themeColor="text1"/>
          <w:sz w:val="24"/>
          <w:szCs w:val="24"/>
          <w:shd w:val="clear" w:color="auto" w:fill="FFFFFF"/>
        </w:rPr>
        <w:t xml:space="preserve">, H. P. P., &amp; </w:t>
      </w:r>
      <w:proofErr w:type="spellStart"/>
      <w:r w:rsidRPr="00FC6C4D">
        <w:rPr>
          <w:rFonts w:ascii="Times New Roman" w:hAnsi="Times New Roman" w:cs="Times New Roman"/>
          <w:color w:val="000000" w:themeColor="text1"/>
          <w:sz w:val="24"/>
          <w:szCs w:val="24"/>
          <w:shd w:val="clear" w:color="auto" w:fill="FFFFFF"/>
        </w:rPr>
        <w:t>Abajobir</w:t>
      </w:r>
      <w:proofErr w:type="spellEnd"/>
      <w:r w:rsidRPr="00FC6C4D">
        <w:rPr>
          <w:rFonts w:ascii="Times New Roman" w:hAnsi="Times New Roman" w:cs="Times New Roman"/>
          <w:color w:val="000000" w:themeColor="text1"/>
          <w:sz w:val="24"/>
          <w:szCs w:val="24"/>
          <w:shd w:val="clear" w:color="auto" w:fill="FFFFFF"/>
        </w:rPr>
        <w:t>, A. (2021). The short-term economic effects of COVID-19 on low-income households in rural Kenya: An analysis using weekly financial household data. </w:t>
      </w:r>
      <w:r w:rsidRPr="00FC6C4D">
        <w:rPr>
          <w:rFonts w:ascii="Times New Roman" w:hAnsi="Times New Roman" w:cs="Times New Roman"/>
          <w:i/>
          <w:iCs/>
          <w:color w:val="000000" w:themeColor="text1"/>
          <w:sz w:val="24"/>
          <w:szCs w:val="24"/>
          <w:shd w:val="clear" w:color="auto" w:fill="FFFFFF"/>
        </w:rPr>
        <w:t>World Development</w:t>
      </w:r>
      <w:r w:rsidRPr="00FC6C4D">
        <w:rPr>
          <w:rFonts w:ascii="Times New Roman" w:hAnsi="Times New Roman" w:cs="Times New Roman"/>
          <w:color w:val="000000" w:themeColor="text1"/>
          <w:sz w:val="24"/>
          <w:szCs w:val="24"/>
          <w:shd w:val="clear" w:color="auto" w:fill="FFFFFF"/>
        </w:rPr>
        <w:t>, </w:t>
      </w:r>
      <w:r w:rsidRPr="00FC6C4D">
        <w:rPr>
          <w:rFonts w:ascii="Times New Roman" w:hAnsi="Times New Roman" w:cs="Times New Roman"/>
          <w:i/>
          <w:iCs/>
          <w:color w:val="000000" w:themeColor="text1"/>
          <w:sz w:val="24"/>
          <w:szCs w:val="24"/>
          <w:shd w:val="clear" w:color="auto" w:fill="FFFFFF"/>
        </w:rPr>
        <w:t>138</w:t>
      </w:r>
      <w:r w:rsidRPr="00FC6C4D">
        <w:rPr>
          <w:rFonts w:ascii="Times New Roman" w:hAnsi="Times New Roman" w:cs="Times New Roman"/>
          <w:color w:val="000000" w:themeColor="text1"/>
          <w:sz w:val="24"/>
          <w:szCs w:val="24"/>
          <w:shd w:val="clear" w:color="auto" w:fill="FFFFFF"/>
        </w:rPr>
        <w:t>, 105280.</w:t>
      </w:r>
      <w:r w:rsidRPr="00FC6C4D">
        <w:rPr>
          <w:rFonts w:ascii="Times New Roman" w:hAnsi="Times New Roman" w:cs="Times New Roman"/>
          <w:color w:val="000000" w:themeColor="text1"/>
          <w:sz w:val="24"/>
          <w:szCs w:val="24"/>
        </w:rPr>
        <w:t xml:space="preserve"> </w:t>
      </w:r>
      <w:hyperlink r:id="rId12" w:history="1">
        <w:r w:rsidRPr="00FC6C4D">
          <w:rPr>
            <w:rStyle w:val="Hyperlink"/>
            <w:rFonts w:ascii="Times New Roman" w:hAnsi="Times New Roman" w:cs="Times New Roman"/>
            <w:color w:val="000000" w:themeColor="text1"/>
            <w:sz w:val="24"/>
            <w:szCs w:val="24"/>
            <w:u w:val="none"/>
            <w:shd w:val="clear" w:color="auto" w:fill="FFFFFF"/>
          </w:rPr>
          <w:t>https://www.sciencedirect.com/science/article/pii/S0305750X20304071</w:t>
        </w:r>
      </w:hyperlink>
    </w:p>
    <w:p w14:paraId="2CAD1DC6"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proofErr w:type="spellStart"/>
      <w:r w:rsidRPr="00FC6C4D">
        <w:rPr>
          <w:rFonts w:ascii="Times New Roman" w:hAnsi="Times New Roman" w:cs="Times New Roman"/>
          <w:color w:val="000000" w:themeColor="text1"/>
          <w:sz w:val="24"/>
          <w:szCs w:val="24"/>
          <w:shd w:val="clear" w:color="auto" w:fill="FFFFFF"/>
        </w:rPr>
        <w:lastRenderedPageBreak/>
        <w:t>Jin</w:t>
      </w:r>
      <w:proofErr w:type="spellEnd"/>
      <w:r w:rsidRPr="00FC6C4D">
        <w:rPr>
          <w:rFonts w:ascii="Times New Roman" w:hAnsi="Times New Roman" w:cs="Times New Roman"/>
          <w:color w:val="000000" w:themeColor="text1"/>
          <w:sz w:val="24"/>
          <w:szCs w:val="24"/>
          <w:shd w:val="clear" w:color="auto" w:fill="FFFFFF"/>
        </w:rPr>
        <w:t>, X., Liu, Q., &amp; Long, H. (2021). Impact of cost–benefit analysis on financial benefit evaluation of investment projects under back propagation neural network. </w:t>
      </w:r>
      <w:r w:rsidRPr="00FC6C4D">
        <w:rPr>
          <w:rFonts w:ascii="Times New Roman" w:hAnsi="Times New Roman" w:cs="Times New Roman"/>
          <w:i/>
          <w:iCs/>
          <w:color w:val="000000" w:themeColor="text1"/>
          <w:sz w:val="24"/>
          <w:szCs w:val="24"/>
          <w:shd w:val="clear" w:color="auto" w:fill="FFFFFF"/>
        </w:rPr>
        <w:t>Journal of Computational and Applied Mathematics</w:t>
      </w:r>
      <w:r w:rsidRPr="00FC6C4D">
        <w:rPr>
          <w:rFonts w:ascii="Times New Roman" w:hAnsi="Times New Roman" w:cs="Times New Roman"/>
          <w:color w:val="000000" w:themeColor="text1"/>
          <w:sz w:val="24"/>
          <w:szCs w:val="24"/>
          <w:shd w:val="clear" w:color="auto" w:fill="FFFFFF"/>
        </w:rPr>
        <w:t>, </w:t>
      </w:r>
      <w:r w:rsidRPr="00FC6C4D">
        <w:rPr>
          <w:rFonts w:ascii="Times New Roman" w:hAnsi="Times New Roman" w:cs="Times New Roman"/>
          <w:i/>
          <w:iCs/>
          <w:color w:val="000000" w:themeColor="text1"/>
          <w:sz w:val="24"/>
          <w:szCs w:val="24"/>
          <w:shd w:val="clear" w:color="auto" w:fill="FFFFFF"/>
        </w:rPr>
        <w:t>384</w:t>
      </w:r>
      <w:r w:rsidRPr="00FC6C4D">
        <w:rPr>
          <w:rFonts w:ascii="Times New Roman" w:hAnsi="Times New Roman" w:cs="Times New Roman"/>
          <w:color w:val="000000" w:themeColor="text1"/>
          <w:sz w:val="24"/>
          <w:szCs w:val="24"/>
          <w:shd w:val="clear" w:color="auto" w:fill="FFFFFF"/>
        </w:rPr>
        <w:t>, 113172.</w:t>
      </w:r>
      <w:r w:rsidRPr="00FC6C4D">
        <w:rPr>
          <w:rFonts w:ascii="Times New Roman" w:hAnsi="Times New Roman" w:cs="Times New Roman"/>
          <w:color w:val="000000" w:themeColor="text1"/>
          <w:sz w:val="24"/>
          <w:szCs w:val="24"/>
        </w:rPr>
        <w:t xml:space="preserve"> </w:t>
      </w:r>
      <w:hyperlink r:id="rId13" w:history="1">
        <w:r w:rsidRPr="00FC6C4D">
          <w:rPr>
            <w:rStyle w:val="Hyperlink"/>
            <w:rFonts w:ascii="Times New Roman" w:hAnsi="Times New Roman" w:cs="Times New Roman"/>
            <w:color w:val="000000" w:themeColor="text1"/>
            <w:sz w:val="24"/>
            <w:szCs w:val="24"/>
            <w:u w:val="none"/>
            <w:shd w:val="clear" w:color="auto" w:fill="FFFFFF"/>
          </w:rPr>
          <w:t>https://www.sciencedirect.com/science/article/pii/S0377042720304635</w:t>
        </w:r>
      </w:hyperlink>
    </w:p>
    <w:p w14:paraId="085BEF14"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r w:rsidRPr="00FC6C4D">
        <w:rPr>
          <w:rFonts w:ascii="Times New Roman" w:hAnsi="Times New Roman" w:cs="Times New Roman"/>
          <w:color w:val="000000" w:themeColor="text1"/>
          <w:sz w:val="24"/>
          <w:szCs w:val="24"/>
          <w:shd w:val="clear" w:color="auto" w:fill="FFFFFF"/>
        </w:rPr>
        <w:t xml:space="preserve">Li, Z., </w:t>
      </w:r>
      <w:proofErr w:type="spellStart"/>
      <w:r w:rsidRPr="00FC6C4D">
        <w:rPr>
          <w:rFonts w:ascii="Times New Roman" w:hAnsi="Times New Roman" w:cs="Times New Roman"/>
          <w:color w:val="000000" w:themeColor="text1"/>
          <w:sz w:val="24"/>
          <w:szCs w:val="24"/>
          <w:shd w:val="clear" w:color="auto" w:fill="FFFFFF"/>
        </w:rPr>
        <w:t>Farmanesh</w:t>
      </w:r>
      <w:proofErr w:type="spellEnd"/>
      <w:r w:rsidRPr="00FC6C4D">
        <w:rPr>
          <w:rFonts w:ascii="Times New Roman" w:hAnsi="Times New Roman" w:cs="Times New Roman"/>
          <w:color w:val="000000" w:themeColor="text1"/>
          <w:sz w:val="24"/>
          <w:szCs w:val="24"/>
          <w:shd w:val="clear" w:color="auto" w:fill="FFFFFF"/>
        </w:rPr>
        <w:t xml:space="preserve">, P., </w:t>
      </w:r>
      <w:proofErr w:type="spellStart"/>
      <w:r w:rsidRPr="00FC6C4D">
        <w:rPr>
          <w:rFonts w:ascii="Times New Roman" w:hAnsi="Times New Roman" w:cs="Times New Roman"/>
          <w:color w:val="000000" w:themeColor="text1"/>
          <w:sz w:val="24"/>
          <w:szCs w:val="24"/>
          <w:shd w:val="clear" w:color="auto" w:fill="FFFFFF"/>
        </w:rPr>
        <w:t>Kirikkaleli</w:t>
      </w:r>
      <w:proofErr w:type="spellEnd"/>
      <w:r w:rsidRPr="00FC6C4D">
        <w:rPr>
          <w:rFonts w:ascii="Times New Roman" w:hAnsi="Times New Roman" w:cs="Times New Roman"/>
          <w:color w:val="000000" w:themeColor="text1"/>
          <w:sz w:val="24"/>
          <w:szCs w:val="24"/>
          <w:shd w:val="clear" w:color="auto" w:fill="FFFFFF"/>
        </w:rPr>
        <w:t xml:space="preserve">, D., &amp; </w:t>
      </w:r>
      <w:proofErr w:type="spellStart"/>
      <w:r w:rsidRPr="00FC6C4D">
        <w:rPr>
          <w:rFonts w:ascii="Times New Roman" w:hAnsi="Times New Roman" w:cs="Times New Roman"/>
          <w:color w:val="000000" w:themeColor="text1"/>
          <w:sz w:val="24"/>
          <w:szCs w:val="24"/>
          <w:shd w:val="clear" w:color="auto" w:fill="FFFFFF"/>
        </w:rPr>
        <w:t>Itani</w:t>
      </w:r>
      <w:proofErr w:type="spellEnd"/>
      <w:r w:rsidRPr="00FC6C4D">
        <w:rPr>
          <w:rFonts w:ascii="Times New Roman" w:hAnsi="Times New Roman" w:cs="Times New Roman"/>
          <w:color w:val="000000" w:themeColor="text1"/>
          <w:sz w:val="24"/>
          <w:szCs w:val="24"/>
          <w:shd w:val="clear" w:color="auto" w:fill="FFFFFF"/>
        </w:rPr>
        <w:t>, R. (2022). A comparative analysis of COVID-19 and global financial crises: evidence from US economy. </w:t>
      </w:r>
      <w:r w:rsidRPr="00FC6C4D">
        <w:rPr>
          <w:rFonts w:ascii="Times New Roman" w:hAnsi="Times New Roman" w:cs="Times New Roman"/>
          <w:i/>
          <w:iCs/>
          <w:color w:val="000000" w:themeColor="text1"/>
          <w:sz w:val="24"/>
          <w:szCs w:val="24"/>
          <w:shd w:val="clear" w:color="auto" w:fill="FFFFFF"/>
        </w:rPr>
        <w:t>Economic Research-</w:t>
      </w:r>
      <w:proofErr w:type="spellStart"/>
      <w:r w:rsidRPr="00FC6C4D">
        <w:rPr>
          <w:rFonts w:ascii="Times New Roman" w:hAnsi="Times New Roman" w:cs="Times New Roman"/>
          <w:i/>
          <w:iCs/>
          <w:color w:val="000000" w:themeColor="text1"/>
          <w:sz w:val="24"/>
          <w:szCs w:val="24"/>
          <w:shd w:val="clear" w:color="auto" w:fill="FFFFFF"/>
        </w:rPr>
        <w:t>Ekonomska</w:t>
      </w:r>
      <w:proofErr w:type="spellEnd"/>
      <w:r w:rsidRPr="00FC6C4D">
        <w:rPr>
          <w:rFonts w:ascii="Times New Roman" w:hAnsi="Times New Roman" w:cs="Times New Roman"/>
          <w:i/>
          <w:iCs/>
          <w:color w:val="000000" w:themeColor="text1"/>
          <w:sz w:val="24"/>
          <w:szCs w:val="24"/>
          <w:shd w:val="clear" w:color="auto" w:fill="FFFFFF"/>
        </w:rPr>
        <w:t xml:space="preserve"> </w:t>
      </w:r>
      <w:proofErr w:type="spellStart"/>
      <w:r w:rsidRPr="00FC6C4D">
        <w:rPr>
          <w:rFonts w:ascii="Times New Roman" w:hAnsi="Times New Roman" w:cs="Times New Roman"/>
          <w:i/>
          <w:iCs/>
          <w:color w:val="000000" w:themeColor="text1"/>
          <w:sz w:val="24"/>
          <w:szCs w:val="24"/>
          <w:shd w:val="clear" w:color="auto" w:fill="FFFFFF"/>
        </w:rPr>
        <w:t>Istraživanja</w:t>
      </w:r>
      <w:proofErr w:type="spellEnd"/>
      <w:r w:rsidRPr="00FC6C4D">
        <w:rPr>
          <w:rFonts w:ascii="Times New Roman" w:hAnsi="Times New Roman" w:cs="Times New Roman"/>
          <w:color w:val="000000" w:themeColor="text1"/>
          <w:sz w:val="24"/>
          <w:szCs w:val="24"/>
          <w:shd w:val="clear" w:color="auto" w:fill="FFFFFF"/>
        </w:rPr>
        <w:t>, </w:t>
      </w:r>
      <w:r w:rsidRPr="00FC6C4D">
        <w:rPr>
          <w:rFonts w:ascii="Times New Roman" w:hAnsi="Times New Roman" w:cs="Times New Roman"/>
          <w:i/>
          <w:iCs/>
          <w:color w:val="000000" w:themeColor="text1"/>
          <w:sz w:val="24"/>
          <w:szCs w:val="24"/>
          <w:shd w:val="clear" w:color="auto" w:fill="FFFFFF"/>
        </w:rPr>
        <w:t>35</w:t>
      </w:r>
      <w:r w:rsidRPr="00FC6C4D">
        <w:rPr>
          <w:rFonts w:ascii="Times New Roman" w:hAnsi="Times New Roman" w:cs="Times New Roman"/>
          <w:color w:val="000000" w:themeColor="text1"/>
          <w:sz w:val="24"/>
          <w:szCs w:val="24"/>
          <w:shd w:val="clear" w:color="auto" w:fill="FFFFFF"/>
        </w:rPr>
        <w:t>(1), 2427-2441.</w:t>
      </w:r>
      <w:r w:rsidRPr="00FC6C4D">
        <w:rPr>
          <w:rFonts w:ascii="Times New Roman" w:hAnsi="Times New Roman" w:cs="Times New Roman"/>
          <w:color w:val="000000" w:themeColor="text1"/>
          <w:sz w:val="24"/>
          <w:szCs w:val="24"/>
        </w:rPr>
        <w:t xml:space="preserve"> </w:t>
      </w:r>
      <w:hyperlink r:id="rId14" w:history="1">
        <w:r w:rsidRPr="00FC6C4D">
          <w:rPr>
            <w:rStyle w:val="Hyperlink"/>
            <w:rFonts w:ascii="Times New Roman" w:hAnsi="Times New Roman" w:cs="Times New Roman"/>
            <w:color w:val="000000" w:themeColor="text1"/>
            <w:sz w:val="24"/>
            <w:szCs w:val="24"/>
            <w:u w:val="none"/>
            <w:shd w:val="clear" w:color="auto" w:fill="FFFFFF"/>
          </w:rPr>
          <w:t>https://www.tandfonline.com/doi/abs/10.1080/1331677X.2021.1952640</w:t>
        </w:r>
      </w:hyperlink>
    </w:p>
    <w:p w14:paraId="49EF83F1"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r w:rsidRPr="00FC6C4D">
        <w:rPr>
          <w:rFonts w:ascii="Times New Roman" w:hAnsi="Times New Roman" w:cs="Times New Roman"/>
          <w:color w:val="000000" w:themeColor="text1"/>
          <w:sz w:val="24"/>
          <w:szCs w:val="24"/>
          <w:shd w:val="clear" w:color="auto" w:fill="FFFFFF"/>
        </w:rPr>
        <w:t xml:space="preserve">Palepu, K. G., Healy, P. M., Wright, S., Bradbury, M., &amp; </w:t>
      </w:r>
      <w:proofErr w:type="spellStart"/>
      <w:r w:rsidRPr="00FC6C4D">
        <w:rPr>
          <w:rFonts w:ascii="Times New Roman" w:hAnsi="Times New Roman" w:cs="Times New Roman"/>
          <w:color w:val="000000" w:themeColor="text1"/>
          <w:sz w:val="24"/>
          <w:szCs w:val="24"/>
          <w:shd w:val="clear" w:color="auto" w:fill="FFFFFF"/>
        </w:rPr>
        <w:t>Coulton</w:t>
      </w:r>
      <w:proofErr w:type="spellEnd"/>
      <w:r w:rsidRPr="00FC6C4D">
        <w:rPr>
          <w:rFonts w:ascii="Times New Roman" w:hAnsi="Times New Roman" w:cs="Times New Roman"/>
          <w:color w:val="000000" w:themeColor="text1"/>
          <w:sz w:val="24"/>
          <w:szCs w:val="24"/>
          <w:shd w:val="clear" w:color="auto" w:fill="FFFFFF"/>
        </w:rPr>
        <w:t>, J. (2020). </w:t>
      </w:r>
      <w:r w:rsidRPr="00FC6C4D">
        <w:rPr>
          <w:rFonts w:ascii="Times New Roman" w:hAnsi="Times New Roman" w:cs="Times New Roman"/>
          <w:i/>
          <w:iCs/>
          <w:color w:val="000000" w:themeColor="text1"/>
          <w:sz w:val="24"/>
          <w:szCs w:val="24"/>
          <w:shd w:val="clear" w:color="auto" w:fill="FFFFFF"/>
        </w:rPr>
        <w:t>Business analysis and valuation: Using financial statements</w:t>
      </w:r>
      <w:r w:rsidRPr="00FC6C4D">
        <w:rPr>
          <w:rFonts w:ascii="Times New Roman" w:hAnsi="Times New Roman" w:cs="Times New Roman"/>
          <w:color w:val="000000" w:themeColor="text1"/>
          <w:sz w:val="24"/>
          <w:szCs w:val="24"/>
          <w:shd w:val="clear" w:color="auto" w:fill="FFFFFF"/>
        </w:rPr>
        <w:t>. Cengage AU.</w:t>
      </w:r>
      <w:r w:rsidRPr="00FC6C4D">
        <w:rPr>
          <w:rFonts w:ascii="Times New Roman" w:hAnsi="Times New Roman" w:cs="Times New Roman"/>
          <w:color w:val="000000" w:themeColor="text1"/>
          <w:sz w:val="24"/>
          <w:szCs w:val="24"/>
        </w:rPr>
        <w:t xml:space="preserve"> </w:t>
      </w:r>
      <w:hyperlink r:id="rId15" w:history="1">
        <w:r w:rsidRPr="00FC6C4D">
          <w:rPr>
            <w:rStyle w:val="Hyperlink"/>
            <w:rFonts w:ascii="Times New Roman" w:hAnsi="Times New Roman" w:cs="Times New Roman"/>
            <w:color w:val="000000" w:themeColor="text1"/>
            <w:sz w:val="24"/>
            <w:szCs w:val="24"/>
            <w:u w:val="none"/>
            <w:shd w:val="clear" w:color="auto" w:fill="FFFFFF"/>
          </w:rPr>
          <w:t>https://books.google.com/books?hl=en&amp;lr=&amp;id=IDT6DwAAQBAJ&amp;oi=fnd&amp;pg=PR13&amp;dq=Financial+Analysis+&amp;ots=uJip8Ywf9X&amp;sig=2ob2b7G9RCK1mdofZveuOjYKVUg</w:t>
        </w:r>
      </w:hyperlink>
    </w:p>
    <w:p w14:paraId="04A59ECE"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proofErr w:type="spellStart"/>
      <w:r w:rsidRPr="00FC6C4D">
        <w:rPr>
          <w:rFonts w:ascii="Times New Roman" w:hAnsi="Times New Roman" w:cs="Times New Roman"/>
          <w:color w:val="000000" w:themeColor="text1"/>
          <w:sz w:val="24"/>
          <w:szCs w:val="24"/>
          <w:shd w:val="clear" w:color="auto" w:fill="FFFFFF"/>
        </w:rPr>
        <w:t>Pinha</w:t>
      </w:r>
      <w:proofErr w:type="spellEnd"/>
      <w:r w:rsidRPr="00FC6C4D">
        <w:rPr>
          <w:rFonts w:ascii="Times New Roman" w:hAnsi="Times New Roman" w:cs="Times New Roman"/>
          <w:color w:val="000000" w:themeColor="text1"/>
          <w:sz w:val="24"/>
          <w:szCs w:val="24"/>
          <w:shd w:val="clear" w:color="auto" w:fill="FFFFFF"/>
        </w:rPr>
        <w:t>, A. C. H., &amp; Sagawa, J. K. (2020). A system dynamics modelling approach for municipal solid waste management and financial analysis. </w:t>
      </w:r>
      <w:r w:rsidRPr="00FC6C4D">
        <w:rPr>
          <w:rFonts w:ascii="Times New Roman" w:hAnsi="Times New Roman" w:cs="Times New Roman"/>
          <w:i/>
          <w:iCs/>
          <w:color w:val="000000" w:themeColor="text1"/>
          <w:sz w:val="24"/>
          <w:szCs w:val="24"/>
          <w:shd w:val="clear" w:color="auto" w:fill="FFFFFF"/>
        </w:rPr>
        <w:t>Journal of Cleaner Production</w:t>
      </w:r>
      <w:r w:rsidRPr="00FC6C4D">
        <w:rPr>
          <w:rFonts w:ascii="Times New Roman" w:hAnsi="Times New Roman" w:cs="Times New Roman"/>
          <w:color w:val="000000" w:themeColor="text1"/>
          <w:sz w:val="24"/>
          <w:szCs w:val="24"/>
          <w:shd w:val="clear" w:color="auto" w:fill="FFFFFF"/>
        </w:rPr>
        <w:t>, </w:t>
      </w:r>
      <w:r w:rsidRPr="00FC6C4D">
        <w:rPr>
          <w:rFonts w:ascii="Times New Roman" w:hAnsi="Times New Roman" w:cs="Times New Roman"/>
          <w:i/>
          <w:iCs/>
          <w:color w:val="000000" w:themeColor="text1"/>
          <w:sz w:val="24"/>
          <w:szCs w:val="24"/>
          <w:shd w:val="clear" w:color="auto" w:fill="FFFFFF"/>
        </w:rPr>
        <w:t>269</w:t>
      </w:r>
      <w:r w:rsidRPr="00FC6C4D">
        <w:rPr>
          <w:rFonts w:ascii="Times New Roman" w:hAnsi="Times New Roman" w:cs="Times New Roman"/>
          <w:color w:val="000000" w:themeColor="text1"/>
          <w:sz w:val="24"/>
          <w:szCs w:val="24"/>
          <w:shd w:val="clear" w:color="auto" w:fill="FFFFFF"/>
        </w:rPr>
        <w:t>, 122350.</w:t>
      </w:r>
      <w:r w:rsidRPr="00FC6C4D">
        <w:rPr>
          <w:rFonts w:ascii="Times New Roman" w:hAnsi="Times New Roman" w:cs="Times New Roman"/>
          <w:color w:val="000000" w:themeColor="text1"/>
          <w:sz w:val="24"/>
          <w:szCs w:val="24"/>
        </w:rPr>
        <w:t xml:space="preserve"> </w:t>
      </w:r>
      <w:hyperlink r:id="rId16" w:history="1">
        <w:r w:rsidRPr="00FC6C4D">
          <w:rPr>
            <w:rStyle w:val="Hyperlink"/>
            <w:rFonts w:ascii="Times New Roman" w:hAnsi="Times New Roman" w:cs="Times New Roman"/>
            <w:color w:val="000000" w:themeColor="text1"/>
            <w:sz w:val="24"/>
            <w:szCs w:val="24"/>
            <w:u w:val="none"/>
            <w:shd w:val="clear" w:color="auto" w:fill="FFFFFF"/>
          </w:rPr>
          <w:t>https://www.sciencedirect.com/science/article/pii/S0959652620323970</w:t>
        </w:r>
      </w:hyperlink>
    </w:p>
    <w:p w14:paraId="60C9E7AD" w14:textId="77777777" w:rsidR="00496DF7" w:rsidRPr="00FC6C4D" w:rsidRDefault="00496DF7" w:rsidP="00496DF7">
      <w:pPr>
        <w:spacing w:line="480" w:lineRule="auto"/>
        <w:ind w:left="720" w:hanging="720"/>
        <w:rPr>
          <w:rFonts w:ascii="Times New Roman" w:hAnsi="Times New Roman" w:cs="Times New Roman"/>
          <w:color w:val="000000" w:themeColor="text1"/>
          <w:sz w:val="24"/>
          <w:szCs w:val="24"/>
          <w:shd w:val="clear" w:color="auto" w:fill="FFFFFF"/>
        </w:rPr>
      </w:pPr>
      <w:r w:rsidRPr="00FC6C4D">
        <w:rPr>
          <w:rFonts w:ascii="Times New Roman" w:hAnsi="Times New Roman" w:cs="Times New Roman"/>
          <w:color w:val="000000" w:themeColor="text1"/>
          <w:sz w:val="24"/>
          <w:szCs w:val="24"/>
          <w:shd w:val="clear" w:color="auto" w:fill="FFFFFF"/>
        </w:rPr>
        <w:t xml:space="preserve">Tao, R., </w:t>
      </w:r>
      <w:proofErr w:type="spellStart"/>
      <w:r w:rsidRPr="00FC6C4D">
        <w:rPr>
          <w:rFonts w:ascii="Times New Roman" w:hAnsi="Times New Roman" w:cs="Times New Roman"/>
          <w:color w:val="000000" w:themeColor="text1"/>
          <w:sz w:val="24"/>
          <w:szCs w:val="24"/>
          <w:shd w:val="clear" w:color="auto" w:fill="FFFFFF"/>
        </w:rPr>
        <w:t>Su</w:t>
      </w:r>
      <w:proofErr w:type="spellEnd"/>
      <w:r w:rsidRPr="00FC6C4D">
        <w:rPr>
          <w:rFonts w:ascii="Times New Roman" w:hAnsi="Times New Roman" w:cs="Times New Roman"/>
          <w:color w:val="000000" w:themeColor="text1"/>
          <w:sz w:val="24"/>
          <w:szCs w:val="24"/>
          <w:shd w:val="clear" w:color="auto" w:fill="FFFFFF"/>
        </w:rPr>
        <w:t xml:space="preserve">, C. W., Yaqoob, T., &amp; </w:t>
      </w:r>
      <w:proofErr w:type="spellStart"/>
      <w:r w:rsidRPr="00FC6C4D">
        <w:rPr>
          <w:rFonts w:ascii="Times New Roman" w:hAnsi="Times New Roman" w:cs="Times New Roman"/>
          <w:color w:val="000000" w:themeColor="text1"/>
          <w:sz w:val="24"/>
          <w:szCs w:val="24"/>
          <w:shd w:val="clear" w:color="auto" w:fill="FFFFFF"/>
        </w:rPr>
        <w:t>Hammal</w:t>
      </w:r>
      <w:proofErr w:type="spellEnd"/>
      <w:r w:rsidRPr="00FC6C4D">
        <w:rPr>
          <w:rFonts w:ascii="Times New Roman" w:hAnsi="Times New Roman" w:cs="Times New Roman"/>
          <w:color w:val="000000" w:themeColor="text1"/>
          <w:sz w:val="24"/>
          <w:szCs w:val="24"/>
          <w:shd w:val="clear" w:color="auto" w:fill="FFFFFF"/>
        </w:rPr>
        <w:t>, M. I. R. (2022). Do financial and non-financial stocks hedge against lockdown in Covid-19? An event study analysis. </w:t>
      </w:r>
      <w:r w:rsidRPr="00FC6C4D">
        <w:rPr>
          <w:rFonts w:ascii="Times New Roman" w:hAnsi="Times New Roman" w:cs="Times New Roman"/>
          <w:i/>
          <w:iCs/>
          <w:color w:val="000000" w:themeColor="text1"/>
          <w:sz w:val="24"/>
          <w:szCs w:val="24"/>
          <w:shd w:val="clear" w:color="auto" w:fill="FFFFFF"/>
        </w:rPr>
        <w:t>Economic Research-</w:t>
      </w:r>
      <w:proofErr w:type="spellStart"/>
      <w:r w:rsidRPr="00FC6C4D">
        <w:rPr>
          <w:rFonts w:ascii="Times New Roman" w:hAnsi="Times New Roman" w:cs="Times New Roman"/>
          <w:i/>
          <w:iCs/>
          <w:color w:val="000000" w:themeColor="text1"/>
          <w:sz w:val="24"/>
          <w:szCs w:val="24"/>
          <w:shd w:val="clear" w:color="auto" w:fill="FFFFFF"/>
        </w:rPr>
        <w:t>Ekonomska</w:t>
      </w:r>
      <w:proofErr w:type="spellEnd"/>
      <w:r w:rsidRPr="00FC6C4D">
        <w:rPr>
          <w:rFonts w:ascii="Times New Roman" w:hAnsi="Times New Roman" w:cs="Times New Roman"/>
          <w:i/>
          <w:iCs/>
          <w:color w:val="000000" w:themeColor="text1"/>
          <w:sz w:val="24"/>
          <w:szCs w:val="24"/>
          <w:shd w:val="clear" w:color="auto" w:fill="FFFFFF"/>
        </w:rPr>
        <w:t xml:space="preserve"> </w:t>
      </w:r>
      <w:proofErr w:type="spellStart"/>
      <w:r w:rsidRPr="00FC6C4D">
        <w:rPr>
          <w:rFonts w:ascii="Times New Roman" w:hAnsi="Times New Roman" w:cs="Times New Roman"/>
          <w:i/>
          <w:iCs/>
          <w:color w:val="000000" w:themeColor="text1"/>
          <w:sz w:val="24"/>
          <w:szCs w:val="24"/>
          <w:shd w:val="clear" w:color="auto" w:fill="FFFFFF"/>
        </w:rPr>
        <w:t>Istraživanja</w:t>
      </w:r>
      <w:proofErr w:type="spellEnd"/>
      <w:r w:rsidRPr="00FC6C4D">
        <w:rPr>
          <w:rFonts w:ascii="Times New Roman" w:hAnsi="Times New Roman" w:cs="Times New Roman"/>
          <w:color w:val="000000" w:themeColor="text1"/>
          <w:sz w:val="24"/>
          <w:szCs w:val="24"/>
          <w:shd w:val="clear" w:color="auto" w:fill="FFFFFF"/>
        </w:rPr>
        <w:t>, </w:t>
      </w:r>
      <w:r w:rsidRPr="00FC6C4D">
        <w:rPr>
          <w:rFonts w:ascii="Times New Roman" w:hAnsi="Times New Roman" w:cs="Times New Roman"/>
          <w:i/>
          <w:iCs/>
          <w:color w:val="000000" w:themeColor="text1"/>
          <w:sz w:val="24"/>
          <w:szCs w:val="24"/>
          <w:shd w:val="clear" w:color="auto" w:fill="FFFFFF"/>
        </w:rPr>
        <w:t>35</w:t>
      </w:r>
      <w:r w:rsidRPr="00FC6C4D">
        <w:rPr>
          <w:rFonts w:ascii="Times New Roman" w:hAnsi="Times New Roman" w:cs="Times New Roman"/>
          <w:color w:val="000000" w:themeColor="text1"/>
          <w:sz w:val="24"/>
          <w:szCs w:val="24"/>
          <w:shd w:val="clear" w:color="auto" w:fill="FFFFFF"/>
        </w:rPr>
        <w:t>(1), 2405-2426.</w:t>
      </w:r>
      <w:r w:rsidRPr="00FC6C4D">
        <w:rPr>
          <w:rFonts w:ascii="Times New Roman" w:hAnsi="Times New Roman" w:cs="Times New Roman"/>
          <w:color w:val="000000" w:themeColor="text1"/>
          <w:sz w:val="24"/>
          <w:szCs w:val="24"/>
        </w:rPr>
        <w:t xml:space="preserve"> </w:t>
      </w:r>
      <w:hyperlink r:id="rId17" w:history="1">
        <w:r w:rsidRPr="00FC6C4D">
          <w:rPr>
            <w:rStyle w:val="Hyperlink"/>
            <w:rFonts w:ascii="Times New Roman" w:hAnsi="Times New Roman" w:cs="Times New Roman"/>
            <w:color w:val="000000" w:themeColor="text1"/>
            <w:sz w:val="24"/>
            <w:szCs w:val="24"/>
            <w:u w:val="none"/>
            <w:shd w:val="clear" w:color="auto" w:fill="FFFFFF"/>
          </w:rPr>
          <w:t>https://www.tandfonline.com/doi/abs/10.1080/1331677X.2021.1948881</w:t>
        </w:r>
      </w:hyperlink>
    </w:p>
    <w:p w14:paraId="3CC9C372" w14:textId="77777777" w:rsidR="00496DF7" w:rsidRPr="00FC6C4D" w:rsidRDefault="00496DF7" w:rsidP="00496DF7">
      <w:pPr>
        <w:spacing w:line="480" w:lineRule="auto"/>
        <w:ind w:left="720" w:hanging="720"/>
        <w:rPr>
          <w:rStyle w:val="Hyperlink"/>
          <w:rFonts w:ascii="Times New Roman" w:hAnsi="Times New Roman" w:cs="Times New Roman"/>
          <w:color w:val="000000" w:themeColor="text1"/>
          <w:sz w:val="24"/>
          <w:szCs w:val="24"/>
          <w:u w:val="none"/>
          <w:shd w:val="clear" w:color="auto" w:fill="FFFFFF"/>
        </w:rPr>
      </w:pPr>
      <w:r w:rsidRPr="00FC6C4D">
        <w:rPr>
          <w:rFonts w:ascii="Times New Roman" w:hAnsi="Times New Roman" w:cs="Times New Roman"/>
          <w:color w:val="000000" w:themeColor="text1"/>
          <w:sz w:val="24"/>
          <w:szCs w:val="24"/>
          <w:shd w:val="clear" w:color="auto" w:fill="FFFFFF"/>
        </w:rPr>
        <w:t>Vogel, H. L. (2020). </w:t>
      </w:r>
      <w:r w:rsidRPr="00FC6C4D">
        <w:rPr>
          <w:rFonts w:ascii="Times New Roman" w:hAnsi="Times New Roman" w:cs="Times New Roman"/>
          <w:i/>
          <w:iCs/>
          <w:color w:val="000000" w:themeColor="text1"/>
          <w:sz w:val="24"/>
          <w:szCs w:val="24"/>
          <w:shd w:val="clear" w:color="auto" w:fill="FFFFFF"/>
        </w:rPr>
        <w:t>Entertainment industry economics: A guide for financial analysis</w:t>
      </w:r>
      <w:r w:rsidRPr="00FC6C4D">
        <w:rPr>
          <w:rFonts w:ascii="Times New Roman" w:hAnsi="Times New Roman" w:cs="Times New Roman"/>
          <w:color w:val="000000" w:themeColor="text1"/>
          <w:sz w:val="24"/>
          <w:szCs w:val="24"/>
          <w:shd w:val="clear" w:color="auto" w:fill="FFFFFF"/>
        </w:rPr>
        <w:t>. Cambridge University Press.</w:t>
      </w:r>
      <w:r w:rsidRPr="00FC6C4D">
        <w:rPr>
          <w:rFonts w:ascii="Times New Roman" w:hAnsi="Times New Roman" w:cs="Times New Roman"/>
          <w:color w:val="000000" w:themeColor="text1"/>
          <w:sz w:val="24"/>
          <w:szCs w:val="24"/>
        </w:rPr>
        <w:t xml:space="preserve"> </w:t>
      </w:r>
      <w:hyperlink r:id="rId18" w:history="1">
        <w:r w:rsidRPr="00FC6C4D">
          <w:rPr>
            <w:rStyle w:val="Hyperlink"/>
            <w:rFonts w:ascii="Times New Roman" w:hAnsi="Times New Roman" w:cs="Times New Roman"/>
            <w:color w:val="000000" w:themeColor="text1"/>
            <w:sz w:val="24"/>
            <w:szCs w:val="24"/>
            <w:u w:val="none"/>
            <w:shd w:val="clear" w:color="auto" w:fill="FFFFFF"/>
          </w:rPr>
          <w:t>https://books.google.com/books?hl=en&amp;lr=&amp;id=xozrDwAAQBAJ&amp;oi=fnd&amp;pg=PR19&amp;dq=Financial+Analysis+&amp;ots=EubSS3sdPD&amp;sig=Ott1qZgZxl-vdkvClXchmoR2ED4</w:t>
        </w:r>
      </w:hyperlink>
    </w:p>
    <w:p w14:paraId="344EC9A2" w14:textId="77777777" w:rsidR="00D213D0" w:rsidRPr="00FC6C4D" w:rsidRDefault="00D213D0" w:rsidP="00AA6A7F">
      <w:pPr>
        <w:spacing w:before="240" w:after="240" w:line="480" w:lineRule="auto"/>
        <w:rPr>
          <w:rFonts w:ascii="Times New Roman" w:eastAsia="Times New Roman" w:hAnsi="Times New Roman" w:cs="Times New Roman"/>
          <w:sz w:val="24"/>
          <w:szCs w:val="24"/>
          <w:highlight w:val="white"/>
        </w:rPr>
      </w:pPr>
    </w:p>
    <w:p w14:paraId="4D9A1F65" w14:textId="77777777" w:rsidR="00D213D0" w:rsidRPr="00FC6C4D" w:rsidRDefault="00D213D0" w:rsidP="00AA6A7F">
      <w:pPr>
        <w:spacing w:before="240" w:after="240" w:line="480" w:lineRule="auto"/>
        <w:ind w:left="1440" w:hanging="720"/>
        <w:rPr>
          <w:rFonts w:ascii="Times New Roman" w:eastAsia="Times New Roman" w:hAnsi="Times New Roman" w:cs="Times New Roman"/>
          <w:sz w:val="24"/>
          <w:szCs w:val="24"/>
          <w:highlight w:val="white"/>
        </w:rPr>
      </w:pPr>
    </w:p>
    <w:p w14:paraId="2CB353D6" w14:textId="77777777" w:rsidR="00D213D0" w:rsidRPr="00FC6C4D" w:rsidRDefault="00D213D0" w:rsidP="00AA6A7F">
      <w:pPr>
        <w:spacing w:line="480" w:lineRule="auto"/>
        <w:rPr>
          <w:rFonts w:ascii="Times New Roman" w:eastAsia="Times New Roman" w:hAnsi="Times New Roman" w:cs="Times New Roman"/>
          <w:sz w:val="24"/>
          <w:szCs w:val="24"/>
        </w:rPr>
      </w:pPr>
    </w:p>
    <w:p w14:paraId="76A41307" w14:textId="77777777" w:rsidR="00D213D0" w:rsidRPr="00FC6C4D" w:rsidRDefault="00D213D0" w:rsidP="00AA6A7F">
      <w:pPr>
        <w:spacing w:line="480" w:lineRule="auto"/>
        <w:rPr>
          <w:rFonts w:ascii="Times New Roman" w:eastAsia="Times New Roman" w:hAnsi="Times New Roman" w:cs="Times New Roman"/>
          <w:sz w:val="24"/>
          <w:szCs w:val="24"/>
        </w:rPr>
      </w:pPr>
    </w:p>
    <w:p w14:paraId="0F7AEF07" w14:textId="77777777" w:rsidR="00D213D0" w:rsidRPr="00FC6C4D" w:rsidRDefault="00D213D0" w:rsidP="00AA6A7F">
      <w:pPr>
        <w:spacing w:line="480" w:lineRule="auto"/>
        <w:rPr>
          <w:rFonts w:ascii="Times New Roman" w:eastAsia="Times New Roman" w:hAnsi="Times New Roman" w:cs="Times New Roman"/>
          <w:sz w:val="24"/>
          <w:szCs w:val="24"/>
        </w:rPr>
      </w:pPr>
    </w:p>
    <w:p w14:paraId="7A30A034" w14:textId="77777777" w:rsidR="00D213D0" w:rsidRPr="00FC6C4D" w:rsidRDefault="00D213D0" w:rsidP="00AA6A7F">
      <w:pPr>
        <w:spacing w:line="480" w:lineRule="auto"/>
        <w:rPr>
          <w:rFonts w:ascii="Times New Roman" w:eastAsia="Times New Roman" w:hAnsi="Times New Roman" w:cs="Times New Roman"/>
          <w:sz w:val="24"/>
          <w:szCs w:val="24"/>
        </w:rPr>
      </w:pPr>
    </w:p>
    <w:p w14:paraId="367EE1BA" w14:textId="77777777" w:rsidR="00D213D0" w:rsidRPr="00FC6C4D" w:rsidRDefault="00D213D0" w:rsidP="00AA6A7F">
      <w:pPr>
        <w:spacing w:line="480" w:lineRule="auto"/>
        <w:rPr>
          <w:rFonts w:ascii="Times New Roman" w:eastAsia="Times New Roman" w:hAnsi="Times New Roman" w:cs="Times New Roman"/>
          <w:b/>
          <w:sz w:val="24"/>
          <w:szCs w:val="24"/>
        </w:rPr>
      </w:pPr>
    </w:p>
    <w:sectPr w:rsidR="00D213D0" w:rsidRPr="00FC6C4D" w:rsidSect="00F16321">
      <w:headerReference w:type="default" r:id="rId19"/>
      <w:headerReference w:type="first" r:id="rId2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B0BA1" w14:textId="77777777" w:rsidR="003817C3" w:rsidRDefault="003817C3" w:rsidP="00F16321">
      <w:pPr>
        <w:spacing w:line="240" w:lineRule="auto"/>
      </w:pPr>
      <w:r>
        <w:separator/>
      </w:r>
    </w:p>
  </w:endnote>
  <w:endnote w:type="continuationSeparator" w:id="0">
    <w:p w14:paraId="340E715D" w14:textId="77777777" w:rsidR="003817C3" w:rsidRDefault="003817C3" w:rsidP="00F163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69A31" w14:textId="77777777" w:rsidR="003817C3" w:rsidRDefault="003817C3" w:rsidP="00F16321">
      <w:pPr>
        <w:spacing w:line="240" w:lineRule="auto"/>
      </w:pPr>
      <w:r>
        <w:separator/>
      </w:r>
    </w:p>
  </w:footnote>
  <w:footnote w:type="continuationSeparator" w:id="0">
    <w:p w14:paraId="0D3247C3" w14:textId="77777777" w:rsidR="003817C3" w:rsidRDefault="003817C3" w:rsidP="00F163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2850944"/>
      <w:docPartObj>
        <w:docPartGallery w:val="Page Numbers (Top of Page)"/>
        <w:docPartUnique/>
      </w:docPartObj>
    </w:sdtPr>
    <w:sdtEndPr>
      <w:rPr>
        <w:noProof/>
      </w:rPr>
    </w:sdtEndPr>
    <w:sdtContent>
      <w:p w14:paraId="2E24389A" w14:textId="0BF76427" w:rsidR="00F16321" w:rsidRDefault="00F1632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A1C799" w14:textId="6ACF183E" w:rsidR="00F16321" w:rsidRDefault="00F16321">
    <w:pPr>
      <w:pStyle w:val="Header"/>
    </w:pPr>
    <w:r w:rsidRPr="00F16321">
      <w:rPr>
        <w:rFonts w:ascii="Times New Roman" w:hAnsi="Times New Roman" w:cs="Times New Roman"/>
        <w:sz w:val="20"/>
        <w:szCs w:val="20"/>
        <w:lang w:val="en-US"/>
      </w:rPr>
      <w:t>Financial Decision Making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7F6A7" w14:textId="57F31A74" w:rsidR="00F16321" w:rsidRPr="00F16321" w:rsidRDefault="00F16321">
    <w:pPr>
      <w:pStyle w:val="Header"/>
      <w:rPr>
        <w:rFonts w:ascii="Times New Roman" w:hAnsi="Times New Roman" w:cs="Times New Roman"/>
        <w:sz w:val="20"/>
        <w:szCs w:val="20"/>
        <w:lang w:val="en-US"/>
      </w:rPr>
    </w:pPr>
    <w:r w:rsidRPr="00F16321">
      <w:rPr>
        <w:rFonts w:ascii="Times New Roman" w:hAnsi="Times New Roman" w:cs="Times New Roman"/>
        <w:b/>
        <w:bCs/>
        <w:i/>
        <w:iCs/>
        <w:sz w:val="20"/>
        <w:szCs w:val="20"/>
        <w:lang w:val="en-US"/>
      </w:rPr>
      <w:t>Running head:</w:t>
    </w:r>
    <w:r w:rsidRPr="00F16321">
      <w:rPr>
        <w:rFonts w:ascii="Times New Roman" w:hAnsi="Times New Roman" w:cs="Times New Roman"/>
        <w:sz w:val="20"/>
        <w:szCs w:val="20"/>
      </w:rPr>
      <w:t xml:space="preserve"> </w:t>
    </w:r>
    <w:r w:rsidRPr="00F16321">
      <w:rPr>
        <w:rFonts w:ascii="Times New Roman" w:hAnsi="Times New Roman" w:cs="Times New Roman"/>
        <w:sz w:val="20"/>
        <w:szCs w:val="20"/>
        <w:lang w:val="en-US"/>
      </w:rPr>
      <w:t>FINANCIAL DECISION MAKING</w:t>
    </w:r>
    <w:r w:rsidRPr="00F16321">
      <w:rPr>
        <w:rFonts w:ascii="Times New Roman" w:hAnsi="Times New Roman" w:cs="Times New Roman"/>
        <w:sz w:val="20"/>
        <w:szCs w:val="20"/>
        <w:lang w:val="en-US"/>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D0"/>
    <w:rsid w:val="003817C3"/>
    <w:rsid w:val="00496DF7"/>
    <w:rsid w:val="00AA6A7F"/>
    <w:rsid w:val="00D213D0"/>
    <w:rsid w:val="00F16321"/>
    <w:rsid w:val="00FC6C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85C93"/>
  <w15:docId w15:val="{E06935FA-5136-4AF9-ADC0-27E5702F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360" w:lineRule="auto"/>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AA6A7F"/>
    <w:pPr>
      <w:spacing w:before="240" w:line="259" w:lineRule="auto"/>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AA6A7F"/>
    <w:pPr>
      <w:spacing w:after="100"/>
    </w:pPr>
  </w:style>
  <w:style w:type="character" w:styleId="Hyperlink">
    <w:name w:val="Hyperlink"/>
    <w:basedOn w:val="DefaultParagraphFont"/>
    <w:uiPriority w:val="99"/>
    <w:unhideWhenUsed/>
    <w:rsid w:val="00AA6A7F"/>
    <w:rPr>
      <w:color w:val="0000FF" w:themeColor="hyperlink"/>
      <w:u w:val="single"/>
    </w:rPr>
  </w:style>
  <w:style w:type="paragraph" w:styleId="Header">
    <w:name w:val="header"/>
    <w:basedOn w:val="Normal"/>
    <w:link w:val="HeaderChar"/>
    <w:uiPriority w:val="99"/>
    <w:unhideWhenUsed/>
    <w:rsid w:val="00F16321"/>
    <w:pPr>
      <w:tabs>
        <w:tab w:val="center" w:pos="4513"/>
        <w:tab w:val="right" w:pos="9026"/>
      </w:tabs>
      <w:spacing w:line="240" w:lineRule="auto"/>
    </w:pPr>
  </w:style>
  <w:style w:type="character" w:customStyle="1" w:styleId="HeaderChar">
    <w:name w:val="Header Char"/>
    <w:basedOn w:val="DefaultParagraphFont"/>
    <w:link w:val="Header"/>
    <w:uiPriority w:val="99"/>
    <w:rsid w:val="00F16321"/>
  </w:style>
  <w:style w:type="paragraph" w:styleId="Footer">
    <w:name w:val="footer"/>
    <w:basedOn w:val="Normal"/>
    <w:link w:val="FooterChar"/>
    <w:uiPriority w:val="99"/>
    <w:unhideWhenUsed/>
    <w:rsid w:val="00F16321"/>
    <w:pPr>
      <w:tabs>
        <w:tab w:val="center" w:pos="4513"/>
        <w:tab w:val="right" w:pos="9026"/>
      </w:tabs>
      <w:spacing w:line="240" w:lineRule="auto"/>
    </w:pPr>
  </w:style>
  <w:style w:type="character" w:customStyle="1" w:styleId="FooterChar">
    <w:name w:val="Footer Char"/>
    <w:basedOn w:val="DefaultParagraphFont"/>
    <w:link w:val="Footer"/>
    <w:uiPriority w:val="99"/>
    <w:rsid w:val="00F16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743731518307068" TargetMode="External"/><Relationship Id="rId13" Type="http://schemas.openxmlformats.org/officeDocument/2006/relationships/hyperlink" Target="https://www.sciencedirect.com/science/article/pii/S0377042720304635" TargetMode="External"/><Relationship Id="rId18" Type="http://schemas.openxmlformats.org/officeDocument/2006/relationships/hyperlink" Target="https://books.google.com/books?hl=en&amp;lr=&amp;id=xozrDwAAQBAJ&amp;oi=fnd&amp;pg=PR19&amp;dq=Financial+Analysis+&amp;ots=EubSS3sdPD&amp;sig=Ott1qZgZxl-vdkvClXchmoR2ED4"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sciencedirect.com/science/article/pii/S0305750X20304071" TargetMode="External"/><Relationship Id="rId17" Type="http://schemas.openxmlformats.org/officeDocument/2006/relationships/hyperlink" Target="https://www.tandfonline.com/doi/abs/10.1080/1331677X.2021.1948881" TargetMode="External"/><Relationship Id="rId2" Type="http://schemas.openxmlformats.org/officeDocument/2006/relationships/styles" Target="styles.xml"/><Relationship Id="rId16" Type="http://schemas.openxmlformats.org/officeDocument/2006/relationships/hyperlink" Target="https://www.sciencedirect.com/science/article/pii/S0959652620323970"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sciencedirect.com/science/article/pii/S2213138821002307" TargetMode="External"/><Relationship Id="rId5" Type="http://schemas.openxmlformats.org/officeDocument/2006/relationships/footnotes" Target="footnotes.xml"/><Relationship Id="rId15" Type="http://schemas.openxmlformats.org/officeDocument/2006/relationships/hyperlink" Target="https://books.google.com/books?hl=en&amp;lr=&amp;id=IDT6DwAAQBAJ&amp;oi=fnd&amp;pg=PR13&amp;dq=Financial+Analysis+&amp;ots=uJip8Ywf9X&amp;sig=2ob2b7G9RCK1mdofZveuOjYKVUg" TargetMode="External"/><Relationship Id="rId10" Type="http://schemas.openxmlformats.org/officeDocument/2006/relationships/hyperlink" Target="https://www.enrichment.iocspublisher.org/index.php/enrichment/article/view/124"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opscience.iop.org/article/10.1088/1755-1315/469/1/012002/meta" TargetMode="External"/><Relationship Id="rId14" Type="http://schemas.openxmlformats.org/officeDocument/2006/relationships/hyperlink" Target="https://www.tandfonline.com/doi/abs/10.1080/1331677X.2021.19526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64671-89FE-4E07-9107-E1B9C56418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33</Pages>
  <Words>3565</Words>
  <Characters>20322</Characters>
  <Application>Microsoft Office Word</Application>
  <DocSecurity>0</DocSecurity>
  <Lines>169</Lines>
  <Paragraphs>47</Paragraphs>
  <ScaleCrop>false</ScaleCrop>
  <Company/>
  <LinksUpToDate>false</LinksUpToDate>
  <CharactersWithSpaces>23840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Suman Kundu</cp:lastModifiedBy>
  <cp:revision>5</cp:revision>
  <dcterms:created xsi:type="dcterms:W3CDTF">2023-06-21T17:08:00Z</dcterms:created>
  <dcterms:modified xsi:type="dcterms:W3CDTF">2023-06-21T17:11:00Z</dcterms:modified>
</cp:coreProperties>
</file>